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3ED654">
      <w:pPr>
        <w:spacing w:line="360" w:lineRule="auto"/>
        <w:jc w:val="center"/>
        <w:rPr>
          <w:rFonts w:hint="eastAsia" w:ascii="宋体" w:hAnsi="宋体" w:eastAsia="宋体" w:cs="宋体"/>
          <w:spacing w:val="-1"/>
          <w:sz w:val="52"/>
          <w:szCs w:val="52"/>
          <w:lang w:val="en-US" w:eastAsia="zh-CN"/>
          <w14:textOutline w14:w="3848" w14:cap="flat" w14:cmpd="sng" w14:algn="ctr">
            <w14:solidFill>
              <w14:srgbClr w14:val="000000"/>
            </w14:solidFill>
            <w14:prstDash w14:val="solid"/>
            <w14:miter w14:val="0"/>
          </w14:textOutline>
        </w:rPr>
      </w:pPr>
      <w:r>
        <w:rPr>
          <w:rFonts w:hint="eastAsia" w:ascii="宋体" w:hAnsi="宋体" w:eastAsia="宋体" w:cs="宋体"/>
          <w:spacing w:val="-1"/>
          <w:sz w:val="52"/>
          <w:szCs w:val="52"/>
          <w:lang w:val="en-US" w:eastAsia="zh-CN"/>
          <w14:textOutline w14:w="3848" w14:cap="flat" w14:cmpd="sng" w14:algn="ctr">
            <w14:solidFill>
              <w14:srgbClr w14:val="000000"/>
            </w14:solidFill>
            <w14:prstDash w14:val="solid"/>
            <w14:miter w14:val="0"/>
          </w14:textOutline>
        </w:rPr>
        <w:t>唐河县市场监督管理局2026年食品安全</w:t>
      </w:r>
    </w:p>
    <w:p w14:paraId="01716E5A">
      <w:pPr>
        <w:spacing w:line="360" w:lineRule="auto"/>
        <w:jc w:val="center"/>
        <w:rPr>
          <w:rFonts w:hint="eastAsia" w:ascii="宋体" w:hAnsi="宋体" w:eastAsia="宋体" w:cs="宋体"/>
          <w:spacing w:val="-1"/>
          <w:sz w:val="52"/>
          <w:szCs w:val="52"/>
          <w:lang w:val="en-US" w:eastAsia="zh-CN"/>
          <w14:textOutline w14:w="3848" w14:cap="flat" w14:cmpd="sng" w14:algn="ctr">
            <w14:solidFill>
              <w14:srgbClr w14:val="000000"/>
            </w14:solidFill>
            <w14:prstDash w14:val="solid"/>
            <w14:miter w14:val="0"/>
          </w14:textOutline>
        </w:rPr>
      </w:pPr>
      <w:r>
        <w:rPr>
          <w:rFonts w:hint="eastAsia" w:ascii="宋体" w:hAnsi="宋体" w:eastAsia="宋体" w:cs="宋体"/>
          <w:spacing w:val="-1"/>
          <w:sz w:val="52"/>
          <w:szCs w:val="52"/>
          <w:lang w:val="en-US" w:eastAsia="zh-CN"/>
          <w14:textOutline w14:w="3848" w14:cap="flat" w14:cmpd="sng" w14:algn="ctr">
            <w14:solidFill>
              <w14:srgbClr w14:val="000000"/>
            </w14:solidFill>
            <w14:prstDash w14:val="solid"/>
            <w14:miter w14:val="0"/>
          </w14:textOutline>
        </w:rPr>
        <w:t>监督抽检项目</w:t>
      </w:r>
    </w:p>
    <w:p w14:paraId="18357108">
      <w:pPr>
        <w:spacing w:line="360" w:lineRule="auto"/>
        <w:jc w:val="center"/>
        <w:rPr>
          <w:rFonts w:ascii="宋体" w:hAnsi="宋体" w:eastAsia="宋体" w:cs="宋体"/>
          <w:spacing w:val="-1"/>
          <w:sz w:val="52"/>
          <w:szCs w:val="52"/>
          <w14:textOutline w14:w="3848" w14:cap="flat" w14:cmpd="sng" w14:algn="ctr">
            <w14:solidFill>
              <w14:srgbClr w14:val="000000"/>
            </w14:solidFill>
            <w14:prstDash w14:val="solid"/>
            <w14:miter w14:val="0"/>
          </w14:textOutline>
        </w:rPr>
      </w:pPr>
    </w:p>
    <w:p w14:paraId="1E007C60">
      <w:pPr>
        <w:keepNext w:val="0"/>
        <w:keepLines w:val="0"/>
        <w:pageBreakBefore w:val="0"/>
        <w:widowControl/>
        <w:kinsoku/>
        <w:wordWrap w:val="0"/>
        <w:overflowPunct/>
        <w:topLinePunct w:val="0"/>
        <w:autoSpaceDE w:val="0"/>
        <w:autoSpaceDN w:val="0"/>
        <w:bidi w:val="0"/>
        <w:adjustRightInd w:val="0"/>
        <w:snapToGrid w:val="0"/>
        <w:spacing w:line="360" w:lineRule="auto"/>
        <w:ind w:left="0"/>
        <w:jc w:val="center"/>
        <w:textAlignment w:val="baseline"/>
        <w:outlineLvl w:val="0"/>
        <w:rPr>
          <w:rFonts w:hint="default" w:ascii="宋体" w:hAnsi="宋体" w:eastAsia="宋体" w:cs="宋体"/>
          <w:b/>
          <w:bCs/>
          <w:color w:val="auto"/>
          <w:sz w:val="52"/>
          <w:szCs w:val="52"/>
          <w:highlight w:val="none"/>
          <w:lang w:val="en-US" w:eastAsia="zh-CN"/>
        </w:rPr>
      </w:pPr>
      <w:bookmarkStart w:id="0" w:name="_Toc12794"/>
      <w:r>
        <w:rPr>
          <w:rFonts w:hint="eastAsia" w:ascii="宋体" w:hAnsi="宋体" w:eastAsia="宋体" w:cs="宋体"/>
          <w:b/>
          <w:bCs/>
          <w:color w:val="auto"/>
          <w:sz w:val="52"/>
          <w:szCs w:val="52"/>
          <w:highlight w:val="none"/>
          <w:lang w:val="en-US" w:eastAsia="zh-CN"/>
        </w:rPr>
        <w:t>（非最终版）</w:t>
      </w:r>
    </w:p>
    <w:p w14:paraId="7A51205E">
      <w:pPr>
        <w:spacing w:line="360" w:lineRule="auto"/>
        <w:jc w:val="center"/>
        <w:outlineLvl w:val="9"/>
        <w:rPr>
          <w:rFonts w:hint="eastAsia" w:ascii="宋体" w:hAnsi="宋体" w:eastAsia="宋体" w:cs="宋体"/>
          <w:spacing w:val="-1"/>
          <w:sz w:val="52"/>
          <w:szCs w:val="52"/>
          <w14:textOutline w14:w="3848" w14:cap="flat" w14:cmpd="sng" w14:algn="ctr">
            <w14:solidFill>
              <w14:srgbClr w14:val="000000"/>
            </w14:solidFill>
            <w14:prstDash w14:val="solid"/>
            <w14:miter w14:val="0"/>
          </w14:textOutline>
        </w:rPr>
      </w:pPr>
    </w:p>
    <w:p w14:paraId="379F6EB5">
      <w:pPr>
        <w:spacing w:line="360" w:lineRule="auto"/>
        <w:jc w:val="center"/>
        <w:outlineLvl w:val="9"/>
        <w:rPr>
          <w:rFonts w:ascii="宋体" w:hAnsi="宋体" w:eastAsia="宋体" w:cs="宋体"/>
          <w:sz w:val="52"/>
          <w:szCs w:val="52"/>
        </w:rPr>
      </w:pPr>
      <w:r>
        <w:rPr>
          <w:rFonts w:hint="eastAsia" w:ascii="宋体" w:hAnsi="宋体" w:eastAsia="宋体" w:cs="宋体"/>
          <w:spacing w:val="-1"/>
          <w:sz w:val="52"/>
          <w:szCs w:val="52"/>
          <w14:textOutline w14:w="3848" w14:cap="flat" w14:cmpd="sng" w14:algn="ctr">
            <w14:solidFill>
              <w14:srgbClr w14:val="000000"/>
            </w14:solidFill>
            <w14:prstDash w14:val="solid"/>
            <w14:miter w14:val="0"/>
          </w14:textOutline>
        </w:rPr>
        <w:t>竞争性磋商文件</w:t>
      </w:r>
      <w:bookmarkEnd w:id="0"/>
    </w:p>
    <w:p w14:paraId="2985A54D">
      <w:pPr>
        <w:spacing w:line="248" w:lineRule="auto"/>
      </w:pPr>
    </w:p>
    <w:p w14:paraId="3F806797">
      <w:pPr>
        <w:spacing w:line="249" w:lineRule="auto"/>
      </w:pPr>
      <w:r>
        <w:rPr>
          <w:rFonts w:hint="eastAsia"/>
          <w:lang w:val="en-US" w:eastAsia="zh-CN"/>
        </w:rPr>
        <w:t xml:space="preserve">                   </w:t>
      </w:r>
      <w:r>
        <w:drawing>
          <wp:inline distT="0" distB="0" distL="114300" distR="114300">
            <wp:extent cx="3681730" cy="2028190"/>
            <wp:effectExtent l="0" t="0" r="13970" b="10160"/>
            <wp:docPr id="31" name="图片 1"/>
            <wp:cNvGraphicFramePr/>
            <a:graphic xmlns:a="http://schemas.openxmlformats.org/drawingml/2006/main">
              <a:graphicData uri="http://schemas.openxmlformats.org/drawingml/2006/picture">
                <pic:pic xmlns:pic="http://schemas.openxmlformats.org/drawingml/2006/picture">
                  <pic:nvPicPr>
                    <pic:cNvPr id="31" name="图片 1"/>
                    <pic:cNvPicPr/>
                  </pic:nvPicPr>
                  <pic:blipFill>
                    <a:blip r:embed="rId16"/>
                    <a:stretch>
                      <a:fillRect/>
                    </a:stretch>
                  </pic:blipFill>
                  <pic:spPr>
                    <a:xfrm>
                      <a:off x="0" y="0"/>
                      <a:ext cx="3681730" cy="2028190"/>
                    </a:xfrm>
                    <a:prstGeom prst="rect">
                      <a:avLst/>
                    </a:prstGeom>
                    <a:noFill/>
                    <a:ln>
                      <a:noFill/>
                    </a:ln>
                  </pic:spPr>
                </pic:pic>
              </a:graphicData>
            </a:graphic>
          </wp:inline>
        </w:drawing>
      </w:r>
    </w:p>
    <w:p w14:paraId="448A010D">
      <w:pPr>
        <w:spacing w:line="249" w:lineRule="auto"/>
      </w:pPr>
    </w:p>
    <w:p w14:paraId="0E2E762D">
      <w:pPr>
        <w:pStyle w:val="45"/>
      </w:pPr>
    </w:p>
    <w:p w14:paraId="4BF358CB"/>
    <w:p w14:paraId="78BE5C07">
      <w:pPr>
        <w:spacing w:line="249" w:lineRule="auto"/>
      </w:pPr>
    </w:p>
    <w:p w14:paraId="38B1B191">
      <w:pPr>
        <w:spacing w:line="360" w:lineRule="auto"/>
        <w:ind w:firstLine="1436" w:firstLineChars="500"/>
        <w:outlineLvl w:val="9"/>
        <w:rPr>
          <w:rFonts w:hint="eastAsia" w:ascii="宋体" w:hAnsi="宋体" w:cs="宋体"/>
          <w:b/>
          <w:bCs/>
          <w:spacing w:val="-17"/>
          <w:sz w:val="32"/>
          <w:szCs w:val="32"/>
          <w:lang w:val="en-US" w:eastAsia="zh-CN"/>
        </w:rPr>
      </w:pPr>
      <w:r>
        <w:rPr>
          <w:rFonts w:hint="eastAsia" w:ascii="宋体" w:hAnsi="宋体" w:cs="宋体"/>
          <w:b/>
          <w:bCs/>
          <w:spacing w:val="-17"/>
          <w:sz w:val="32"/>
          <w:szCs w:val="32"/>
          <w:lang w:val="en-US" w:eastAsia="zh-CN"/>
        </w:rPr>
        <w:t>项目名称：唐河县市场监督管理局2026年食品安全监督抽检项目</w:t>
      </w:r>
    </w:p>
    <w:p w14:paraId="65A1A3CD">
      <w:pPr>
        <w:spacing w:line="360" w:lineRule="auto"/>
        <w:ind w:firstLine="1436" w:firstLineChars="500"/>
        <w:outlineLvl w:val="9"/>
        <w:rPr>
          <w:rFonts w:hint="default" w:ascii="宋体" w:hAnsi="宋体" w:cs="宋体" w:eastAsiaTheme="minorEastAsia"/>
          <w:b/>
          <w:bCs/>
          <w:spacing w:val="-17"/>
          <w:sz w:val="32"/>
          <w:szCs w:val="32"/>
          <w:lang w:val="en-US" w:eastAsia="zh-CN"/>
        </w:rPr>
      </w:pPr>
      <w:r>
        <w:rPr>
          <w:rFonts w:hint="eastAsia" w:ascii="宋体" w:hAnsi="宋体" w:cs="宋体"/>
          <w:b/>
          <w:bCs/>
          <w:spacing w:val="-17"/>
          <w:sz w:val="32"/>
          <w:szCs w:val="32"/>
        </w:rPr>
        <w:t>项目编号：唐财采购竞争性磋商-202</w:t>
      </w:r>
      <w:r>
        <w:rPr>
          <w:rFonts w:hint="eastAsia" w:ascii="宋体" w:hAnsi="宋体" w:cs="宋体"/>
          <w:b/>
          <w:bCs/>
          <w:spacing w:val="-17"/>
          <w:sz w:val="32"/>
          <w:szCs w:val="32"/>
          <w:lang w:val="en-US" w:eastAsia="zh-CN"/>
        </w:rPr>
        <w:t>6</w:t>
      </w:r>
      <w:r>
        <w:rPr>
          <w:rFonts w:hint="eastAsia" w:ascii="宋体" w:hAnsi="宋体" w:cs="宋体"/>
          <w:b/>
          <w:bCs/>
          <w:spacing w:val="-17"/>
          <w:sz w:val="32"/>
          <w:szCs w:val="32"/>
        </w:rPr>
        <w:t>-</w:t>
      </w:r>
      <w:r>
        <w:rPr>
          <w:rFonts w:hint="eastAsia" w:ascii="宋体" w:hAnsi="宋体" w:cs="宋体"/>
          <w:b/>
          <w:bCs/>
          <w:spacing w:val="-17"/>
          <w:sz w:val="32"/>
          <w:szCs w:val="32"/>
          <w:lang w:val="en-US" w:eastAsia="zh-CN"/>
        </w:rPr>
        <w:t>36</w:t>
      </w:r>
    </w:p>
    <w:p w14:paraId="2E95592F">
      <w:pPr>
        <w:spacing w:line="360" w:lineRule="auto"/>
        <w:ind w:firstLine="1436" w:firstLineChars="500"/>
        <w:rPr>
          <w:rFonts w:hint="default" w:ascii="宋体" w:hAnsi="宋体" w:cs="宋体" w:eastAsiaTheme="minorEastAsia"/>
          <w:b/>
          <w:bCs/>
          <w:spacing w:val="-17"/>
          <w:sz w:val="32"/>
          <w:szCs w:val="32"/>
          <w:lang w:val="en-US" w:eastAsia="zh-CN"/>
        </w:rPr>
      </w:pPr>
      <w:r>
        <w:rPr>
          <w:rFonts w:hint="eastAsia" w:ascii="宋体" w:hAnsi="宋体" w:cs="宋体"/>
          <w:b/>
          <w:bCs/>
          <w:spacing w:val="-17"/>
          <w:sz w:val="32"/>
          <w:szCs w:val="32"/>
        </w:rPr>
        <w:t>标段编号：唐财采购竞争性磋商-202</w:t>
      </w:r>
      <w:r>
        <w:rPr>
          <w:rFonts w:hint="eastAsia" w:ascii="宋体" w:hAnsi="宋体" w:cs="宋体"/>
          <w:b/>
          <w:bCs/>
          <w:spacing w:val="-17"/>
          <w:sz w:val="32"/>
          <w:szCs w:val="32"/>
          <w:lang w:val="en-US" w:eastAsia="zh-CN"/>
        </w:rPr>
        <w:t>6</w:t>
      </w:r>
      <w:r>
        <w:rPr>
          <w:rFonts w:hint="eastAsia" w:ascii="宋体" w:hAnsi="宋体" w:cs="宋体"/>
          <w:b/>
          <w:bCs/>
          <w:spacing w:val="-17"/>
          <w:sz w:val="32"/>
          <w:szCs w:val="32"/>
        </w:rPr>
        <w:t>-</w:t>
      </w:r>
      <w:r>
        <w:rPr>
          <w:rFonts w:hint="eastAsia" w:ascii="宋体" w:hAnsi="宋体" w:cs="宋体"/>
          <w:b/>
          <w:bCs/>
          <w:spacing w:val="-17"/>
          <w:sz w:val="32"/>
          <w:szCs w:val="32"/>
          <w:lang w:val="en-US" w:eastAsia="zh-CN"/>
        </w:rPr>
        <w:t>36</w:t>
      </w:r>
      <w:r>
        <w:rPr>
          <w:rFonts w:hint="eastAsia" w:ascii="宋体" w:hAnsi="宋体" w:cs="宋体"/>
          <w:b/>
          <w:bCs/>
          <w:spacing w:val="-17"/>
          <w:sz w:val="32"/>
          <w:szCs w:val="32"/>
        </w:rPr>
        <w:t>-</w:t>
      </w:r>
      <w:r>
        <w:rPr>
          <w:rFonts w:hint="eastAsia" w:ascii="宋体" w:hAnsi="宋体" w:cs="宋体"/>
          <w:b/>
          <w:bCs/>
          <w:spacing w:val="-17"/>
          <w:sz w:val="32"/>
          <w:szCs w:val="32"/>
          <w:lang w:val="en-US" w:eastAsia="zh-CN"/>
        </w:rPr>
        <w:t>1</w:t>
      </w:r>
    </w:p>
    <w:p w14:paraId="25F7FEF2">
      <w:pPr>
        <w:spacing w:line="360" w:lineRule="auto"/>
        <w:ind w:firstLine="1436" w:firstLineChars="500"/>
        <w:outlineLvl w:val="9"/>
        <w:rPr>
          <w:rFonts w:hint="eastAsia" w:ascii="宋体" w:hAnsi="宋体" w:cs="宋体"/>
          <w:b/>
          <w:bCs/>
          <w:spacing w:val="-17"/>
          <w:sz w:val="32"/>
          <w:szCs w:val="32"/>
          <w:lang w:val="en-US" w:eastAsia="zh-CN"/>
        </w:rPr>
      </w:pPr>
      <w:r>
        <w:rPr>
          <w:rFonts w:hint="eastAsia" w:ascii="宋体" w:hAnsi="宋体" w:cs="宋体"/>
          <w:b/>
          <w:bCs/>
          <w:spacing w:val="-17"/>
          <w:sz w:val="32"/>
          <w:szCs w:val="32"/>
        </w:rPr>
        <w:t>采购人：</w:t>
      </w:r>
      <w:bookmarkStart w:id="1" w:name="_Toc19016"/>
      <w:r>
        <w:rPr>
          <w:rFonts w:hint="eastAsia" w:ascii="宋体" w:hAnsi="宋体" w:cs="宋体"/>
          <w:b/>
          <w:bCs/>
          <w:spacing w:val="-17"/>
          <w:sz w:val="32"/>
          <w:szCs w:val="32"/>
        </w:rPr>
        <w:t>唐河县市场监督管理局</w:t>
      </w:r>
    </w:p>
    <w:p w14:paraId="5D92DD4C">
      <w:pPr>
        <w:spacing w:line="360" w:lineRule="auto"/>
        <w:ind w:firstLine="1436" w:firstLineChars="500"/>
        <w:outlineLvl w:val="9"/>
        <w:rPr>
          <w:rFonts w:hint="eastAsia" w:ascii="宋体" w:hAnsi="宋体" w:cs="宋体"/>
          <w:b/>
          <w:bCs/>
          <w:spacing w:val="-17"/>
          <w:sz w:val="32"/>
          <w:szCs w:val="32"/>
          <w:lang w:eastAsia="zh-CN"/>
        </w:rPr>
      </w:pPr>
      <w:r>
        <w:rPr>
          <w:rFonts w:hint="eastAsia" w:ascii="宋体" w:hAnsi="宋体" w:cs="宋体"/>
          <w:b/>
          <w:bCs/>
          <w:spacing w:val="-17"/>
          <w:sz w:val="32"/>
          <w:szCs w:val="32"/>
        </w:rPr>
        <w:t>采购代理机构：</w:t>
      </w:r>
      <w:bookmarkEnd w:id="1"/>
      <w:r>
        <w:rPr>
          <w:rFonts w:hint="eastAsia" w:ascii="宋体" w:hAnsi="宋体" w:cs="宋体"/>
          <w:b/>
          <w:bCs/>
          <w:spacing w:val="-17"/>
          <w:sz w:val="32"/>
          <w:szCs w:val="32"/>
          <w:lang w:eastAsia="zh-CN"/>
        </w:rPr>
        <w:t>河南中智工程咨询有限公司</w:t>
      </w:r>
    </w:p>
    <w:p w14:paraId="1212DE64">
      <w:pPr>
        <w:pStyle w:val="45"/>
      </w:pPr>
    </w:p>
    <w:p w14:paraId="404BEBA3">
      <w:pPr>
        <w:spacing w:line="360" w:lineRule="auto"/>
        <w:jc w:val="center"/>
        <w:rPr>
          <w:rFonts w:asciiTheme="minorEastAsia" w:hAnsiTheme="minorEastAsia" w:cstheme="minorEastAsia"/>
          <w:b/>
          <w:bCs/>
          <w:spacing w:val="-17"/>
          <w:sz w:val="32"/>
          <w:szCs w:val="32"/>
          <w:u w:val="none"/>
        </w:rPr>
      </w:pPr>
      <w:r>
        <w:rPr>
          <w:rFonts w:hint="eastAsia" w:asciiTheme="minorEastAsia" w:hAnsiTheme="minorEastAsia" w:cstheme="minorEastAsia"/>
          <w:b/>
          <w:bCs/>
          <w:spacing w:val="-17"/>
          <w:sz w:val="32"/>
          <w:szCs w:val="32"/>
          <w:u w:val="none"/>
        </w:rPr>
        <w:t>202</w:t>
      </w:r>
      <w:r>
        <w:rPr>
          <w:rFonts w:hint="eastAsia" w:asciiTheme="minorEastAsia" w:hAnsiTheme="minorEastAsia" w:cstheme="minorEastAsia"/>
          <w:b/>
          <w:bCs/>
          <w:spacing w:val="-17"/>
          <w:sz w:val="32"/>
          <w:szCs w:val="32"/>
          <w:u w:val="none"/>
          <w:lang w:val="en-US" w:eastAsia="zh-CN"/>
        </w:rPr>
        <w:t>6</w:t>
      </w:r>
      <w:r>
        <w:rPr>
          <w:rFonts w:hint="eastAsia" w:asciiTheme="minorEastAsia" w:hAnsiTheme="minorEastAsia" w:cstheme="minorEastAsia"/>
          <w:b/>
          <w:bCs/>
          <w:spacing w:val="-17"/>
          <w:sz w:val="32"/>
          <w:szCs w:val="32"/>
          <w:u w:val="none"/>
        </w:rPr>
        <w:t>年</w:t>
      </w:r>
      <w:r>
        <w:rPr>
          <w:rFonts w:hint="eastAsia" w:asciiTheme="minorEastAsia" w:hAnsiTheme="minorEastAsia" w:cstheme="minorEastAsia"/>
          <w:b/>
          <w:bCs/>
          <w:spacing w:val="-17"/>
          <w:sz w:val="32"/>
          <w:szCs w:val="32"/>
          <w:u w:val="none"/>
          <w:lang w:val="en-US" w:eastAsia="zh-CN"/>
        </w:rPr>
        <w:t>4</w:t>
      </w:r>
      <w:r>
        <w:rPr>
          <w:rFonts w:hint="eastAsia" w:asciiTheme="minorEastAsia" w:hAnsiTheme="minorEastAsia" w:cstheme="minorEastAsia"/>
          <w:b/>
          <w:bCs/>
          <w:spacing w:val="-17"/>
          <w:sz w:val="32"/>
          <w:szCs w:val="32"/>
          <w:u w:val="none"/>
        </w:rPr>
        <w:t>月</w:t>
      </w:r>
    </w:p>
    <w:p w14:paraId="355D4CC6">
      <w:pPr>
        <w:spacing w:line="326" w:lineRule="auto"/>
      </w:pPr>
    </w:p>
    <w:sdt>
      <w:sdtPr>
        <w:rPr>
          <w:rFonts w:ascii="宋体" w:hAnsi="宋体" w:eastAsia="宋体"/>
        </w:rPr>
        <w:id w:val="147458694"/>
        <w:showingPlcHdr/>
      </w:sdtPr>
      <w:sdtEndPr>
        <w:rPr>
          <w:rFonts w:asciiTheme="minorHAnsi" w:hAnsiTheme="minorHAnsi" w:eastAsiaTheme="minorEastAsia"/>
          <w:szCs w:val="24"/>
        </w:rPr>
      </w:sdtEndPr>
      <w:sdtContent>
        <w:p w14:paraId="3AC463E0">
          <w:bookmarkStart w:id="2" w:name="_Toc439"/>
          <w:bookmarkStart w:id="3" w:name="_Toc11143"/>
          <w:r>
            <w:rPr>
              <w:rFonts w:hint="eastAsia" w:ascii="宋体" w:hAnsi="宋体" w:eastAsia="宋体"/>
              <w:lang w:eastAsia="zh-CN"/>
            </w:rPr>
            <w:t xml:space="preserve">     </w:t>
          </w:r>
        </w:p>
      </w:sdtContent>
    </w:sdt>
    <w:sdt>
      <w:sdtPr>
        <w:rPr>
          <w:rFonts w:ascii="宋体" w:hAnsi="宋体" w:eastAsia="宋体" w:cstheme="minorBidi"/>
          <w:b/>
          <w:bCs/>
          <w:kern w:val="2"/>
          <w:sz w:val="56"/>
          <w:szCs w:val="72"/>
          <w:lang w:val="en-US" w:eastAsia="zh-CN" w:bidi="ar-SA"/>
        </w:rPr>
        <w:id w:val="147482821"/>
        <w15:color w:val="DBDBDB"/>
        <w:docPartObj>
          <w:docPartGallery w:val="Table of Contents"/>
          <w:docPartUnique/>
        </w:docPartObj>
      </w:sdtPr>
      <w:sdtEndPr>
        <w:rPr>
          <w:rFonts w:ascii="宋体" w:hAnsi="宋体" w:eastAsia="宋体" w:cstheme="minorBidi"/>
          <w:b/>
          <w:bCs/>
          <w:kern w:val="2"/>
          <w:sz w:val="21"/>
          <w:szCs w:val="22"/>
          <w:lang w:val="en-US" w:eastAsia="zh-CN" w:bidi="ar-SA"/>
        </w:rPr>
      </w:sdtEndPr>
      <w:sdtContent>
        <w:p w14:paraId="11B7D92A">
          <w:pPr>
            <w:spacing w:before="0" w:beforeLines="0" w:after="0" w:afterLines="0" w:line="240" w:lineRule="auto"/>
            <w:ind w:left="0" w:leftChars="0" w:right="0" w:rightChars="0" w:firstLine="0" w:firstLineChars="0"/>
            <w:jc w:val="center"/>
            <w:rPr>
              <w:rFonts w:ascii="宋体" w:hAnsi="宋体" w:eastAsia="宋体"/>
              <w:b/>
              <w:bCs/>
              <w:sz w:val="56"/>
              <w:szCs w:val="72"/>
            </w:rPr>
          </w:pPr>
          <w:r>
            <w:rPr>
              <w:rFonts w:ascii="宋体" w:hAnsi="宋体" w:eastAsia="宋体"/>
              <w:b/>
              <w:bCs/>
              <w:sz w:val="56"/>
              <w:szCs w:val="72"/>
            </w:rPr>
            <w:t>目</w:t>
          </w:r>
          <w:r>
            <w:rPr>
              <w:rFonts w:hint="eastAsia" w:ascii="宋体" w:hAnsi="宋体" w:eastAsia="宋体"/>
              <w:b/>
              <w:bCs/>
              <w:sz w:val="56"/>
              <w:szCs w:val="72"/>
              <w:lang w:val="en-US" w:eastAsia="zh-CN"/>
            </w:rPr>
            <w:t xml:space="preserve">   </w:t>
          </w:r>
          <w:r>
            <w:rPr>
              <w:rFonts w:ascii="宋体" w:hAnsi="宋体" w:eastAsia="宋体"/>
              <w:b/>
              <w:bCs/>
              <w:sz w:val="56"/>
              <w:szCs w:val="72"/>
            </w:rPr>
            <w:t>录</w:t>
          </w:r>
        </w:p>
        <w:p w14:paraId="3A1612DE">
          <w:bookmarkStart w:id="114" w:name="_GoBack"/>
          <w:bookmarkEnd w:id="114"/>
        </w:p>
        <w:p w14:paraId="138CE4A5"/>
        <w:p w14:paraId="70813A50">
          <w:pPr>
            <w:pStyle w:val="23"/>
            <w:keepNext w:val="0"/>
            <w:keepLines w:val="0"/>
            <w:pageBreakBefore w:val="0"/>
            <w:widowControl w:val="0"/>
            <w:tabs>
              <w:tab w:val="right" w:pos="10210"/>
            </w:tabs>
            <w:kinsoku/>
            <w:wordWrap/>
            <w:overflowPunct/>
            <w:topLinePunct w:val="0"/>
            <w:autoSpaceDE/>
            <w:autoSpaceDN/>
            <w:bidi w:val="0"/>
            <w:adjustRightInd/>
            <w:snapToGrid/>
            <w:spacing w:line="560" w:lineRule="exact"/>
            <w:textAlignment w:val="auto"/>
            <w:rPr>
              <w:rFonts w:hint="eastAsia" w:ascii="宋体" w:hAnsi="宋体" w:eastAsia="宋体" w:cs="宋体"/>
              <w:b/>
              <w:bCs/>
              <w:sz w:val="28"/>
              <w:szCs w:val="28"/>
            </w:rPr>
          </w:pPr>
          <w:r>
            <w:rPr>
              <w:rFonts w:hint="eastAsia" w:ascii="宋体" w:hAnsi="宋体" w:eastAsia="宋体" w:cs="宋体"/>
              <w:b/>
              <w:bCs/>
              <w:sz w:val="28"/>
              <w:szCs w:val="28"/>
            </w:rPr>
            <w:fldChar w:fldCharType="begin"/>
          </w:r>
          <w:r>
            <w:rPr>
              <w:rFonts w:hint="eastAsia" w:ascii="宋体" w:hAnsi="宋体" w:eastAsia="宋体" w:cs="宋体"/>
              <w:b/>
              <w:bCs/>
              <w:sz w:val="28"/>
              <w:szCs w:val="28"/>
            </w:rPr>
            <w:instrText xml:space="preserve">TOC \o "1-3" \h \u </w:instrText>
          </w:r>
          <w:r>
            <w:rPr>
              <w:rFonts w:hint="eastAsia" w:ascii="宋体" w:hAnsi="宋体" w:eastAsia="宋体" w:cs="宋体"/>
              <w:b/>
              <w:bCs/>
              <w:sz w:val="28"/>
              <w:szCs w:val="28"/>
            </w:rPr>
            <w:fldChar w:fldCharType="separate"/>
          </w:r>
          <w:r>
            <w:rPr>
              <w:rFonts w:hint="eastAsia" w:ascii="宋体" w:hAnsi="宋体" w:eastAsia="宋体" w:cs="宋体"/>
              <w:b/>
              <w:bCs/>
              <w:sz w:val="28"/>
              <w:szCs w:val="28"/>
            </w:rPr>
            <w:fldChar w:fldCharType="begin"/>
          </w:r>
          <w:r>
            <w:rPr>
              <w:rFonts w:hint="eastAsia" w:ascii="宋体" w:hAnsi="宋体" w:eastAsia="宋体" w:cs="宋体"/>
              <w:b/>
              <w:bCs/>
              <w:sz w:val="28"/>
              <w:szCs w:val="28"/>
            </w:rPr>
            <w:instrText xml:space="preserve"> HYPERLINK \l _Toc23890 </w:instrText>
          </w:r>
          <w:r>
            <w:rPr>
              <w:rFonts w:hint="eastAsia" w:ascii="宋体" w:hAnsi="宋体" w:eastAsia="宋体" w:cs="宋体"/>
              <w:b/>
              <w:bCs/>
              <w:sz w:val="28"/>
              <w:szCs w:val="28"/>
            </w:rPr>
            <w:fldChar w:fldCharType="separate"/>
          </w:r>
          <w:r>
            <w:rPr>
              <w:rFonts w:hint="eastAsia" w:ascii="宋体" w:hAnsi="宋体" w:eastAsia="宋体" w:cs="宋体"/>
              <w:b/>
              <w:bCs/>
              <w:sz w:val="28"/>
              <w:szCs w:val="28"/>
            </w:rPr>
            <w:t>第一章   竞争性磋商公告</w:t>
          </w:r>
          <w:r>
            <w:rPr>
              <w:rFonts w:hint="eastAsia" w:ascii="宋体" w:hAnsi="宋体" w:eastAsia="宋体" w:cs="宋体"/>
              <w:b/>
              <w:bCs/>
              <w:sz w:val="28"/>
              <w:szCs w:val="28"/>
            </w:rPr>
            <w:tab/>
          </w:r>
          <w:r>
            <w:rPr>
              <w:rFonts w:hint="eastAsia" w:ascii="宋体" w:hAnsi="宋体" w:eastAsia="宋体" w:cs="宋体"/>
              <w:b/>
              <w:bCs/>
              <w:sz w:val="28"/>
              <w:szCs w:val="28"/>
            </w:rPr>
            <w:fldChar w:fldCharType="begin"/>
          </w:r>
          <w:r>
            <w:rPr>
              <w:rFonts w:hint="eastAsia" w:ascii="宋体" w:hAnsi="宋体" w:eastAsia="宋体" w:cs="宋体"/>
              <w:b/>
              <w:bCs/>
              <w:sz w:val="28"/>
              <w:szCs w:val="28"/>
            </w:rPr>
            <w:instrText xml:space="preserve"> PAGEREF _Toc23890 \h </w:instrText>
          </w:r>
          <w:r>
            <w:rPr>
              <w:rFonts w:hint="eastAsia" w:ascii="宋体" w:hAnsi="宋体" w:eastAsia="宋体" w:cs="宋体"/>
              <w:b/>
              <w:bCs/>
              <w:sz w:val="28"/>
              <w:szCs w:val="28"/>
            </w:rPr>
            <w:fldChar w:fldCharType="separate"/>
          </w:r>
          <w:r>
            <w:rPr>
              <w:rFonts w:hint="eastAsia" w:ascii="宋体" w:hAnsi="宋体" w:eastAsia="宋体" w:cs="宋体"/>
              <w:b/>
              <w:bCs/>
              <w:sz w:val="28"/>
              <w:szCs w:val="28"/>
            </w:rPr>
            <w:t>1</w:t>
          </w:r>
          <w:r>
            <w:rPr>
              <w:rFonts w:hint="eastAsia" w:ascii="宋体" w:hAnsi="宋体" w:eastAsia="宋体" w:cs="宋体"/>
              <w:b/>
              <w:bCs/>
              <w:sz w:val="28"/>
              <w:szCs w:val="28"/>
            </w:rPr>
            <w:fldChar w:fldCharType="end"/>
          </w:r>
          <w:r>
            <w:rPr>
              <w:rFonts w:hint="eastAsia" w:ascii="宋体" w:hAnsi="宋体" w:eastAsia="宋体" w:cs="宋体"/>
              <w:b/>
              <w:bCs/>
              <w:sz w:val="28"/>
              <w:szCs w:val="28"/>
            </w:rPr>
            <w:fldChar w:fldCharType="end"/>
          </w:r>
        </w:p>
        <w:p w14:paraId="3BE87BC5">
          <w:pPr>
            <w:pStyle w:val="23"/>
            <w:keepNext w:val="0"/>
            <w:keepLines w:val="0"/>
            <w:pageBreakBefore w:val="0"/>
            <w:widowControl w:val="0"/>
            <w:tabs>
              <w:tab w:val="right" w:pos="10210"/>
            </w:tabs>
            <w:kinsoku/>
            <w:wordWrap/>
            <w:overflowPunct/>
            <w:topLinePunct w:val="0"/>
            <w:autoSpaceDE/>
            <w:autoSpaceDN/>
            <w:bidi w:val="0"/>
            <w:adjustRightInd/>
            <w:snapToGrid/>
            <w:spacing w:line="560" w:lineRule="exact"/>
            <w:textAlignment w:val="auto"/>
            <w:rPr>
              <w:rFonts w:hint="eastAsia" w:ascii="宋体" w:hAnsi="宋体" w:eastAsia="宋体" w:cs="宋体"/>
              <w:b/>
              <w:bCs/>
              <w:sz w:val="28"/>
              <w:szCs w:val="28"/>
            </w:rPr>
          </w:pPr>
          <w:r>
            <w:rPr>
              <w:rFonts w:hint="eastAsia" w:ascii="宋体" w:hAnsi="宋体" w:eastAsia="宋体" w:cs="宋体"/>
              <w:b/>
              <w:bCs/>
              <w:sz w:val="28"/>
              <w:szCs w:val="28"/>
            </w:rPr>
            <w:fldChar w:fldCharType="begin"/>
          </w:r>
          <w:r>
            <w:rPr>
              <w:rFonts w:hint="eastAsia" w:ascii="宋体" w:hAnsi="宋体" w:eastAsia="宋体" w:cs="宋体"/>
              <w:b/>
              <w:bCs/>
              <w:sz w:val="28"/>
              <w:szCs w:val="28"/>
            </w:rPr>
            <w:instrText xml:space="preserve"> HYPERLINK \l _Toc596 </w:instrText>
          </w:r>
          <w:r>
            <w:rPr>
              <w:rFonts w:hint="eastAsia" w:ascii="宋体" w:hAnsi="宋体" w:eastAsia="宋体" w:cs="宋体"/>
              <w:b/>
              <w:bCs/>
              <w:sz w:val="28"/>
              <w:szCs w:val="28"/>
            </w:rPr>
            <w:fldChar w:fldCharType="separate"/>
          </w:r>
          <w:r>
            <w:rPr>
              <w:rFonts w:hint="eastAsia" w:ascii="宋体" w:hAnsi="宋体" w:eastAsia="宋体" w:cs="宋体"/>
              <w:b/>
              <w:bCs/>
              <w:sz w:val="28"/>
              <w:szCs w:val="28"/>
            </w:rPr>
            <w:t xml:space="preserve">第二章 </w:t>
          </w:r>
          <w:r>
            <w:rPr>
              <w:rFonts w:hint="eastAsia" w:ascii="宋体" w:hAnsi="宋体" w:eastAsia="宋体" w:cs="宋体"/>
              <w:b/>
              <w:bCs/>
              <w:sz w:val="28"/>
              <w:szCs w:val="28"/>
              <w:lang w:val="en-US" w:eastAsia="zh-CN"/>
            </w:rPr>
            <w:t xml:space="preserve"> </w:t>
          </w:r>
          <w:r>
            <w:rPr>
              <w:rFonts w:hint="eastAsia" w:ascii="宋体" w:hAnsi="宋体" w:eastAsia="宋体" w:cs="宋体"/>
              <w:b/>
              <w:bCs/>
              <w:sz w:val="28"/>
              <w:szCs w:val="28"/>
            </w:rPr>
            <w:t xml:space="preserve"> 采购需求</w:t>
          </w:r>
          <w:r>
            <w:rPr>
              <w:rFonts w:hint="eastAsia" w:ascii="宋体" w:hAnsi="宋体" w:eastAsia="宋体" w:cs="宋体"/>
              <w:b/>
              <w:bCs/>
              <w:sz w:val="28"/>
              <w:szCs w:val="28"/>
            </w:rPr>
            <w:tab/>
          </w:r>
          <w:r>
            <w:rPr>
              <w:rFonts w:hint="eastAsia" w:ascii="宋体" w:hAnsi="宋体" w:eastAsia="宋体" w:cs="宋体"/>
              <w:b/>
              <w:bCs/>
              <w:sz w:val="28"/>
              <w:szCs w:val="28"/>
              <w:lang w:val="en-US" w:eastAsia="zh-CN"/>
            </w:rPr>
            <w:t>5</w:t>
          </w:r>
          <w:r>
            <w:rPr>
              <w:rFonts w:hint="eastAsia" w:ascii="宋体" w:hAnsi="宋体" w:eastAsia="宋体" w:cs="宋体"/>
              <w:b/>
              <w:bCs/>
              <w:sz w:val="28"/>
              <w:szCs w:val="28"/>
            </w:rPr>
            <w:fldChar w:fldCharType="end"/>
          </w:r>
        </w:p>
        <w:p w14:paraId="34D0DC5B">
          <w:pPr>
            <w:pStyle w:val="23"/>
            <w:keepNext w:val="0"/>
            <w:keepLines w:val="0"/>
            <w:pageBreakBefore w:val="0"/>
            <w:widowControl w:val="0"/>
            <w:tabs>
              <w:tab w:val="right" w:pos="10210"/>
            </w:tabs>
            <w:kinsoku/>
            <w:wordWrap/>
            <w:overflowPunct/>
            <w:topLinePunct w:val="0"/>
            <w:autoSpaceDE/>
            <w:autoSpaceDN/>
            <w:bidi w:val="0"/>
            <w:adjustRightInd/>
            <w:snapToGrid/>
            <w:spacing w:line="560" w:lineRule="exact"/>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rPr>
            <w:fldChar w:fldCharType="begin"/>
          </w:r>
          <w:r>
            <w:rPr>
              <w:rFonts w:hint="eastAsia" w:ascii="宋体" w:hAnsi="宋体" w:eastAsia="宋体" w:cs="宋体"/>
              <w:b/>
              <w:bCs/>
              <w:sz w:val="28"/>
              <w:szCs w:val="28"/>
            </w:rPr>
            <w:instrText xml:space="preserve"> HYPERLINK \l _Toc22875 </w:instrText>
          </w:r>
          <w:r>
            <w:rPr>
              <w:rFonts w:hint="eastAsia" w:ascii="宋体" w:hAnsi="宋体" w:eastAsia="宋体" w:cs="宋体"/>
              <w:b/>
              <w:bCs/>
              <w:sz w:val="28"/>
              <w:szCs w:val="28"/>
            </w:rPr>
            <w:fldChar w:fldCharType="separate"/>
          </w:r>
          <w:r>
            <w:rPr>
              <w:rFonts w:hint="eastAsia" w:ascii="宋体" w:hAnsi="宋体" w:eastAsia="宋体" w:cs="宋体"/>
              <w:b/>
              <w:bCs/>
              <w:sz w:val="28"/>
              <w:szCs w:val="28"/>
            </w:rPr>
            <w:t>第三章   供应商须知</w:t>
          </w:r>
          <w:r>
            <w:rPr>
              <w:rFonts w:hint="eastAsia" w:ascii="宋体" w:hAnsi="宋体" w:eastAsia="宋体" w:cs="宋体"/>
              <w:b/>
              <w:bCs/>
              <w:sz w:val="28"/>
              <w:szCs w:val="28"/>
            </w:rPr>
            <w:tab/>
          </w:r>
          <w:r>
            <w:rPr>
              <w:rFonts w:hint="eastAsia" w:ascii="宋体" w:hAnsi="宋体" w:eastAsia="宋体" w:cs="宋体"/>
              <w:b/>
              <w:bCs/>
              <w:sz w:val="28"/>
              <w:szCs w:val="28"/>
              <w:lang w:val="en-US" w:eastAsia="zh-CN"/>
            </w:rPr>
            <w:t>3</w:t>
          </w:r>
          <w:r>
            <w:rPr>
              <w:rFonts w:hint="eastAsia" w:ascii="宋体" w:hAnsi="宋体" w:eastAsia="宋体" w:cs="宋体"/>
              <w:b/>
              <w:bCs/>
              <w:sz w:val="28"/>
              <w:szCs w:val="28"/>
            </w:rPr>
            <w:fldChar w:fldCharType="end"/>
          </w:r>
          <w:r>
            <w:rPr>
              <w:rFonts w:hint="eastAsia" w:ascii="宋体" w:hAnsi="宋体" w:eastAsia="宋体" w:cs="宋体"/>
              <w:b/>
              <w:bCs/>
              <w:sz w:val="28"/>
              <w:szCs w:val="28"/>
              <w:lang w:val="en-US" w:eastAsia="zh-CN"/>
            </w:rPr>
            <w:t>8</w:t>
          </w:r>
        </w:p>
        <w:p w14:paraId="0D082047">
          <w:pPr>
            <w:pStyle w:val="23"/>
            <w:keepNext w:val="0"/>
            <w:keepLines w:val="0"/>
            <w:pageBreakBefore w:val="0"/>
            <w:widowControl w:val="0"/>
            <w:tabs>
              <w:tab w:val="right" w:pos="10210"/>
            </w:tabs>
            <w:kinsoku/>
            <w:wordWrap/>
            <w:overflowPunct/>
            <w:topLinePunct w:val="0"/>
            <w:autoSpaceDE/>
            <w:autoSpaceDN/>
            <w:bidi w:val="0"/>
            <w:adjustRightInd/>
            <w:snapToGrid/>
            <w:spacing w:line="560" w:lineRule="exact"/>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rPr>
            <w:fldChar w:fldCharType="begin"/>
          </w:r>
          <w:r>
            <w:rPr>
              <w:rFonts w:hint="eastAsia" w:ascii="宋体" w:hAnsi="宋体" w:eastAsia="宋体" w:cs="宋体"/>
              <w:b/>
              <w:bCs/>
              <w:sz w:val="28"/>
              <w:szCs w:val="28"/>
            </w:rPr>
            <w:instrText xml:space="preserve"> HYPERLINK \l _Toc27539 </w:instrText>
          </w:r>
          <w:r>
            <w:rPr>
              <w:rFonts w:hint="eastAsia" w:ascii="宋体" w:hAnsi="宋体" w:eastAsia="宋体" w:cs="宋体"/>
              <w:b/>
              <w:bCs/>
              <w:sz w:val="28"/>
              <w:szCs w:val="28"/>
            </w:rPr>
            <w:fldChar w:fldCharType="separate"/>
          </w:r>
          <w:r>
            <w:rPr>
              <w:rFonts w:hint="eastAsia" w:ascii="宋体" w:hAnsi="宋体" w:eastAsia="宋体" w:cs="宋体"/>
              <w:b/>
              <w:bCs/>
              <w:sz w:val="28"/>
              <w:szCs w:val="28"/>
            </w:rPr>
            <w:t>第四章   评审程序、评审方法和评审标准</w:t>
          </w:r>
          <w:r>
            <w:rPr>
              <w:rFonts w:hint="eastAsia" w:ascii="宋体" w:hAnsi="宋体" w:eastAsia="宋体" w:cs="宋体"/>
              <w:b/>
              <w:bCs/>
              <w:sz w:val="28"/>
              <w:szCs w:val="28"/>
            </w:rPr>
            <w:tab/>
          </w:r>
          <w:r>
            <w:rPr>
              <w:rFonts w:hint="eastAsia" w:ascii="宋体" w:hAnsi="宋体" w:eastAsia="宋体" w:cs="宋体"/>
              <w:b/>
              <w:bCs/>
              <w:sz w:val="28"/>
              <w:szCs w:val="28"/>
              <w:lang w:val="en-US" w:eastAsia="zh-CN"/>
            </w:rPr>
            <w:t>4</w:t>
          </w:r>
          <w:r>
            <w:rPr>
              <w:rFonts w:hint="eastAsia" w:ascii="宋体" w:hAnsi="宋体" w:eastAsia="宋体" w:cs="宋体"/>
              <w:b/>
              <w:bCs/>
              <w:sz w:val="28"/>
              <w:szCs w:val="28"/>
            </w:rPr>
            <w:fldChar w:fldCharType="end"/>
          </w:r>
          <w:r>
            <w:rPr>
              <w:rFonts w:hint="eastAsia" w:ascii="宋体" w:hAnsi="宋体" w:eastAsia="宋体" w:cs="宋体"/>
              <w:b/>
              <w:bCs/>
              <w:sz w:val="28"/>
              <w:szCs w:val="28"/>
              <w:lang w:val="en-US" w:eastAsia="zh-CN"/>
            </w:rPr>
            <w:t>7</w:t>
          </w:r>
        </w:p>
        <w:p w14:paraId="392AA6B7">
          <w:pPr>
            <w:pStyle w:val="23"/>
            <w:keepNext w:val="0"/>
            <w:keepLines w:val="0"/>
            <w:pageBreakBefore w:val="0"/>
            <w:widowControl w:val="0"/>
            <w:tabs>
              <w:tab w:val="right" w:pos="10210"/>
            </w:tabs>
            <w:kinsoku/>
            <w:wordWrap/>
            <w:overflowPunct/>
            <w:topLinePunct w:val="0"/>
            <w:autoSpaceDE/>
            <w:autoSpaceDN/>
            <w:bidi w:val="0"/>
            <w:adjustRightInd/>
            <w:snapToGrid/>
            <w:spacing w:line="560" w:lineRule="exact"/>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rPr>
            <w:fldChar w:fldCharType="begin"/>
          </w:r>
          <w:r>
            <w:rPr>
              <w:rFonts w:hint="eastAsia" w:ascii="宋体" w:hAnsi="宋体" w:eastAsia="宋体" w:cs="宋体"/>
              <w:b/>
              <w:bCs/>
              <w:sz w:val="28"/>
              <w:szCs w:val="28"/>
            </w:rPr>
            <w:instrText xml:space="preserve"> HYPERLINK \l _Toc29365 </w:instrText>
          </w:r>
          <w:r>
            <w:rPr>
              <w:rFonts w:hint="eastAsia" w:ascii="宋体" w:hAnsi="宋体" w:eastAsia="宋体" w:cs="宋体"/>
              <w:b/>
              <w:bCs/>
              <w:sz w:val="28"/>
              <w:szCs w:val="28"/>
            </w:rPr>
            <w:fldChar w:fldCharType="separate"/>
          </w:r>
          <w:r>
            <w:rPr>
              <w:rFonts w:hint="eastAsia" w:ascii="宋体" w:hAnsi="宋体" w:eastAsia="宋体" w:cs="宋体"/>
              <w:b/>
              <w:bCs/>
              <w:sz w:val="28"/>
              <w:szCs w:val="28"/>
            </w:rPr>
            <w:t>第五章   合同草案条款</w:t>
          </w:r>
          <w:r>
            <w:rPr>
              <w:rFonts w:hint="eastAsia" w:ascii="宋体" w:hAnsi="宋体" w:eastAsia="宋体" w:cs="宋体"/>
              <w:b/>
              <w:bCs/>
              <w:sz w:val="28"/>
              <w:szCs w:val="28"/>
            </w:rPr>
            <w:tab/>
          </w:r>
          <w:r>
            <w:rPr>
              <w:rFonts w:hint="eastAsia" w:ascii="宋体" w:hAnsi="宋体" w:eastAsia="宋体" w:cs="宋体"/>
              <w:b/>
              <w:bCs/>
              <w:sz w:val="28"/>
              <w:szCs w:val="28"/>
              <w:lang w:val="en-US" w:eastAsia="zh-CN"/>
            </w:rPr>
            <w:t>5</w:t>
          </w:r>
          <w:r>
            <w:rPr>
              <w:rFonts w:hint="eastAsia" w:ascii="宋体" w:hAnsi="宋体" w:eastAsia="宋体" w:cs="宋体"/>
              <w:b/>
              <w:bCs/>
              <w:sz w:val="28"/>
              <w:szCs w:val="28"/>
            </w:rPr>
            <w:fldChar w:fldCharType="end"/>
          </w:r>
          <w:r>
            <w:rPr>
              <w:rFonts w:hint="eastAsia" w:ascii="宋体" w:hAnsi="宋体" w:eastAsia="宋体" w:cs="宋体"/>
              <w:b/>
              <w:bCs/>
              <w:sz w:val="28"/>
              <w:szCs w:val="28"/>
              <w:lang w:val="en-US" w:eastAsia="zh-CN"/>
            </w:rPr>
            <w:t>7</w:t>
          </w:r>
        </w:p>
        <w:p w14:paraId="43651611">
          <w:pPr>
            <w:pStyle w:val="23"/>
            <w:keepNext w:val="0"/>
            <w:keepLines w:val="0"/>
            <w:pageBreakBefore w:val="0"/>
            <w:widowControl w:val="0"/>
            <w:tabs>
              <w:tab w:val="right" w:pos="10210"/>
            </w:tabs>
            <w:kinsoku/>
            <w:wordWrap/>
            <w:overflowPunct/>
            <w:topLinePunct w:val="0"/>
            <w:autoSpaceDE/>
            <w:autoSpaceDN/>
            <w:bidi w:val="0"/>
            <w:adjustRightInd/>
            <w:snapToGrid/>
            <w:spacing w:line="560" w:lineRule="exact"/>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rPr>
            <w:fldChar w:fldCharType="begin"/>
          </w:r>
          <w:r>
            <w:rPr>
              <w:rFonts w:hint="eastAsia" w:ascii="宋体" w:hAnsi="宋体" w:eastAsia="宋体" w:cs="宋体"/>
              <w:b/>
              <w:bCs/>
              <w:sz w:val="28"/>
              <w:szCs w:val="28"/>
            </w:rPr>
            <w:instrText xml:space="preserve"> HYPERLINK \l _Toc22757 </w:instrText>
          </w:r>
          <w:r>
            <w:rPr>
              <w:rFonts w:hint="eastAsia" w:ascii="宋体" w:hAnsi="宋体" w:eastAsia="宋体" w:cs="宋体"/>
              <w:b/>
              <w:bCs/>
              <w:sz w:val="28"/>
              <w:szCs w:val="28"/>
            </w:rPr>
            <w:fldChar w:fldCharType="separate"/>
          </w:r>
          <w:r>
            <w:rPr>
              <w:rFonts w:hint="eastAsia" w:ascii="宋体" w:hAnsi="宋体" w:eastAsia="宋体" w:cs="宋体"/>
              <w:b/>
              <w:bCs/>
              <w:sz w:val="28"/>
              <w:szCs w:val="28"/>
            </w:rPr>
            <w:t>第六章</w:t>
          </w:r>
          <w:r>
            <w:rPr>
              <w:rFonts w:hint="eastAsia" w:ascii="宋体" w:hAnsi="宋体" w:eastAsia="宋体" w:cs="宋体"/>
              <w:b/>
              <w:bCs/>
              <w:spacing w:val="14"/>
              <w:sz w:val="28"/>
              <w:szCs w:val="28"/>
            </w:rPr>
            <w:t xml:space="preserve">  </w:t>
          </w:r>
          <w:r>
            <w:rPr>
              <w:rFonts w:hint="eastAsia" w:ascii="宋体" w:hAnsi="宋体" w:eastAsia="宋体" w:cs="宋体"/>
              <w:b/>
              <w:bCs/>
              <w:spacing w:val="14"/>
              <w:sz w:val="28"/>
              <w:szCs w:val="28"/>
              <w:lang w:val="en-US" w:eastAsia="zh-CN"/>
            </w:rPr>
            <w:t xml:space="preserve"> </w:t>
          </w:r>
          <w:r>
            <w:rPr>
              <w:rFonts w:hint="eastAsia" w:ascii="宋体" w:hAnsi="宋体" w:eastAsia="宋体" w:cs="宋体"/>
              <w:b/>
              <w:bCs/>
              <w:sz w:val="28"/>
              <w:szCs w:val="28"/>
            </w:rPr>
            <w:t>响应文件格式</w:t>
          </w:r>
          <w:r>
            <w:rPr>
              <w:rFonts w:hint="eastAsia" w:ascii="宋体" w:hAnsi="宋体" w:eastAsia="宋体" w:cs="宋体"/>
              <w:b/>
              <w:bCs/>
              <w:sz w:val="28"/>
              <w:szCs w:val="28"/>
            </w:rPr>
            <w:tab/>
          </w:r>
          <w:r>
            <w:rPr>
              <w:rFonts w:hint="eastAsia" w:ascii="宋体" w:hAnsi="宋体" w:eastAsia="宋体" w:cs="宋体"/>
              <w:b/>
              <w:bCs/>
              <w:sz w:val="28"/>
              <w:szCs w:val="28"/>
              <w:lang w:val="en-US" w:eastAsia="zh-CN"/>
            </w:rPr>
            <w:t>5</w:t>
          </w:r>
          <w:r>
            <w:rPr>
              <w:rFonts w:hint="eastAsia" w:ascii="宋体" w:hAnsi="宋体" w:eastAsia="宋体" w:cs="宋体"/>
              <w:b/>
              <w:bCs/>
              <w:sz w:val="28"/>
              <w:szCs w:val="28"/>
            </w:rPr>
            <w:fldChar w:fldCharType="end"/>
          </w:r>
          <w:r>
            <w:rPr>
              <w:rFonts w:hint="eastAsia" w:ascii="宋体" w:hAnsi="宋体" w:eastAsia="宋体" w:cs="宋体"/>
              <w:b/>
              <w:bCs/>
              <w:sz w:val="28"/>
              <w:szCs w:val="28"/>
              <w:lang w:val="en-US" w:eastAsia="zh-CN"/>
            </w:rPr>
            <w:t>9</w:t>
          </w:r>
        </w:p>
        <w:p w14:paraId="77DD0E73">
          <w:pPr>
            <w:keepNext w:val="0"/>
            <w:keepLines w:val="0"/>
            <w:pageBreakBefore w:val="0"/>
            <w:widowControl w:val="0"/>
            <w:kinsoku/>
            <w:wordWrap/>
            <w:overflowPunct/>
            <w:topLinePunct w:val="0"/>
            <w:autoSpaceDE/>
            <w:autoSpaceDN/>
            <w:bidi w:val="0"/>
            <w:adjustRightInd/>
            <w:snapToGrid/>
            <w:spacing w:line="560" w:lineRule="exact"/>
            <w:textAlignment w:val="auto"/>
            <w:sectPr>
              <w:headerReference r:id="rId4" w:type="first"/>
              <w:headerReference r:id="rId3" w:type="default"/>
              <w:footerReference r:id="rId5" w:type="default"/>
              <w:pgSz w:w="11910" w:h="16840"/>
              <w:pgMar w:top="567" w:right="840" w:bottom="567" w:left="860" w:header="567" w:footer="567" w:gutter="0"/>
              <w:pgNumType w:fmt="decimal" w:start="1"/>
              <w:cols w:space="720" w:num="1"/>
              <w:titlePg/>
            </w:sectPr>
          </w:pPr>
          <w:r>
            <w:rPr>
              <w:rFonts w:hint="eastAsia" w:ascii="宋体" w:hAnsi="宋体" w:eastAsia="宋体" w:cs="宋体"/>
              <w:b/>
              <w:bCs/>
              <w:sz w:val="28"/>
              <w:szCs w:val="28"/>
            </w:rPr>
            <w:fldChar w:fldCharType="end"/>
          </w:r>
        </w:p>
      </w:sdtContent>
    </w:sdt>
    <w:p w14:paraId="4F83A6CC">
      <w:pPr>
        <w:pStyle w:val="2"/>
        <w:jc w:val="center"/>
      </w:pPr>
      <w:bookmarkStart w:id="4" w:name="_Toc23890"/>
      <w:r>
        <w:t xml:space="preserve">第一章   </w:t>
      </w:r>
      <w:r>
        <w:rPr>
          <w:rFonts w:hint="eastAsia"/>
        </w:rPr>
        <w:t>竞争性磋商公告</w:t>
      </w:r>
      <w:bookmarkEnd w:id="2"/>
      <w:bookmarkEnd w:id="3"/>
      <w:bookmarkEnd w:id="4"/>
    </w:p>
    <w:tbl>
      <w:tblPr>
        <w:tblStyle w:val="30"/>
        <w:tblW w:w="5335" w:type="pct"/>
        <w:tblInd w:w="-27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926"/>
      </w:tblGrid>
      <w:tr w14:paraId="4B131A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377" w:hRule="atLeast"/>
        </w:trPr>
        <w:tc>
          <w:tcPr>
            <w:tcW w:w="10928" w:type="dxa"/>
            <w:shd w:val="clear" w:color="auto" w:fill="auto"/>
            <w:vAlign w:val="center"/>
          </w:tcPr>
          <w:p w14:paraId="18CD1957">
            <w:pPr>
              <w:keepNext w:val="0"/>
              <w:keepLines w:val="0"/>
              <w:pageBreakBefore w:val="0"/>
              <w:widowControl w:val="0"/>
              <w:kinsoku/>
              <w:wordWrap/>
              <w:overflowPunct/>
              <w:topLinePunct w:val="0"/>
              <w:autoSpaceDE/>
              <w:autoSpaceDN/>
              <w:bidi w:val="0"/>
              <w:adjustRightInd/>
              <w:snapToGrid/>
              <w:spacing w:line="400" w:lineRule="exact"/>
              <w:ind w:firstLine="241" w:firstLineChars="100"/>
              <w:textAlignment w:val="auto"/>
              <w:rPr>
                <w:rFonts w:hint="eastAsia"/>
                <w:b/>
                <w:bCs/>
                <w:lang w:val="en-US" w:eastAsia="zh-CN"/>
              </w:rPr>
            </w:pPr>
            <w:r>
              <w:rPr>
                <w:rFonts w:hint="eastAsia"/>
                <w:b/>
                <w:bCs/>
                <w:lang w:val="en-US" w:eastAsia="zh-CN"/>
              </w:rPr>
              <w:t>项目概况</w:t>
            </w:r>
          </w:p>
          <w:p w14:paraId="77FA69D6">
            <w:pPr>
              <w:keepNext w:val="0"/>
              <w:keepLines w:val="0"/>
              <w:pageBreakBefore w:val="0"/>
              <w:widowControl w:val="0"/>
              <w:kinsoku/>
              <w:wordWrap/>
              <w:overflowPunct/>
              <w:topLinePunct w:val="0"/>
              <w:autoSpaceDE/>
              <w:autoSpaceDN/>
              <w:bidi w:val="0"/>
              <w:adjustRightInd/>
              <w:snapToGrid/>
              <w:spacing w:line="400" w:lineRule="exact"/>
              <w:ind w:firstLine="720" w:firstLineChars="300"/>
              <w:textAlignment w:val="auto"/>
              <w:rPr>
                <w:rFonts w:hint="eastAsia"/>
                <w:lang w:val="en-US" w:eastAsia="zh-CN"/>
              </w:rPr>
            </w:pPr>
            <w:r>
              <w:rPr>
                <w:rFonts w:hint="eastAsia"/>
                <w:lang w:val="en-US" w:eastAsia="zh-CN"/>
              </w:rPr>
              <w:t>唐河县市场监督管理局2026年食品安全监督抽检项目的潜在投标人应在唐河县公共资源交易中心网站（http://ggzyjy.tanghe.gov.cn）获取招标文件，并于</w:t>
            </w:r>
            <w:r>
              <w:rPr>
                <w:rFonts w:hint="eastAsia"/>
                <w:color w:val="0000FF"/>
                <w:lang w:val="en-US" w:eastAsia="zh-CN"/>
              </w:rPr>
              <w:t>2026年4月28日09时00分（北</w:t>
            </w:r>
            <w:r>
              <w:rPr>
                <w:rFonts w:hint="eastAsia"/>
                <w:lang w:val="en-US" w:eastAsia="zh-CN"/>
              </w:rPr>
              <w:t>京时间）前递交响应文件。</w:t>
            </w:r>
          </w:p>
        </w:tc>
      </w:tr>
      <w:tr w14:paraId="2AAB0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66" w:hRule="atLeast"/>
        </w:trPr>
        <w:tc>
          <w:tcPr>
            <w:tcW w:w="10928" w:type="dxa"/>
            <w:shd w:val="clear" w:color="auto" w:fill="auto"/>
            <w:vAlign w:val="center"/>
          </w:tcPr>
          <w:p w14:paraId="48F276D2">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b/>
                <w:bCs/>
              </w:rPr>
            </w:pPr>
            <w:r>
              <w:rPr>
                <w:rFonts w:hint="eastAsia"/>
                <w:b/>
                <w:bCs/>
                <w:lang w:val="en-US" w:eastAsia="zh-CN"/>
              </w:rPr>
              <w:t>一、项目基本情况</w:t>
            </w:r>
          </w:p>
        </w:tc>
      </w:tr>
      <w:tr w14:paraId="01D5A5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44" w:hRule="atLeast"/>
        </w:trPr>
        <w:tc>
          <w:tcPr>
            <w:tcW w:w="10928" w:type="dxa"/>
            <w:shd w:val="clear" w:color="auto" w:fill="auto"/>
            <w:vAlign w:val="center"/>
          </w:tcPr>
          <w:p w14:paraId="5D0897B6">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lang w:val="en-US"/>
              </w:rPr>
            </w:pPr>
            <w:r>
              <w:rPr>
                <w:rFonts w:hint="eastAsia"/>
                <w:lang w:val="en-US" w:eastAsia="zh-CN"/>
              </w:rPr>
              <w:t>1、项目编号：</w:t>
            </w:r>
            <w:r>
              <w:rPr>
                <w:rFonts w:hint="eastAsia"/>
                <w:color w:val="0000FF"/>
                <w:lang w:val="en-US" w:eastAsia="zh-CN"/>
              </w:rPr>
              <w:t>唐财采购竞争性磋商-2026-36</w:t>
            </w:r>
          </w:p>
        </w:tc>
      </w:tr>
      <w:tr w14:paraId="0DCD2B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53" w:hRule="atLeast"/>
        </w:trPr>
        <w:tc>
          <w:tcPr>
            <w:tcW w:w="10928" w:type="dxa"/>
            <w:shd w:val="clear" w:color="auto" w:fill="auto"/>
            <w:vAlign w:val="center"/>
          </w:tcPr>
          <w:p w14:paraId="6A578155">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r>
              <w:rPr>
                <w:rFonts w:hint="eastAsia"/>
                <w:lang w:val="en-US" w:eastAsia="zh-CN"/>
              </w:rPr>
              <w:t>2、项目名称：唐河县市场监督管理局2026年食品安全监督抽检项目</w:t>
            </w:r>
          </w:p>
        </w:tc>
      </w:tr>
      <w:tr w14:paraId="18A4E9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53" w:hRule="atLeast"/>
        </w:trPr>
        <w:tc>
          <w:tcPr>
            <w:tcW w:w="10928" w:type="dxa"/>
            <w:shd w:val="clear" w:color="auto" w:fill="auto"/>
            <w:vAlign w:val="center"/>
          </w:tcPr>
          <w:p w14:paraId="3A1ACA7C">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r>
              <w:rPr>
                <w:rFonts w:hint="eastAsia"/>
                <w:lang w:val="en-US" w:eastAsia="zh-CN"/>
              </w:rPr>
              <w:t>3、采购方式：竞争性磋商</w:t>
            </w:r>
          </w:p>
        </w:tc>
      </w:tr>
      <w:tr w14:paraId="16E70D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12" w:hRule="atLeast"/>
        </w:trPr>
        <w:tc>
          <w:tcPr>
            <w:tcW w:w="10928" w:type="dxa"/>
            <w:shd w:val="clear" w:color="auto" w:fill="auto"/>
            <w:vAlign w:val="center"/>
          </w:tcPr>
          <w:p w14:paraId="6376AEEF">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r>
              <w:rPr>
                <w:rFonts w:hint="eastAsia"/>
                <w:lang w:val="en-US" w:eastAsia="zh-CN"/>
              </w:rPr>
              <w:t>4、预算金额：1300000.00元</w:t>
            </w:r>
          </w:p>
        </w:tc>
      </w:tr>
      <w:tr w14:paraId="5BB02B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41" w:hRule="atLeast"/>
        </w:trPr>
        <w:tc>
          <w:tcPr>
            <w:tcW w:w="10928" w:type="dxa"/>
            <w:shd w:val="clear" w:color="auto" w:fill="auto"/>
            <w:vAlign w:val="center"/>
          </w:tcPr>
          <w:p w14:paraId="05D17B6A">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r>
              <w:rPr>
                <w:rFonts w:hint="eastAsia"/>
                <w:lang w:val="en-US" w:eastAsia="zh-CN"/>
              </w:rPr>
              <w:t>最高限价：1300000.00元</w:t>
            </w:r>
            <w:r>
              <w:rPr>
                <w:rFonts w:hint="eastAsia"/>
                <w:color w:val="0000FF"/>
                <w:lang w:val="en-US" w:eastAsia="zh-CN"/>
              </w:rPr>
              <w:t xml:space="preserve"> </w:t>
            </w:r>
          </w:p>
        </w:tc>
      </w:tr>
      <w:tr w14:paraId="7A03D0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290" w:hRule="atLeast"/>
        </w:trPr>
        <w:tc>
          <w:tcPr>
            <w:tcW w:w="10928" w:type="dxa"/>
            <w:shd w:val="clear" w:color="auto" w:fill="auto"/>
            <w:vAlign w:val="center"/>
          </w:tcPr>
          <w:tbl>
            <w:tblPr>
              <w:tblStyle w:val="30"/>
              <w:tblW w:w="10717"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
            <w:tblGrid>
              <w:gridCol w:w="497"/>
              <w:gridCol w:w="1730"/>
              <w:gridCol w:w="3300"/>
              <w:gridCol w:w="990"/>
              <w:gridCol w:w="1230"/>
              <w:gridCol w:w="1440"/>
              <w:gridCol w:w="1530"/>
            </w:tblGrid>
            <w:tr w14:paraId="4E1DD8D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497" w:type="dxa"/>
                  <w:tcBorders>
                    <w:top w:val="outset" w:color="auto" w:sz="6" w:space="0"/>
                    <w:left w:val="outset" w:color="auto" w:sz="6" w:space="0"/>
                    <w:bottom w:val="outset" w:color="auto" w:sz="6" w:space="0"/>
                    <w:right w:val="outset" w:color="auto" w:sz="6" w:space="0"/>
                  </w:tcBorders>
                  <w:noWrap w:val="0"/>
                  <w:vAlign w:val="center"/>
                </w:tcPr>
                <w:p w14:paraId="78166B54">
                  <w:pPr>
                    <w:keepNext w:val="0"/>
                    <w:keepLines w:val="0"/>
                    <w:widowControl/>
                    <w:suppressLineNumbers w:val="0"/>
                    <w:spacing w:before="0" w:beforeAutospacing="0" w:after="0" w:afterAutospacing="0"/>
                    <w:ind w:left="0" w:right="0"/>
                    <w:jc w:val="center"/>
                  </w:pPr>
                  <w:r>
                    <w:rPr>
                      <w:rFonts w:ascii="宋体" w:hAnsi="宋体" w:eastAsia="宋体" w:cs="宋体"/>
                      <w:kern w:val="0"/>
                      <w:sz w:val="24"/>
                      <w:szCs w:val="24"/>
                      <w:lang w:val="en-US" w:eastAsia="zh-CN" w:bidi="ar"/>
                    </w:rPr>
                    <w:t>序号</w:t>
                  </w:r>
                </w:p>
              </w:tc>
              <w:tc>
                <w:tcPr>
                  <w:tcW w:w="1730" w:type="dxa"/>
                  <w:tcBorders>
                    <w:top w:val="outset" w:color="auto" w:sz="6" w:space="0"/>
                    <w:left w:val="outset" w:color="auto" w:sz="6" w:space="0"/>
                    <w:bottom w:val="outset" w:color="auto" w:sz="6" w:space="0"/>
                    <w:right w:val="outset" w:color="auto" w:sz="6" w:space="0"/>
                  </w:tcBorders>
                  <w:noWrap w:val="0"/>
                  <w:vAlign w:val="center"/>
                </w:tcPr>
                <w:p w14:paraId="1D9CC176">
                  <w:pPr>
                    <w:keepNext w:val="0"/>
                    <w:keepLines w:val="0"/>
                    <w:widowControl/>
                    <w:suppressLineNumbers w:val="0"/>
                    <w:spacing w:before="0" w:beforeAutospacing="0" w:after="0" w:afterAutospacing="0"/>
                    <w:ind w:left="0" w:right="0"/>
                    <w:jc w:val="center"/>
                  </w:pPr>
                  <w:r>
                    <w:rPr>
                      <w:rFonts w:ascii="宋体" w:hAnsi="宋体" w:eastAsia="宋体" w:cs="宋体"/>
                      <w:kern w:val="0"/>
                      <w:sz w:val="24"/>
                      <w:szCs w:val="24"/>
                      <w:lang w:val="en-US" w:eastAsia="zh-CN" w:bidi="ar"/>
                    </w:rPr>
                    <w:t>包号</w:t>
                  </w:r>
                </w:p>
              </w:tc>
              <w:tc>
                <w:tcPr>
                  <w:tcW w:w="3300" w:type="dxa"/>
                  <w:tcBorders>
                    <w:top w:val="outset" w:color="auto" w:sz="6" w:space="0"/>
                    <w:left w:val="outset" w:color="auto" w:sz="6" w:space="0"/>
                    <w:bottom w:val="outset" w:color="auto" w:sz="6" w:space="0"/>
                    <w:right w:val="outset" w:color="auto" w:sz="6" w:space="0"/>
                  </w:tcBorders>
                  <w:noWrap w:val="0"/>
                  <w:vAlign w:val="center"/>
                </w:tcPr>
                <w:p w14:paraId="5971F78A">
                  <w:pPr>
                    <w:keepNext w:val="0"/>
                    <w:keepLines w:val="0"/>
                    <w:widowControl/>
                    <w:suppressLineNumbers w:val="0"/>
                    <w:spacing w:before="0" w:beforeAutospacing="0" w:after="0" w:afterAutospacing="0"/>
                    <w:ind w:left="0" w:right="0"/>
                    <w:jc w:val="center"/>
                  </w:pPr>
                  <w:r>
                    <w:rPr>
                      <w:rFonts w:ascii="宋体" w:hAnsi="宋体" w:eastAsia="宋体" w:cs="宋体"/>
                      <w:kern w:val="0"/>
                      <w:sz w:val="24"/>
                      <w:szCs w:val="24"/>
                      <w:lang w:val="en-US" w:eastAsia="zh-CN" w:bidi="ar"/>
                    </w:rPr>
                    <w:t>包名称</w:t>
                  </w:r>
                </w:p>
              </w:tc>
              <w:tc>
                <w:tcPr>
                  <w:tcW w:w="990" w:type="dxa"/>
                  <w:tcBorders>
                    <w:top w:val="outset" w:color="auto" w:sz="6" w:space="0"/>
                    <w:left w:val="outset" w:color="auto" w:sz="6" w:space="0"/>
                    <w:bottom w:val="outset" w:color="auto" w:sz="6" w:space="0"/>
                    <w:right w:val="outset" w:color="auto" w:sz="6" w:space="0"/>
                  </w:tcBorders>
                  <w:noWrap w:val="0"/>
                  <w:vAlign w:val="center"/>
                </w:tcPr>
                <w:p w14:paraId="44C91BAF">
                  <w:pPr>
                    <w:keepNext w:val="0"/>
                    <w:keepLines w:val="0"/>
                    <w:widowControl/>
                    <w:suppressLineNumbers w:val="0"/>
                    <w:spacing w:before="0" w:beforeAutospacing="0" w:after="0" w:afterAutospacing="0"/>
                    <w:ind w:left="0" w:right="0"/>
                    <w:jc w:val="center"/>
                  </w:pPr>
                  <w:r>
                    <w:rPr>
                      <w:rFonts w:ascii="宋体" w:hAnsi="宋体" w:eastAsia="宋体" w:cs="宋体"/>
                      <w:kern w:val="0"/>
                      <w:sz w:val="24"/>
                      <w:szCs w:val="24"/>
                      <w:lang w:val="en-US" w:eastAsia="zh-CN" w:bidi="ar"/>
                    </w:rPr>
                    <w:t>包预算（元）</w:t>
                  </w:r>
                </w:p>
              </w:tc>
              <w:tc>
                <w:tcPr>
                  <w:tcW w:w="1230" w:type="dxa"/>
                  <w:tcBorders>
                    <w:top w:val="outset" w:color="auto" w:sz="6" w:space="0"/>
                    <w:left w:val="outset" w:color="auto" w:sz="6" w:space="0"/>
                    <w:bottom w:val="outset" w:color="auto" w:sz="6" w:space="0"/>
                    <w:right w:val="outset" w:color="auto" w:sz="6" w:space="0"/>
                  </w:tcBorders>
                  <w:noWrap w:val="0"/>
                  <w:vAlign w:val="center"/>
                </w:tcPr>
                <w:p w14:paraId="3C2EE243">
                  <w:pPr>
                    <w:keepNext w:val="0"/>
                    <w:keepLines w:val="0"/>
                    <w:widowControl/>
                    <w:suppressLineNumbers w:val="0"/>
                    <w:spacing w:before="0" w:beforeAutospacing="0" w:after="0" w:afterAutospacing="0"/>
                    <w:ind w:left="0" w:right="0"/>
                    <w:jc w:val="center"/>
                  </w:pPr>
                  <w:r>
                    <w:rPr>
                      <w:rFonts w:ascii="宋体" w:hAnsi="宋体" w:eastAsia="宋体" w:cs="宋体"/>
                      <w:kern w:val="0"/>
                      <w:sz w:val="24"/>
                      <w:szCs w:val="24"/>
                      <w:lang w:val="en-US" w:eastAsia="zh-CN" w:bidi="ar"/>
                    </w:rPr>
                    <w:t>包最高限价（元）</w:t>
                  </w:r>
                </w:p>
              </w:tc>
              <w:tc>
                <w:tcPr>
                  <w:tcW w:w="1440" w:type="dxa"/>
                  <w:tcBorders>
                    <w:top w:val="outset" w:color="auto" w:sz="6" w:space="0"/>
                    <w:left w:val="outset" w:color="auto" w:sz="6" w:space="0"/>
                    <w:bottom w:val="outset" w:color="auto" w:sz="6" w:space="0"/>
                    <w:right w:val="outset" w:color="auto" w:sz="6" w:space="0"/>
                  </w:tcBorders>
                  <w:noWrap w:val="0"/>
                  <w:vAlign w:val="center"/>
                </w:tcPr>
                <w:p w14:paraId="1D60B8DA">
                  <w:pPr>
                    <w:keepNext w:val="0"/>
                    <w:keepLines w:val="0"/>
                    <w:widowControl/>
                    <w:suppressLineNumbers w:val="0"/>
                    <w:spacing w:before="0" w:beforeAutospacing="0" w:after="0" w:afterAutospacing="0"/>
                    <w:ind w:left="0" w:right="0"/>
                    <w:jc w:val="center"/>
                  </w:pPr>
                  <w:r>
                    <w:rPr>
                      <w:rFonts w:ascii="宋体" w:hAnsi="宋体" w:eastAsia="宋体" w:cs="宋体"/>
                      <w:kern w:val="0"/>
                      <w:sz w:val="24"/>
                      <w:szCs w:val="24"/>
                      <w:lang w:val="en-US" w:eastAsia="zh-CN" w:bidi="ar"/>
                    </w:rPr>
                    <w:t>是否专门面向中小企业</w:t>
                  </w:r>
                </w:p>
              </w:tc>
              <w:tc>
                <w:tcPr>
                  <w:tcW w:w="1530" w:type="dxa"/>
                  <w:tcBorders>
                    <w:top w:val="outset" w:color="auto" w:sz="6" w:space="0"/>
                    <w:left w:val="outset" w:color="auto" w:sz="6" w:space="0"/>
                    <w:bottom w:val="outset" w:color="auto" w:sz="6" w:space="0"/>
                    <w:right w:val="outset" w:color="auto" w:sz="6" w:space="0"/>
                  </w:tcBorders>
                  <w:noWrap w:val="0"/>
                  <w:vAlign w:val="center"/>
                </w:tcPr>
                <w:p w14:paraId="7063241C">
                  <w:pPr>
                    <w:keepNext w:val="0"/>
                    <w:keepLines w:val="0"/>
                    <w:widowControl/>
                    <w:suppressLineNumbers w:val="0"/>
                    <w:spacing w:before="0" w:beforeAutospacing="0" w:after="0" w:afterAutospacing="0"/>
                    <w:ind w:left="0" w:right="0"/>
                    <w:jc w:val="center"/>
                  </w:pPr>
                  <w:r>
                    <w:rPr>
                      <w:rFonts w:ascii="宋体" w:hAnsi="宋体" w:eastAsia="宋体" w:cs="宋体"/>
                      <w:kern w:val="0"/>
                      <w:sz w:val="24"/>
                      <w:szCs w:val="24"/>
                      <w:lang w:val="en-US" w:eastAsia="zh-CN" w:bidi="ar"/>
                    </w:rPr>
                    <w:t>采购预留金额（元）</w:t>
                  </w:r>
                </w:p>
              </w:tc>
            </w:tr>
            <w:tr w14:paraId="4640BDF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497" w:type="dxa"/>
                  <w:tcBorders>
                    <w:top w:val="outset" w:color="auto" w:sz="6" w:space="0"/>
                    <w:left w:val="outset" w:color="auto" w:sz="6" w:space="0"/>
                    <w:bottom w:val="outset" w:color="auto" w:sz="6" w:space="0"/>
                    <w:right w:val="outset" w:color="auto" w:sz="6" w:space="0"/>
                  </w:tcBorders>
                  <w:noWrap w:val="0"/>
                  <w:vAlign w:val="center"/>
                </w:tcPr>
                <w:p w14:paraId="70966427">
                  <w:pPr>
                    <w:keepNext w:val="0"/>
                    <w:keepLines w:val="0"/>
                    <w:widowControl/>
                    <w:suppressLineNumbers w:val="0"/>
                    <w:spacing w:before="0" w:beforeAutospacing="0" w:after="0" w:afterAutospacing="0"/>
                    <w:ind w:left="0" w:right="0"/>
                    <w:jc w:val="center"/>
                  </w:pPr>
                  <w:r>
                    <w:rPr>
                      <w:rFonts w:ascii="宋体" w:hAnsi="宋体" w:eastAsia="宋体" w:cs="宋体"/>
                      <w:kern w:val="0"/>
                      <w:sz w:val="24"/>
                      <w:szCs w:val="24"/>
                      <w:lang w:val="en-US" w:eastAsia="zh-CN" w:bidi="ar"/>
                    </w:rPr>
                    <w:t>1</w:t>
                  </w:r>
                </w:p>
              </w:tc>
              <w:tc>
                <w:tcPr>
                  <w:tcW w:w="1730" w:type="dxa"/>
                  <w:tcBorders>
                    <w:top w:val="outset" w:color="auto" w:sz="6" w:space="0"/>
                    <w:left w:val="outset" w:color="auto" w:sz="6" w:space="0"/>
                    <w:bottom w:val="outset" w:color="auto" w:sz="6" w:space="0"/>
                    <w:right w:val="outset" w:color="auto" w:sz="6" w:space="0"/>
                  </w:tcBorders>
                  <w:noWrap w:val="0"/>
                  <w:vAlign w:val="center"/>
                </w:tcPr>
                <w:p w14:paraId="3C0340DD">
                  <w:pPr>
                    <w:keepNext w:val="0"/>
                    <w:keepLines w:val="0"/>
                    <w:widowControl/>
                    <w:suppressLineNumbers w:val="0"/>
                    <w:spacing w:before="0" w:beforeAutospacing="0" w:after="0" w:afterAutospacing="0"/>
                    <w:ind w:left="0" w:right="0"/>
                    <w:jc w:val="center"/>
                  </w:pPr>
                  <w:r>
                    <w:rPr>
                      <w:rFonts w:hint="eastAsia" w:ascii="宋体" w:hAnsi="宋体" w:eastAsia="宋体" w:cs="宋体"/>
                      <w:kern w:val="0"/>
                      <w:sz w:val="24"/>
                      <w:szCs w:val="24"/>
                      <w:lang w:val="en-US" w:eastAsia="zh-CN" w:bidi="ar"/>
                    </w:rPr>
                    <w:t>唐财采购竞争性磋商-2026-36</w:t>
                  </w:r>
                  <w:r>
                    <w:rPr>
                      <w:rFonts w:ascii="宋体" w:hAnsi="宋体" w:eastAsia="宋体" w:cs="宋体"/>
                      <w:kern w:val="0"/>
                      <w:sz w:val="24"/>
                      <w:szCs w:val="24"/>
                      <w:lang w:val="en-US" w:eastAsia="zh-CN" w:bidi="ar"/>
                    </w:rPr>
                    <w:t>-1</w:t>
                  </w:r>
                </w:p>
              </w:tc>
              <w:tc>
                <w:tcPr>
                  <w:tcW w:w="3300" w:type="dxa"/>
                  <w:tcBorders>
                    <w:top w:val="outset" w:color="auto" w:sz="6" w:space="0"/>
                    <w:left w:val="outset" w:color="auto" w:sz="6" w:space="0"/>
                    <w:bottom w:val="outset" w:color="auto" w:sz="6" w:space="0"/>
                    <w:right w:val="outset" w:color="auto" w:sz="6" w:space="0"/>
                  </w:tcBorders>
                  <w:noWrap w:val="0"/>
                  <w:vAlign w:val="center"/>
                </w:tcPr>
                <w:p w14:paraId="08EE80A2">
                  <w:pPr>
                    <w:keepNext w:val="0"/>
                    <w:keepLines w:val="0"/>
                    <w:widowControl/>
                    <w:suppressLineNumbers w:val="0"/>
                    <w:spacing w:before="0" w:beforeAutospacing="0" w:after="0" w:afterAutospacing="0"/>
                    <w:ind w:left="0" w:right="0"/>
                    <w:jc w:val="center"/>
                  </w:pPr>
                  <w:r>
                    <w:rPr>
                      <w:rFonts w:hint="eastAsia" w:ascii="宋体" w:hAnsi="宋体" w:eastAsia="宋体" w:cs="宋体"/>
                      <w:kern w:val="0"/>
                      <w:sz w:val="24"/>
                      <w:szCs w:val="24"/>
                      <w:lang w:val="en-US" w:eastAsia="zh-CN" w:bidi="ar"/>
                    </w:rPr>
                    <w:t>唐河县市场监督管理局2026年食品安全监督抽检项目</w:t>
                  </w:r>
                  <w:r>
                    <w:rPr>
                      <w:rFonts w:ascii="宋体" w:hAnsi="宋体" w:eastAsia="宋体" w:cs="宋体"/>
                      <w:kern w:val="0"/>
                      <w:sz w:val="24"/>
                      <w:szCs w:val="24"/>
                      <w:lang w:val="en-US" w:eastAsia="zh-CN" w:bidi="ar"/>
                    </w:rPr>
                    <w:t>一标段</w:t>
                  </w:r>
                </w:p>
              </w:tc>
              <w:tc>
                <w:tcPr>
                  <w:tcW w:w="990" w:type="dxa"/>
                  <w:tcBorders>
                    <w:top w:val="outset" w:color="auto" w:sz="6" w:space="0"/>
                    <w:left w:val="outset" w:color="auto" w:sz="6" w:space="0"/>
                    <w:bottom w:val="outset" w:color="auto" w:sz="6" w:space="0"/>
                    <w:right w:val="outset" w:color="auto" w:sz="6" w:space="0"/>
                  </w:tcBorders>
                  <w:noWrap w:val="0"/>
                  <w:vAlign w:val="center"/>
                </w:tcPr>
                <w:p w14:paraId="7FA3EE1C">
                  <w:pPr>
                    <w:keepNext w:val="0"/>
                    <w:keepLines w:val="0"/>
                    <w:widowControl/>
                    <w:suppressLineNumbers w:val="0"/>
                    <w:spacing w:before="0" w:beforeAutospacing="0" w:after="0" w:afterAutospacing="0"/>
                    <w:ind w:left="0" w:right="0"/>
                    <w:jc w:val="center"/>
                    <w:rPr>
                      <w:rFonts w:hint="default"/>
                      <w:lang w:val="en-US"/>
                    </w:rPr>
                  </w:pPr>
                  <w:r>
                    <w:rPr>
                      <w:rFonts w:hint="eastAsia" w:ascii="宋体" w:hAnsi="宋体" w:eastAsia="宋体" w:cs="宋体"/>
                      <w:kern w:val="0"/>
                      <w:sz w:val="24"/>
                      <w:szCs w:val="24"/>
                      <w:lang w:val="en-US" w:eastAsia="zh-CN" w:bidi="ar"/>
                    </w:rPr>
                    <w:t>260000</w:t>
                  </w:r>
                </w:p>
              </w:tc>
              <w:tc>
                <w:tcPr>
                  <w:tcW w:w="1230" w:type="dxa"/>
                  <w:tcBorders>
                    <w:top w:val="outset" w:color="auto" w:sz="6" w:space="0"/>
                    <w:left w:val="outset" w:color="auto" w:sz="6" w:space="0"/>
                    <w:bottom w:val="outset" w:color="auto" w:sz="6" w:space="0"/>
                    <w:right w:val="outset" w:color="auto" w:sz="6" w:space="0"/>
                  </w:tcBorders>
                  <w:noWrap w:val="0"/>
                  <w:vAlign w:val="center"/>
                </w:tcPr>
                <w:p w14:paraId="1C8AFF0A">
                  <w:pPr>
                    <w:keepNext w:val="0"/>
                    <w:keepLines w:val="0"/>
                    <w:widowControl/>
                    <w:suppressLineNumbers w:val="0"/>
                    <w:spacing w:before="0" w:beforeAutospacing="0" w:after="0" w:afterAutospacing="0"/>
                    <w:ind w:left="0" w:right="0"/>
                    <w:jc w:val="center"/>
                    <w:rPr>
                      <w:rFonts w:hint="default"/>
                      <w:lang w:val="en-US"/>
                    </w:rPr>
                  </w:pPr>
                  <w:r>
                    <w:rPr>
                      <w:rFonts w:hint="eastAsia" w:ascii="宋体" w:hAnsi="宋体" w:eastAsia="宋体" w:cs="宋体"/>
                      <w:kern w:val="0"/>
                      <w:sz w:val="24"/>
                      <w:szCs w:val="24"/>
                      <w:lang w:val="en-US" w:eastAsia="zh-CN" w:bidi="ar"/>
                    </w:rPr>
                    <w:t>260000</w:t>
                  </w:r>
                </w:p>
              </w:tc>
              <w:tc>
                <w:tcPr>
                  <w:tcW w:w="1440" w:type="dxa"/>
                  <w:tcBorders>
                    <w:top w:val="outset" w:color="auto" w:sz="6" w:space="0"/>
                    <w:left w:val="outset" w:color="auto" w:sz="6" w:space="0"/>
                    <w:bottom w:val="outset" w:color="auto" w:sz="6" w:space="0"/>
                    <w:right w:val="outset" w:color="auto" w:sz="6" w:space="0"/>
                  </w:tcBorders>
                  <w:noWrap w:val="0"/>
                  <w:vAlign w:val="center"/>
                </w:tcPr>
                <w:p w14:paraId="3D1EE353">
                  <w:pPr>
                    <w:keepNext w:val="0"/>
                    <w:keepLines w:val="0"/>
                    <w:widowControl/>
                    <w:suppressLineNumbers w:val="0"/>
                    <w:spacing w:before="0" w:beforeAutospacing="0" w:after="0" w:afterAutospacing="0"/>
                    <w:ind w:left="0" w:right="0"/>
                    <w:jc w:val="center"/>
                  </w:pPr>
                  <w:r>
                    <w:rPr>
                      <w:rFonts w:ascii="宋体" w:hAnsi="宋体" w:eastAsia="宋体" w:cs="宋体"/>
                      <w:kern w:val="0"/>
                      <w:sz w:val="24"/>
                      <w:szCs w:val="24"/>
                      <w:lang w:val="en-US" w:eastAsia="zh-CN" w:bidi="ar"/>
                    </w:rPr>
                    <w:t>是</w:t>
                  </w:r>
                </w:p>
              </w:tc>
              <w:tc>
                <w:tcPr>
                  <w:tcW w:w="1530" w:type="dxa"/>
                  <w:tcBorders>
                    <w:top w:val="outset" w:color="auto" w:sz="6" w:space="0"/>
                    <w:left w:val="outset" w:color="auto" w:sz="6" w:space="0"/>
                    <w:bottom w:val="outset" w:color="auto" w:sz="6" w:space="0"/>
                    <w:right w:val="outset" w:color="auto" w:sz="6" w:space="0"/>
                  </w:tcBorders>
                  <w:noWrap w:val="0"/>
                  <w:vAlign w:val="center"/>
                </w:tcPr>
                <w:p w14:paraId="776E0A09">
                  <w:pPr>
                    <w:keepNext w:val="0"/>
                    <w:keepLines w:val="0"/>
                    <w:widowControl/>
                    <w:suppressLineNumbers w:val="0"/>
                    <w:spacing w:before="0" w:beforeAutospacing="0" w:after="0" w:afterAutospacing="0"/>
                    <w:ind w:left="0" w:right="0"/>
                    <w:jc w:val="center"/>
                  </w:pPr>
                  <w:r>
                    <w:rPr>
                      <w:rFonts w:hint="eastAsia" w:ascii="宋体" w:hAnsi="宋体" w:eastAsia="宋体" w:cs="宋体"/>
                      <w:kern w:val="0"/>
                      <w:sz w:val="24"/>
                      <w:szCs w:val="24"/>
                      <w:lang w:val="en-US" w:eastAsia="zh-CN" w:bidi="ar"/>
                    </w:rPr>
                    <w:t>260000</w:t>
                  </w:r>
                </w:p>
              </w:tc>
            </w:tr>
            <w:tr w14:paraId="5E58DDE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497" w:type="dxa"/>
                  <w:tcBorders>
                    <w:top w:val="outset" w:color="auto" w:sz="6" w:space="0"/>
                    <w:left w:val="outset" w:color="auto" w:sz="6" w:space="0"/>
                    <w:bottom w:val="outset" w:color="auto" w:sz="6" w:space="0"/>
                    <w:right w:val="outset" w:color="auto" w:sz="6" w:space="0"/>
                  </w:tcBorders>
                  <w:noWrap w:val="0"/>
                  <w:vAlign w:val="center"/>
                </w:tcPr>
                <w:p w14:paraId="02C1D4BD">
                  <w:pPr>
                    <w:keepNext w:val="0"/>
                    <w:keepLines w:val="0"/>
                    <w:widowControl/>
                    <w:suppressLineNumbers w:val="0"/>
                    <w:spacing w:before="0" w:beforeAutospacing="0" w:after="0" w:afterAutospacing="0"/>
                    <w:ind w:left="0" w:right="0"/>
                    <w:jc w:val="center"/>
                  </w:pPr>
                  <w:r>
                    <w:rPr>
                      <w:rFonts w:ascii="宋体" w:hAnsi="宋体" w:eastAsia="宋体" w:cs="宋体"/>
                      <w:kern w:val="0"/>
                      <w:sz w:val="24"/>
                      <w:szCs w:val="24"/>
                      <w:lang w:val="en-US" w:eastAsia="zh-CN" w:bidi="ar"/>
                    </w:rPr>
                    <w:t>2</w:t>
                  </w:r>
                </w:p>
              </w:tc>
              <w:tc>
                <w:tcPr>
                  <w:tcW w:w="1730" w:type="dxa"/>
                  <w:tcBorders>
                    <w:top w:val="outset" w:color="auto" w:sz="6" w:space="0"/>
                    <w:left w:val="outset" w:color="auto" w:sz="6" w:space="0"/>
                    <w:bottom w:val="outset" w:color="auto" w:sz="6" w:space="0"/>
                    <w:right w:val="outset" w:color="auto" w:sz="6" w:space="0"/>
                  </w:tcBorders>
                  <w:noWrap w:val="0"/>
                  <w:vAlign w:val="center"/>
                </w:tcPr>
                <w:p w14:paraId="21DF2C90">
                  <w:pPr>
                    <w:keepNext w:val="0"/>
                    <w:keepLines w:val="0"/>
                    <w:widowControl/>
                    <w:suppressLineNumbers w:val="0"/>
                    <w:spacing w:before="0" w:beforeAutospacing="0" w:after="0" w:afterAutospacing="0"/>
                    <w:ind w:left="0" w:right="0"/>
                    <w:jc w:val="center"/>
                  </w:pPr>
                  <w:r>
                    <w:rPr>
                      <w:rFonts w:hint="eastAsia" w:ascii="宋体" w:hAnsi="宋体" w:eastAsia="宋体" w:cs="宋体"/>
                      <w:kern w:val="0"/>
                      <w:sz w:val="24"/>
                      <w:szCs w:val="24"/>
                      <w:lang w:val="en-US" w:eastAsia="zh-CN" w:bidi="ar"/>
                    </w:rPr>
                    <w:t>唐财采购竞争性磋商-2026-36</w:t>
                  </w:r>
                  <w:r>
                    <w:rPr>
                      <w:rFonts w:ascii="宋体" w:hAnsi="宋体" w:eastAsia="宋体" w:cs="宋体"/>
                      <w:kern w:val="0"/>
                      <w:sz w:val="24"/>
                      <w:szCs w:val="24"/>
                      <w:lang w:val="en-US" w:eastAsia="zh-CN" w:bidi="ar"/>
                    </w:rPr>
                    <w:t>-2</w:t>
                  </w:r>
                </w:p>
              </w:tc>
              <w:tc>
                <w:tcPr>
                  <w:tcW w:w="3300" w:type="dxa"/>
                  <w:tcBorders>
                    <w:top w:val="outset" w:color="auto" w:sz="6" w:space="0"/>
                    <w:left w:val="outset" w:color="auto" w:sz="6" w:space="0"/>
                    <w:bottom w:val="outset" w:color="auto" w:sz="6" w:space="0"/>
                    <w:right w:val="outset" w:color="auto" w:sz="6" w:space="0"/>
                  </w:tcBorders>
                  <w:noWrap w:val="0"/>
                  <w:vAlign w:val="center"/>
                </w:tcPr>
                <w:p w14:paraId="4BA92634">
                  <w:pPr>
                    <w:keepNext w:val="0"/>
                    <w:keepLines w:val="0"/>
                    <w:widowControl/>
                    <w:suppressLineNumbers w:val="0"/>
                    <w:spacing w:before="0" w:beforeAutospacing="0" w:after="0" w:afterAutospacing="0"/>
                    <w:ind w:left="0" w:right="0"/>
                    <w:jc w:val="center"/>
                  </w:pPr>
                  <w:r>
                    <w:rPr>
                      <w:rFonts w:hint="eastAsia"/>
                      <w:lang w:val="en-US" w:eastAsia="zh-CN"/>
                    </w:rPr>
                    <w:t>唐河县市场监督管理局2026年食品安全监督抽检项目</w:t>
                  </w:r>
                  <w:r>
                    <w:rPr>
                      <w:rFonts w:ascii="宋体" w:hAnsi="宋体" w:eastAsia="宋体" w:cs="宋体"/>
                      <w:kern w:val="0"/>
                      <w:sz w:val="24"/>
                      <w:szCs w:val="24"/>
                      <w:lang w:val="en-US" w:eastAsia="zh-CN" w:bidi="ar"/>
                    </w:rPr>
                    <w:t>二标段</w:t>
                  </w:r>
                </w:p>
              </w:tc>
              <w:tc>
                <w:tcPr>
                  <w:tcW w:w="990" w:type="dxa"/>
                  <w:tcBorders>
                    <w:top w:val="outset" w:color="auto" w:sz="6" w:space="0"/>
                    <w:left w:val="outset" w:color="auto" w:sz="6" w:space="0"/>
                    <w:bottom w:val="outset" w:color="auto" w:sz="6" w:space="0"/>
                    <w:right w:val="outset" w:color="auto" w:sz="6" w:space="0"/>
                  </w:tcBorders>
                  <w:noWrap w:val="0"/>
                  <w:vAlign w:val="center"/>
                </w:tcPr>
                <w:p w14:paraId="4047EC8F">
                  <w:pPr>
                    <w:keepNext w:val="0"/>
                    <w:keepLines w:val="0"/>
                    <w:widowControl/>
                    <w:suppressLineNumbers w:val="0"/>
                    <w:spacing w:before="0" w:beforeAutospacing="0" w:after="0" w:afterAutospacing="0"/>
                    <w:ind w:left="0" w:right="0"/>
                    <w:jc w:val="center"/>
                  </w:pPr>
                  <w:r>
                    <w:rPr>
                      <w:rFonts w:hint="eastAsia" w:ascii="宋体" w:hAnsi="宋体" w:eastAsia="宋体" w:cs="宋体"/>
                      <w:kern w:val="0"/>
                      <w:sz w:val="24"/>
                      <w:szCs w:val="24"/>
                      <w:lang w:val="en-US" w:eastAsia="zh-CN" w:bidi="ar"/>
                    </w:rPr>
                    <w:t>260000</w:t>
                  </w:r>
                </w:p>
              </w:tc>
              <w:tc>
                <w:tcPr>
                  <w:tcW w:w="1230" w:type="dxa"/>
                  <w:tcBorders>
                    <w:top w:val="outset" w:color="auto" w:sz="6" w:space="0"/>
                    <w:left w:val="outset" w:color="auto" w:sz="6" w:space="0"/>
                    <w:bottom w:val="outset" w:color="auto" w:sz="6" w:space="0"/>
                    <w:right w:val="outset" w:color="auto" w:sz="6" w:space="0"/>
                  </w:tcBorders>
                  <w:noWrap w:val="0"/>
                  <w:vAlign w:val="center"/>
                </w:tcPr>
                <w:p w14:paraId="2E9C0A16">
                  <w:pPr>
                    <w:keepNext w:val="0"/>
                    <w:keepLines w:val="0"/>
                    <w:widowControl/>
                    <w:suppressLineNumbers w:val="0"/>
                    <w:spacing w:before="0" w:beforeAutospacing="0" w:after="0" w:afterAutospacing="0"/>
                    <w:ind w:left="0" w:right="0"/>
                    <w:jc w:val="center"/>
                  </w:pPr>
                  <w:r>
                    <w:rPr>
                      <w:rFonts w:hint="eastAsia" w:ascii="宋体" w:hAnsi="宋体" w:eastAsia="宋体" w:cs="宋体"/>
                      <w:kern w:val="0"/>
                      <w:sz w:val="24"/>
                      <w:szCs w:val="24"/>
                      <w:lang w:val="en-US" w:eastAsia="zh-CN" w:bidi="ar"/>
                    </w:rPr>
                    <w:t>260000</w:t>
                  </w:r>
                </w:p>
              </w:tc>
              <w:tc>
                <w:tcPr>
                  <w:tcW w:w="1440" w:type="dxa"/>
                  <w:tcBorders>
                    <w:top w:val="outset" w:color="auto" w:sz="6" w:space="0"/>
                    <w:left w:val="outset" w:color="auto" w:sz="6" w:space="0"/>
                    <w:bottom w:val="outset" w:color="auto" w:sz="6" w:space="0"/>
                    <w:right w:val="outset" w:color="auto" w:sz="6" w:space="0"/>
                  </w:tcBorders>
                  <w:noWrap w:val="0"/>
                  <w:vAlign w:val="center"/>
                </w:tcPr>
                <w:p w14:paraId="79EFBB9A">
                  <w:pPr>
                    <w:keepNext w:val="0"/>
                    <w:keepLines w:val="0"/>
                    <w:widowControl/>
                    <w:suppressLineNumbers w:val="0"/>
                    <w:spacing w:before="0" w:beforeAutospacing="0" w:after="0" w:afterAutospacing="0"/>
                    <w:ind w:left="0" w:right="0"/>
                    <w:jc w:val="center"/>
                  </w:pPr>
                  <w:r>
                    <w:rPr>
                      <w:rFonts w:ascii="宋体" w:hAnsi="宋体" w:eastAsia="宋体" w:cs="宋体"/>
                      <w:kern w:val="0"/>
                      <w:sz w:val="24"/>
                      <w:szCs w:val="24"/>
                      <w:lang w:val="en-US" w:eastAsia="zh-CN" w:bidi="ar"/>
                    </w:rPr>
                    <w:t>是</w:t>
                  </w:r>
                </w:p>
              </w:tc>
              <w:tc>
                <w:tcPr>
                  <w:tcW w:w="1530" w:type="dxa"/>
                  <w:tcBorders>
                    <w:top w:val="outset" w:color="auto" w:sz="6" w:space="0"/>
                    <w:left w:val="outset" w:color="auto" w:sz="6" w:space="0"/>
                    <w:bottom w:val="outset" w:color="auto" w:sz="6" w:space="0"/>
                    <w:right w:val="outset" w:color="auto" w:sz="6" w:space="0"/>
                  </w:tcBorders>
                  <w:noWrap w:val="0"/>
                  <w:vAlign w:val="center"/>
                </w:tcPr>
                <w:p w14:paraId="110FC815">
                  <w:pPr>
                    <w:keepNext w:val="0"/>
                    <w:keepLines w:val="0"/>
                    <w:widowControl/>
                    <w:suppressLineNumbers w:val="0"/>
                    <w:spacing w:before="0" w:beforeAutospacing="0" w:after="0" w:afterAutospacing="0"/>
                    <w:ind w:left="0" w:right="0"/>
                    <w:jc w:val="center"/>
                  </w:pPr>
                  <w:r>
                    <w:rPr>
                      <w:rFonts w:hint="eastAsia" w:ascii="宋体" w:hAnsi="宋体" w:eastAsia="宋体" w:cs="宋体"/>
                      <w:kern w:val="0"/>
                      <w:sz w:val="24"/>
                      <w:szCs w:val="24"/>
                      <w:lang w:val="en-US" w:eastAsia="zh-CN" w:bidi="ar"/>
                    </w:rPr>
                    <w:t>260000</w:t>
                  </w:r>
                </w:p>
              </w:tc>
            </w:tr>
            <w:tr w14:paraId="3773A67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497" w:type="dxa"/>
                  <w:tcBorders>
                    <w:top w:val="outset" w:color="auto" w:sz="6" w:space="0"/>
                    <w:left w:val="outset" w:color="auto" w:sz="6" w:space="0"/>
                    <w:bottom w:val="outset" w:color="auto" w:sz="6" w:space="0"/>
                    <w:right w:val="outset" w:color="auto" w:sz="6" w:space="0"/>
                  </w:tcBorders>
                  <w:noWrap w:val="0"/>
                  <w:vAlign w:val="center"/>
                </w:tcPr>
                <w:p w14:paraId="2082335F">
                  <w:pPr>
                    <w:keepNext w:val="0"/>
                    <w:keepLines w:val="0"/>
                    <w:widowControl/>
                    <w:suppressLineNumbers w:val="0"/>
                    <w:spacing w:before="0" w:beforeAutospacing="0" w:after="0" w:afterAutospacing="0"/>
                    <w:ind w:left="0" w:right="0"/>
                    <w:jc w:val="center"/>
                  </w:pPr>
                  <w:r>
                    <w:rPr>
                      <w:rFonts w:ascii="宋体" w:hAnsi="宋体" w:eastAsia="宋体" w:cs="宋体"/>
                      <w:kern w:val="0"/>
                      <w:sz w:val="24"/>
                      <w:szCs w:val="24"/>
                      <w:lang w:val="en-US" w:eastAsia="zh-CN" w:bidi="ar"/>
                    </w:rPr>
                    <w:t>3</w:t>
                  </w:r>
                </w:p>
              </w:tc>
              <w:tc>
                <w:tcPr>
                  <w:tcW w:w="1730" w:type="dxa"/>
                  <w:tcBorders>
                    <w:top w:val="outset" w:color="auto" w:sz="6" w:space="0"/>
                    <w:left w:val="outset" w:color="auto" w:sz="6" w:space="0"/>
                    <w:bottom w:val="outset" w:color="auto" w:sz="6" w:space="0"/>
                    <w:right w:val="outset" w:color="auto" w:sz="6" w:space="0"/>
                  </w:tcBorders>
                  <w:noWrap w:val="0"/>
                  <w:vAlign w:val="center"/>
                </w:tcPr>
                <w:p w14:paraId="38A4389E">
                  <w:pPr>
                    <w:keepNext w:val="0"/>
                    <w:keepLines w:val="0"/>
                    <w:widowControl/>
                    <w:suppressLineNumbers w:val="0"/>
                    <w:spacing w:before="0" w:beforeAutospacing="0" w:after="0" w:afterAutospacing="0"/>
                    <w:ind w:left="0" w:right="0"/>
                    <w:jc w:val="center"/>
                  </w:pPr>
                  <w:r>
                    <w:rPr>
                      <w:rFonts w:hint="eastAsia" w:ascii="宋体" w:hAnsi="宋体" w:eastAsia="宋体" w:cs="宋体"/>
                      <w:kern w:val="0"/>
                      <w:sz w:val="24"/>
                      <w:szCs w:val="24"/>
                      <w:lang w:val="en-US" w:eastAsia="zh-CN" w:bidi="ar"/>
                    </w:rPr>
                    <w:t>唐财采购竞争性磋商-2026-36</w:t>
                  </w:r>
                  <w:r>
                    <w:rPr>
                      <w:rFonts w:ascii="宋体" w:hAnsi="宋体" w:eastAsia="宋体" w:cs="宋体"/>
                      <w:kern w:val="0"/>
                      <w:sz w:val="24"/>
                      <w:szCs w:val="24"/>
                      <w:lang w:val="en-US" w:eastAsia="zh-CN" w:bidi="ar"/>
                    </w:rPr>
                    <w:t>-3</w:t>
                  </w:r>
                </w:p>
              </w:tc>
              <w:tc>
                <w:tcPr>
                  <w:tcW w:w="3300" w:type="dxa"/>
                  <w:tcBorders>
                    <w:top w:val="outset" w:color="auto" w:sz="6" w:space="0"/>
                    <w:left w:val="outset" w:color="auto" w:sz="6" w:space="0"/>
                    <w:bottom w:val="outset" w:color="auto" w:sz="6" w:space="0"/>
                    <w:right w:val="outset" w:color="auto" w:sz="6" w:space="0"/>
                  </w:tcBorders>
                  <w:noWrap w:val="0"/>
                  <w:vAlign w:val="center"/>
                </w:tcPr>
                <w:p w14:paraId="436BA5A3">
                  <w:pPr>
                    <w:keepNext w:val="0"/>
                    <w:keepLines w:val="0"/>
                    <w:widowControl/>
                    <w:suppressLineNumbers w:val="0"/>
                    <w:spacing w:before="0" w:beforeAutospacing="0" w:after="0" w:afterAutospacing="0"/>
                    <w:ind w:left="0" w:right="0"/>
                    <w:jc w:val="center"/>
                  </w:pPr>
                  <w:r>
                    <w:rPr>
                      <w:rFonts w:hint="eastAsia" w:ascii="宋体" w:hAnsi="宋体" w:eastAsia="宋体" w:cs="宋体"/>
                      <w:kern w:val="0"/>
                      <w:sz w:val="24"/>
                      <w:szCs w:val="24"/>
                      <w:lang w:val="en-US" w:eastAsia="zh-CN" w:bidi="ar"/>
                    </w:rPr>
                    <w:t>唐河县市场监督管理局2026年食品安全监督抽检项目</w:t>
                  </w:r>
                  <w:r>
                    <w:rPr>
                      <w:rFonts w:ascii="宋体" w:hAnsi="宋体" w:eastAsia="宋体" w:cs="宋体"/>
                      <w:kern w:val="0"/>
                      <w:sz w:val="24"/>
                      <w:szCs w:val="24"/>
                      <w:lang w:val="en-US" w:eastAsia="zh-CN" w:bidi="ar"/>
                    </w:rPr>
                    <w:t>三标段</w:t>
                  </w:r>
                </w:p>
              </w:tc>
              <w:tc>
                <w:tcPr>
                  <w:tcW w:w="990" w:type="dxa"/>
                  <w:tcBorders>
                    <w:top w:val="outset" w:color="auto" w:sz="6" w:space="0"/>
                    <w:left w:val="outset" w:color="auto" w:sz="6" w:space="0"/>
                    <w:bottom w:val="outset" w:color="auto" w:sz="6" w:space="0"/>
                    <w:right w:val="outset" w:color="auto" w:sz="6" w:space="0"/>
                  </w:tcBorders>
                  <w:noWrap w:val="0"/>
                  <w:vAlign w:val="center"/>
                </w:tcPr>
                <w:p w14:paraId="14B319B0">
                  <w:pPr>
                    <w:keepNext w:val="0"/>
                    <w:keepLines w:val="0"/>
                    <w:widowControl/>
                    <w:suppressLineNumbers w:val="0"/>
                    <w:spacing w:before="0" w:beforeAutospacing="0" w:after="0" w:afterAutospacing="0"/>
                    <w:ind w:left="0" w:right="0"/>
                    <w:jc w:val="center"/>
                  </w:pPr>
                  <w:r>
                    <w:rPr>
                      <w:rFonts w:hint="eastAsia" w:ascii="宋体" w:hAnsi="宋体" w:eastAsia="宋体" w:cs="宋体"/>
                      <w:kern w:val="0"/>
                      <w:sz w:val="24"/>
                      <w:szCs w:val="24"/>
                      <w:lang w:val="en-US" w:eastAsia="zh-CN" w:bidi="ar"/>
                    </w:rPr>
                    <w:t>260000</w:t>
                  </w:r>
                </w:p>
              </w:tc>
              <w:tc>
                <w:tcPr>
                  <w:tcW w:w="1230" w:type="dxa"/>
                  <w:tcBorders>
                    <w:top w:val="outset" w:color="auto" w:sz="6" w:space="0"/>
                    <w:left w:val="outset" w:color="auto" w:sz="6" w:space="0"/>
                    <w:bottom w:val="outset" w:color="auto" w:sz="6" w:space="0"/>
                    <w:right w:val="outset" w:color="auto" w:sz="6" w:space="0"/>
                  </w:tcBorders>
                  <w:noWrap w:val="0"/>
                  <w:vAlign w:val="center"/>
                </w:tcPr>
                <w:p w14:paraId="1BF6FA0E">
                  <w:pPr>
                    <w:keepNext w:val="0"/>
                    <w:keepLines w:val="0"/>
                    <w:widowControl/>
                    <w:suppressLineNumbers w:val="0"/>
                    <w:spacing w:before="0" w:beforeAutospacing="0" w:after="0" w:afterAutospacing="0"/>
                    <w:ind w:left="0" w:right="0"/>
                    <w:jc w:val="center"/>
                  </w:pPr>
                  <w:r>
                    <w:rPr>
                      <w:rFonts w:hint="eastAsia" w:ascii="宋体" w:hAnsi="宋体" w:eastAsia="宋体" w:cs="宋体"/>
                      <w:kern w:val="0"/>
                      <w:sz w:val="24"/>
                      <w:szCs w:val="24"/>
                      <w:lang w:val="en-US" w:eastAsia="zh-CN" w:bidi="ar"/>
                    </w:rPr>
                    <w:t>260000</w:t>
                  </w:r>
                </w:p>
              </w:tc>
              <w:tc>
                <w:tcPr>
                  <w:tcW w:w="1440" w:type="dxa"/>
                  <w:tcBorders>
                    <w:top w:val="outset" w:color="auto" w:sz="6" w:space="0"/>
                    <w:left w:val="outset" w:color="auto" w:sz="6" w:space="0"/>
                    <w:bottom w:val="outset" w:color="auto" w:sz="6" w:space="0"/>
                    <w:right w:val="outset" w:color="auto" w:sz="6" w:space="0"/>
                  </w:tcBorders>
                  <w:noWrap w:val="0"/>
                  <w:vAlign w:val="center"/>
                </w:tcPr>
                <w:p w14:paraId="761B434D">
                  <w:pPr>
                    <w:keepNext w:val="0"/>
                    <w:keepLines w:val="0"/>
                    <w:widowControl/>
                    <w:suppressLineNumbers w:val="0"/>
                    <w:spacing w:before="0" w:beforeAutospacing="0" w:after="0" w:afterAutospacing="0"/>
                    <w:ind w:left="0" w:right="0"/>
                    <w:jc w:val="center"/>
                  </w:pPr>
                  <w:r>
                    <w:rPr>
                      <w:rFonts w:ascii="宋体" w:hAnsi="宋体" w:eastAsia="宋体" w:cs="宋体"/>
                      <w:kern w:val="0"/>
                      <w:sz w:val="24"/>
                      <w:szCs w:val="24"/>
                      <w:lang w:val="en-US" w:eastAsia="zh-CN" w:bidi="ar"/>
                    </w:rPr>
                    <w:t>是</w:t>
                  </w:r>
                </w:p>
              </w:tc>
              <w:tc>
                <w:tcPr>
                  <w:tcW w:w="1530" w:type="dxa"/>
                  <w:tcBorders>
                    <w:top w:val="outset" w:color="auto" w:sz="6" w:space="0"/>
                    <w:left w:val="outset" w:color="auto" w:sz="6" w:space="0"/>
                    <w:bottom w:val="outset" w:color="auto" w:sz="6" w:space="0"/>
                    <w:right w:val="outset" w:color="auto" w:sz="6" w:space="0"/>
                  </w:tcBorders>
                  <w:noWrap w:val="0"/>
                  <w:vAlign w:val="center"/>
                </w:tcPr>
                <w:p w14:paraId="0AE9A0C1">
                  <w:pPr>
                    <w:keepNext w:val="0"/>
                    <w:keepLines w:val="0"/>
                    <w:widowControl/>
                    <w:suppressLineNumbers w:val="0"/>
                    <w:spacing w:before="0" w:beforeAutospacing="0" w:after="0" w:afterAutospacing="0"/>
                    <w:ind w:left="0" w:right="0"/>
                    <w:jc w:val="center"/>
                  </w:pPr>
                  <w:r>
                    <w:rPr>
                      <w:rFonts w:hint="eastAsia" w:ascii="宋体" w:hAnsi="宋体" w:eastAsia="宋体" w:cs="宋体"/>
                      <w:kern w:val="0"/>
                      <w:sz w:val="24"/>
                      <w:szCs w:val="24"/>
                      <w:lang w:val="en-US" w:eastAsia="zh-CN" w:bidi="ar"/>
                    </w:rPr>
                    <w:t>260000</w:t>
                  </w:r>
                </w:p>
              </w:tc>
            </w:tr>
            <w:tr w14:paraId="19BF82A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497" w:type="dxa"/>
                  <w:tcBorders>
                    <w:top w:val="outset" w:color="auto" w:sz="6" w:space="0"/>
                    <w:left w:val="outset" w:color="auto" w:sz="6" w:space="0"/>
                    <w:bottom w:val="outset" w:color="auto" w:sz="6" w:space="0"/>
                    <w:right w:val="outset" w:color="auto" w:sz="6" w:space="0"/>
                  </w:tcBorders>
                  <w:noWrap w:val="0"/>
                  <w:vAlign w:val="center"/>
                </w:tcPr>
                <w:p w14:paraId="696E789E">
                  <w:pPr>
                    <w:keepNext w:val="0"/>
                    <w:keepLines w:val="0"/>
                    <w:widowControl/>
                    <w:suppressLineNumbers w:val="0"/>
                    <w:spacing w:before="0" w:beforeAutospacing="0" w:after="0" w:afterAutospacing="0"/>
                    <w:ind w:left="0" w:right="0"/>
                    <w:jc w:val="center"/>
                  </w:pPr>
                  <w:r>
                    <w:rPr>
                      <w:rFonts w:ascii="宋体" w:hAnsi="宋体" w:eastAsia="宋体" w:cs="宋体"/>
                      <w:kern w:val="0"/>
                      <w:sz w:val="24"/>
                      <w:szCs w:val="24"/>
                      <w:lang w:val="en-US" w:eastAsia="zh-CN" w:bidi="ar"/>
                    </w:rPr>
                    <w:t>4</w:t>
                  </w:r>
                </w:p>
              </w:tc>
              <w:tc>
                <w:tcPr>
                  <w:tcW w:w="1730" w:type="dxa"/>
                  <w:tcBorders>
                    <w:top w:val="outset" w:color="auto" w:sz="6" w:space="0"/>
                    <w:left w:val="outset" w:color="auto" w:sz="6" w:space="0"/>
                    <w:bottom w:val="outset" w:color="auto" w:sz="6" w:space="0"/>
                    <w:right w:val="outset" w:color="auto" w:sz="6" w:space="0"/>
                  </w:tcBorders>
                  <w:noWrap w:val="0"/>
                  <w:vAlign w:val="center"/>
                </w:tcPr>
                <w:p w14:paraId="666FCAE0">
                  <w:pPr>
                    <w:keepNext w:val="0"/>
                    <w:keepLines w:val="0"/>
                    <w:widowControl/>
                    <w:suppressLineNumbers w:val="0"/>
                    <w:spacing w:before="0" w:beforeAutospacing="0" w:after="0" w:afterAutospacing="0"/>
                    <w:ind w:left="0" w:right="0"/>
                    <w:jc w:val="center"/>
                  </w:pPr>
                  <w:r>
                    <w:rPr>
                      <w:rFonts w:hint="eastAsia" w:ascii="宋体" w:hAnsi="宋体" w:eastAsia="宋体" w:cs="宋体"/>
                      <w:kern w:val="0"/>
                      <w:sz w:val="24"/>
                      <w:szCs w:val="24"/>
                      <w:lang w:val="en-US" w:eastAsia="zh-CN" w:bidi="ar"/>
                    </w:rPr>
                    <w:t>唐财采购竞争性磋商-2026-36</w:t>
                  </w:r>
                  <w:r>
                    <w:rPr>
                      <w:rFonts w:ascii="宋体" w:hAnsi="宋体" w:eastAsia="宋体" w:cs="宋体"/>
                      <w:kern w:val="0"/>
                      <w:sz w:val="24"/>
                      <w:szCs w:val="24"/>
                      <w:lang w:val="en-US" w:eastAsia="zh-CN" w:bidi="ar"/>
                    </w:rPr>
                    <w:t>-4</w:t>
                  </w:r>
                </w:p>
              </w:tc>
              <w:tc>
                <w:tcPr>
                  <w:tcW w:w="3300" w:type="dxa"/>
                  <w:tcBorders>
                    <w:top w:val="outset" w:color="auto" w:sz="6" w:space="0"/>
                    <w:left w:val="outset" w:color="auto" w:sz="6" w:space="0"/>
                    <w:bottom w:val="outset" w:color="auto" w:sz="6" w:space="0"/>
                    <w:right w:val="outset" w:color="auto" w:sz="6" w:space="0"/>
                  </w:tcBorders>
                  <w:noWrap w:val="0"/>
                  <w:vAlign w:val="center"/>
                </w:tcPr>
                <w:p w14:paraId="3F757FA4">
                  <w:pPr>
                    <w:keepNext w:val="0"/>
                    <w:keepLines w:val="0"/>
                    <w:widowControl/>
                    <w:suppressLineNumbers w:val="0"/>
                    <w:spacing w:before="0" w:beforeAutospacing="0" w:after="0" w:afterAutospacing="0"/>
                    <w:ind w:left="0" w:right="0"/>
                    <w:jc w:val="center"/>
                  </w:pPr>
                  <w:r>
                    <w:rPr>
                      <w:rFonts w:hint="eastAsia"/>
                      <w:lang w:val="en-US" w:eastAsia="zh-CN"/>
                    </w:rPr>
                    <w:t>唐河县市场监督管理局2026年食品安全监督抽检项目</w:t>
                  </w:r>
                  <w:r>
                    <w:rPr>
                      <w:rFonts w:ascii="宋体" w:hAnsi="宋体" w:eastAsia="宋体" w:cs="宋体"/>
                      <w:kern w:val="0"/>
                      <w:sz w:val="24"/>
                      <w:szCs w:val="24"/>
                      <w:lang w:val="en-US" w:eastAsia="zh-CN" w:bidi="ar"/>
                    </w:rPr>
                    <w:t>四标段</w:t>
                  </w:r>
                </w:p>
              </w:tc>
              <w:tc>
                <w:tcPr>
                  <w:tcW w:w="990" w:type="dxa"/>
                  <w:tcBorders>
                    <w:top w:val="outset" w:color="auto" w:sz="6" w:space="0"/>
                    <w:left w:val="outset" w:color="auto" w:sz="6" w:space="0"/>
                    <w:bottom w:val="outset" w:color="auto" w:sz="6" w:space="0"/>
                    <w:right w:val="outset" w:color="auto" w:sz="6" w:space="0"/>
                  </w:tcBorders>
                  <w:noWrap w:val="0"/>
                  <w:vAlign w:val="center"/>
                </w:tcPr>
                <w:p w14:paraId="698CFBD9">
                  <w:pPr>
                    <w:keepNext w:val="0"/>
                    <w:keepLines w:val="0"/>
                    <w:widowControl/>
                    <w:suppressLineNumbers w:val="0"/>
                    <w:spacing w:before="0" w:beforeAutospacing="0" w:after="0" w:afterAutospacing="0"/>
                    <w:ind w:left="0" w:right="0"/>
                    <w:jc w:val="center"/>
                  </w:pPr>
                  <w:r>
                    <w:rPr>
                      <w:rFonts w:hint="eastAsia" w:ascii="宋体" w:hAnsi="宋体" w:eastAsia="宋体" w:cs="宋体"/>
                      <w:kern w:val="0"/>
                      <w:sz w:val="24"/>
                      <w:szCs w:val="24"/>
                      <w:lang w:val="en-US" w:eastAsia="zh-CN" w:bidi="ar"/>
                    </w:rPr>
                    <w:t>260000</w:t>
                  </w:r>
                </w:p>
              </w:tc>
              <w:tc>
                <w:tcPr>
                  <w:tcW w:w="1230" w:type="dxa"/>
                  <w:tcBorders>
                    <w:top w:val="outset" w:color="auto" w:sz="6" w:space="0"/>
                    <w:left w:val="outset" w:color="auto" w:sz="6" w:space="0"/>
                    <w:bottom w:val="outset" w:color="auto" w:sz="6" w:space="0"/>
                    <w:right w:val="outset" w:color="auto" w:sz="6" w:space="0"/>
                  </w:tcBorders>
                  <w:noWrap w:val="0"/>
                  <w:vAlign w:val="center"/>
                </w:tcPr>
                <w:p w14:paraId="18EE00A7">
                  <w:pPr>
                    <w:keepNext w:val="0"/>
                    <w:keepLines w:val="0"/>
                    <w:widowControl/>
                    <w:suppressLineNumbers w:val="0"/>
                    <w:spacing w:before="0" w:beforeAutospacing="0" w:after="0" w:afterAutospacing="0"/>
                    <w:ind w:left="0" w:right="0"/>
                    <w:jc w:val="center"/>
                  </w:pPr>
                  <w:r>
                    <w:rPr>
                      <w:rFonts w:hint="eastAsia" w:ascii="宋体" w:hAnsi="宋体" w:eastAsia="宋体" w:cs="宋体"/>
                      <w:kern w:val="0"/>
                      <w:sz w:val="24"/>
                      <w:szCs w:val="24"/>
                      <w:lang w:val="en-US" w:eastAsia="zh-CN" w:bidi="ar"/>
                    </w:rPr>
                    <w:t>260000</w:t>
                  </w:r>
                </w:p>
              </w:tc>
              <w:tc>
                <w:tcPr>
                  <w:tcW w:w="1440" w:type="dxa"/>
                  <w:tcBorders>
                    <w:top w:val="outset" w:color="auto" w:sz="6" w:space="0"/>
                    <w:left w:val="outset" w:color="auto" w:sz="6" w:space="0"/>
                    <w:bottom w:val="outset" w:color="auto" w:sz="6" w:space="0"/>
                    <w:right w:val="outset" w:color="auto" w:sz="6" w:space="0"/>
                  </w:tcBorders>
                  <w:noWrap w:val="0"/>
                  <w:vAlign w:val="center"/>
                </w:tcPr>
                <w:p w14:paraId="19CBD673">
                  <w:pPr>
                    <w:keepNext w:val="0"/>
                    <w:keepLines w:val="0"/>
                    <w:widowControl/>
                    <w:suppressLineNumbers w:val="0"/>
                    <w:spacing w:before="0" w:beforeAutospacing="0" w:after="0" w:afterAutospacing="0"/>
                    <w:ind w:left="0" w:right="0"/>
                    <w:jc w:val="center"/>
                  </w:pPr>
                  <w:r>
                    <w:rPr>
                      <w:rFonts w:ascii="宋体" w:hAnsi="宋体" w:eastAsia="宋体" w:cs="宋体"/>
                      <w:kern w:val="0"/>
                      <w:sz w:val="24"/>
                      <w:szCs w:val="24"/>
                      <w:lang w:val="en-US" w:eastAsia="zh-CN" w:bidi="ar"/>
                    </w:rPr>
                    <w:t>是</w:t>
                  </w:r>
                </w:p>
              </w:tc>
              <w:tc>
                <w:tcPr>
                  <w:tcW w:w="1530" w:type="dxa"/>
                  <w:tcBorders>
                    <w:top w:val="outset" w:color="auto" w:sz="6" w:space="0"/>
                    <w:left w:val="outset" w:color="auto" w:sz="6" w:space="0"/>
                    <w:bottom w:val="outset" w:color="auto" w:sz="6" w:space="0"/>
                    <w:right w:val="outset" w:color="auto" w:sz="6" w:space="0"/>
                  </w:tcBorders>
                  <w:noWrap w:val="0"/>
                  <w:vAlign w:val="center"/>
                </w:tcPr>
                <w:p w14:paraId="08B5397B">
                  <w:pPr>
                    <w:keepNext w:val="0"/>
                    <w:keepLines w:val="0"/>
                    <w:widowControl/>
                    <w:suppressLineNumbers w:val="0"/>
                    <w:spacing w:before="0" w:beforeAutospacing="0" w:after="0" w:afterAutospacing="0"/>
                    <w:ind w:left="0" w:right="0"/>
                    <w:jc w:val="center"/>
                  </w:pPr>
                  <w:r>
                    <w:rPr>
                      <w:rFonts w:hint="eastAsia" w:ascii="宋体" w:hAnsi="宋体" w:eastAsia="宋体" w:cs="宋体"/>
                      <w:kern w:val="0"/>
                      <w:sz w:val="24"/>
                      <w:szCs w:val="24"/>
                      <w:lang w:val="en-US" w:eastAsia="zh-CN" w:bidi="ar"/>
                    </w:rPr>
                    <w:t>260000</w:t>
                  </w:r>
                </w:p>
              </w:tc>
            </w:tr>
            <w:tr w14:paraId="29E9ABC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497" w:type="dxa"/>
                  <w:tcBorders>
                    <w:top w:val="outset" w:color="auto" w:sz="6" w:space="0"/>
                    <w:left w:val="outset" w:color="auto" w:sz="6" w:space="0"/>
                    <w:bottom w:val="outset" w:color="auto" w:sz="6" w:space="0"/>
                    <w:right w:val="outset" w:color="auto" w:sz="6" w:space="0"/>
                  </w:tcBorders>
                  <w:noWrap w:val="0"/>
                  <w:vAlign w:val="center"/>
                </w:tcPr>
                <w:p w14:paraId="45C672BD">
                  <w:pPr>
                    <w:keepNext w:val="0"/>
                    <w:keepLines w:val="0"/>
                    <w:widowControl/>
                    <w:suppressLineNumbers w:val="0"/>
                    <w:spacing w:before="0" w:beforeAutospacing="0" w:after="0" w:afterAutospacing="0"/>
                    <w:ind w:left="0" w:right="0"/>
                    <w:jc w:val="center"/>
                  </w:pPr>
                  <w:r>
                    <w:rPr>
                      <w:rFonts w:ascii="宋体" w:hAnsi="宋体" w:eastAsia="宋体" w:cs="宋体"/>
                      <w:kern w:val="0"/>
                      <w:sz w:val="24"/>
                      <w:szCs w:val="24"/>
                      <w:lang w:val="en-US" w:eastAsia="zh-CN" w:bidi="ar"/>
                    </w:rPr>
                    <w:t>5</w:t>
                  </w:r>
                </w:p>
              </w:tc>
              <w:tc>
                <w:tcPr>
                  <w:tcW w:w="1730" w:type="dxa"/>
                  <w:tcBorders>
                    <w:top w:val="outset" w:color="auto" w:sz="6" w:space="0"/>
                    <w:left w:val="outset" w:color="auto" w:sz="6" w:space="0"/>
                    <w:bottom w:val="outset" w:color="auto" w:sz="6" w:space="0"/>
                    <w:right w:val="outset" w:color="auto" w:sz="6" w:space="0"/>
                  </w:tcBorders>
                  <w:noWrap w:val="0"/>
                  <w:vAlign w:val="center"/>
                </w:tcPr>
                <w:p w14:paraId="03375F6A">
                  <w:pPr>
                    <w:keepNext w:val="0"/>
                    <w:keepLines w:val="0"/>
                    <w:widowControl/>
                    <w:suppressLineNumbers w:val="0"/>
                    <w:spacing w:before="0" w:beforeAutospacing="0" w:after="0" w:afterAutospacing="0"/>
                    <w:ind w:left="0" w:right="0"/>
                    <w:jc w:val="center"/>
                  </w:pPr>
                  <w:r>
                    <w:rPr>
                      <w:rFonts w:hint="eastAsia" w:ascii="宋体" w:hAnsi="宋体" w:eastAsia="宋体" w:cs="宋体"/>
                      <w:kern w:val="0"/>
                      <w:sz w:val="24"/>
                      <w:szCs w:val="24"/>
                      <w:lang w:val="en-US" w:eastAsia="zh-CN" w:bidi="ar"/>
                    </w:rPr>
                    <w:t>唐财采购竞争性磋商-2026-36</w:t>
                  </w:r>
                  <w:r>
                    <w:rPr>
                      <w:rFonts w:ascii="宋体" w:hAnsi="宋体" w:eastAsia="宋体" w:cs="宋体"/>
                      <w:kern w:val="0"/>
                      <w:sz w:val="24"/>
                      <w:szCs w:val="24"/>
                      <w:lang w:val="en-US" w:eastAsia="zh-CN" w:bidi="ar"/>
                    </w:rPr>
                    <w:t>-5</w:t>
                  </w:r>
                </w:p>
              </w:tc>
              <w:tc>
                <w:tcPr>
                  <w:tcW w:w="3300" w:type="dxa"/>
                  <w:tcBorders>
                    <w:top w:val="outset" w:color="auto" w:sz="6" w:space="0"/>
                    <w:left w:val="outset" w:color="auto" w:sz="6" w:space="0"/>
                    <w:bottom w:val="outset" w:color="auto" w:sz="6" w:space="0"/>
                    <w:right w:val="outset" w:color="auto" w:sz="6" w:space="0"/>
                  </w:tcBorders>
                  <w:noWrap w:val="0"/>
                  <w:vAlign w:val="center"/>
                </w:tcPr>
                <w:p w14:paraId="0600FF2E">
                  <w:pPr>
                    <w:keepNext w:val="0"/>
                    <w:keepLines w:val="0"/>
                    <w:widowControl/>
                    <w:suppressLineNumbers w:val="0"/>
                    <w:spacing w:before="0" w:beforeAutospacing="0" w:after="0" w:afterAutospacing="0"/>
                    <w:ind w:left="0" w:right="0"/>
                    <w:jc w:val="center"/>
                  </w:pPr>
                  <w:r>
                    <w:rPr>
                      <w:rFonts w:hint="eastAsia"/>
                      <w:lang w:val="en-US" w:eastAsia="zh-CN"/>
                    </w:rPr>
                    <w:t>唐河县市场监督管理局2026年食品安全监督抽检项目</w:t>
                  </w:r>
                  <w:r>
                    <w:rPr>
                      <w:rFonts w:ascii="宋体" w:hAnsi="宋体" w:eastAsia="宋体" w:cs="宋体"/>
                      <w:kern w:val="0"/>
                      <w:sz w:val="24"/>
                      <w:szCs w:val="24"/>
                      <w:lang w:val="en-US" w:eastAsia="zh-CN" w:bidi="ar"/>
                    </w:rPr>
                    <w:t>五标段</w:t>
                  </w:r>
                </w:p>
              </w:tc>
              <w:tc>
                <w:tcPr>
                  <w:tcW w:w="990" w:type="dxa"/>
                  <w:tcBorders>
                    <w:top w:val="outset" w:color="auto" w:sz="6" w:space="0"/>
                    <w:left w:val="outset" w:color="auto" w:sz="6" w:space="0"/>
                    <w:bottom w:val="outset" w:color="auto" w:sz="6" w:space="0"/>
                    <w:right w:val="outset" w:color="auto" w:sz="6" w:space="0"/>
                  </w:tcBorders>
                  <w:noWrap w:val="0"/>
                  <w:vAlign w:val="center"/>
                </w:tcPr>
                <w:p w14:paraId="26548ECE">
                  <w:pPr>
                    <w:keepNext w:val="0"/>
                    <w:keepLines w:val="0"/>
                    <w:widowControl/>
                    <w:suppressLineNumbers w:val="0"/>
                    <w:spacing w:before="0" w:beforeAutospacing="0" w:after="0" w:afterAutospacing="0"/>
                    <w:ind w:left="0" w:right="0"/>
                    <w:jc w:val="center"/>
                  </w:pPr>
                  <w:r>
                    <w:rPr>
                      <w:rFonts w:hint="eastAsia" w:ascii="宋体" w:hAnsi="宋体" w:eastAsia="宋体" w:cs="宋体"/>
                      <w:kern w:val="0"/>
                      <w:sz w:val="24"/>
                      <w:szCs w:val="24"/>
                      <w:lang w:val="en-US" w:eastAsia="zh-CN" w:bidi="ar"/>
                    </w:rPr>
                    <w:t>260000</w:t>
                  </w:r>
                </w:p>
              </w:tc>
              <w:tc>
                <w:tcPr>
                  <w:tcW w:w="1230" w:type="dxa"/>
                  <w:tcBorders>
                    <w:top w:val="outset" w:color="auto" w:sz="6" w:space="0"/>
                    <w:left w:val="outset" w:color="auto" w:sz="6" w:space="0"/>
                    <w:bottom w:val="outset" w:color="auto" w:sz="6" w:space="0"/>
                    <w:right w:val="outset" w:color="auto" w:sz="6" w:space="0"/>
                  </w:tcBorders>
                  <w:noWrap w:val="0"/>
                  <w:vAlign w:val="center"/>
                </w:tcPr>
                <w:p w14:paraId="3E4593D3">
                  <w:pPr>
                    <w:keepNext w:val="0"/>
                    <w:keepLines w:val="0"/>
                    <w:widowControl/>
                    <w:suppressLineNumbers w:val="0"/>
                    <w:spacing w:before="0" w:beforeAutospacing="0" w:after="0" w:afterAutospacing="0"/>
                    <w:ind w:left="0" w:right="0"/>
                    <w:jc w:val="center"/>
                  </w:pPr>
                  <w:r>
                    <w:rPr>
                      <w:rFonts w:hint="eastAsia" w:ascii="宋体" w:hAnsi="宋体" w:eastAsia="宋体" w:cs="宋体"/>
                      <w:kern w:val="0"/>
                      <w:sz w:val="24"/>
                      <w:szCs w:val="24"/>
                      <w:lang w:val="en-US" w:eastAsia="zh-CN" w:bidi="ar"/>
                    </w:rPr>
                    <w:t>260000</w:t>
                  </w:r>
                </w:p>
              </w:tc>
              <w:tc>
                <w:tcPr>
                  <w:tcW w:w="1440" w:type="dxa"/>
                  <w:tcBorders>
                    <w:top w:val="outset" w:color="auto" w:sz="6" w:space="0"/>
                    <w:left w:val="outset" w:color="auto" w:sz="6" w:space="0"/>
                    <w:bottom w:val="outset" w:color="auto" w:sz="6" w:space="0"/>
                    <w:right w:val="outset" w:color="auto" w:sz="6" w:space="0"/>
                  </w:tcBorders>
                  <w:noWrap w:val="0"/>
                  <w:vAlign w:val="center"/>
                </w:tcPr>
                <w:p w14:paraId="264025AF">
                  <w:pPr>
                    <w:keepNext w:val="0"/>
                    <w:keepLines w:val="0"/>
                    <w:widowControl/>
                    <w:suppressLineNumbers w:val="0"/>
                    <w:spacing w:before="0" w:beforeAutospacing="0" w:after="0" w:afterAutospacing="0"/>
                    <w:ind w:left="0" w:right="0"/>
                    <w:jc w:val="center"/>
                  </w:pPr>
                  <w:r>
                    <w:rPr>
                      <w:rFonts w:ascii="宋体" w:hAnsi="宋体" w:eastAsia="宋体" w:cs="宋体"/>
                      <w:kern w:val="0"/>
                      <w:sz w:val="24"/>
                      <w:szCs w:val="24"/>
                      <w:lang w:val="en-US" w:eastAsia="zh-CN" w:bidi="ar"/>
                    </w:rPr>
                    <w:t>是</w:t>
                  </w:r>
                </w:p>
              </w:tc>
              <w:tc>
                <w:tcPr>
                  <w:tcW w:w="1530" w:type="dxa"/>
                  <w:tcBorders>
                    <w:top w:val="outset" w:color="auto" w:sz="6" w:space="0"/>
                    <w:left w:val="outset" w:color="auto" w:sz="6" w:space="0"/>
                    <w:bottom w:val="outset" w:color="auto" w:sz="6" w:space="0"/>
                    <w:right w:val="outset" w:color="auto" w:sz="6" w:space="0"/>
                  </w:tcBorders>
                  <w:noWrap w:val="0"/>
                  <w:vAlign w:val="center"/>
                </w:tcPr>
                <w:p w14:paraId="2BE4CE01">
                  <w:pPr>
                    <w:keepNext w:val="0"/>
                    <w:keepLines w:val="0"/>
                    <w:widowControl/>
                    <w:suppressLineNumbers w:val="0"/>
                    <w:spacing w:before="0" w:beforeAutospacing="0" w:after="0" w:afterAutospacing="0"/>
                    <w:ind w:left="0" w:right="0"/>
                    <w:jc w:val="center"/>
                    <w:rPr>
                      <w:rFonts w:hint="default"/>
                      <w:lang w:val="en-US"/>
                    </w:rPr>
                  </w:pPr>
                  <w:r>
                    <w:rPr>
                      <w:rFonts w:hint="eastAsia" w:ascii="宋体" w:hAnsi="宋体" w:eastAsia="宋体" w:cs="宋体"/>
                      <w:kern w:val="0"/>
                      <w:sz w:val="24"/>
                      <w:szCs w:val="24"/>
                      <w:lang w:val="en-US" w:eastAsia="zh-CN" w:bidi="ar"/>
                    </w:rPr>
                    <w:t>260000</w:t>
                  </w:r>
                </w:p>
              </w:tc>
            </w:tr>
          </w:tbl>
          <w:p w14:paraId="0D21ECA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p>
        </w:tc>
      </w:tr>
    </w:tbl>
    <w:p w14:paraId="10736AE9">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r>
        <w:rPr>
          <w:rFonts w:hint="eastAsia"/>
          <w:lang w:val="en-US" w:eastAsia="zh-CN"/>
        </w:rPr>
        <w:t>5、采购需求（包括但不限于标的的名称、数量、简要技术需求或服务要求等）</w:t>
      </w:r>
      <w:r>
        <w:rPr>
          <w:rFonts w:hint="eastAsia"/>
        </w:rPr>
        <w:tab/>
      </w:r>
    </w:p>
    <w:p w14:paraId="01DEFF35">
      <w:pPr>
        <w:keepNext w:val="0"/>
        <w:keepLines w:val="0"/>
        <w:pageBreakBefore w:val="0"/>
        <w:widowControl w:val="0"/>
        <w:kinsoku/>
        <w:wordWrap/>
        <w:overflowPunct/>
        <w:topLinePunct w:val="0"/>
        <w:autoSpaceDE/>
        <w:autoSpaceDN/>
        <w:bidi w:val="0"/>
        <w:adjustRightInd/>
        <w:snapToGrid/>
        <w:spacing w:line="400" w:lineRule="exact"/>
        <w:ind w:left="240" w:leftChars="100" w:firstLine="0" w:firstLineChars="0"/>
        <w:textAlignment w:val="auto"/>
        <w:rPr>
          <w:rFonts w:hint="eastAsia"/>
          <w:lang w:val="en-US" w:eastAsia="zh-CN"/>
        </w:rPr>
      </w:pPr>
      <w:r>
        <w:rPr>
          <w:rFonts w:hint="eastAsia"/>
          <w:lang w:val="en-US" w:eastAsia="zh-CN"/>
        </w:rPr>
        <w:t>（1）项目实施地点：唐河县境内；</w:t>
      </w:r>
      <w:r>
        <w:rPr>
          <w:rFonts w:hint="eastAsia"/>
          <w:lang w:val="en-US" w:eastAsia="zh-CN"/>
        </w:rPr>
        <w:br w:type="textWrapping"/>
      </w:r>
      <w:r>
        <w:rPr>
          <w:rFonts w:hint="eastAsia"/>
          <w:lang w:val="en-US" w:eastAsia="zh-CN"/>
        </w:rPr>
        <w:t>（2）资金来源：财政资金，已落实；</w:t>
      </w:r>
      <w:r>
        <w:rPr>
          <w:rFonts w:hint="eastAsia"/>
          <w:lang w:val="en-US" w:eastAsia="zh-CN"/>
        </w:rPr>
        <w:br w:type="textWrapping"/>
      </w:r>
      <w:r>
        <w:rPr>
          <w:rFonts w:hint="eastAsia"/>
          <w:lang w:val="en-US" w:eastAsia="zh-CN"/>
        </w:rPr>
        <w:t>（3）服务内容：按照要求对唐河县辖区食品进行抽检服务，（具体内容详见采购文件抽检工作计划）；</w:t>
      </w:r>
    </w:p>
    <w:p w14:paraId="6D204847">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240" w:leftChars="100" w:firstLine="0" w:firstLineChars="0"/>
        <w:textAlignment w:val="auto"/>
        <w:rPr>
          <w:rFonts w:hint="eastAsia"/>
          <w:lang w:val="en-US" w:eastAsia="zh-CN"/>
        </w:rPr>
      </w:pPr>
      <w:r>
        <w:rPr>
          <w:rFonts w:hint="eastAsia"/>
          <w:lang w:val="en-US" w:eastAsia="zh-CN"/>
        </w:rPr>
        <w:t>（4）质量要求：符合国家相关行业质量合格标准，符合采购人采购需求标准；</w:t>
      </w:r>
    </w:p>
    <w:p w14:paraId="4B7E9D04">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240" w:leftChars="100" w:firstLine="0" w:firstLineChars="0"/>
        <w:textAlignment w:val="auto"/>
        <w:rPr>
          <w:rFonts w:hint="eastAsia"/>
          <w:lang w:val="en-US" w:eastAsia="zh-CN"/>
        </w:rPr>
      </w:pPr>
      <w:r>
        <w:rPr>
          <w:rFonts w:hint="eastAsia"/>
          <w:lang w:val="en-US" w:eastAsia="zh-CN"/>
        </w:rPr>
        <w:t>（5）服务期限：2027年6月30日前完成所有抽检项目；</w:t>
      </w:r>
      <w:r>
        <w:rPr>
          <w:rFonts w:hint="eastAsia"/>
          <w:lang w:val="en-US" w:eastAsia="zh-CN"/>
        </w:rPr>
        <w:br w:type="textWrapping"/>
      </w:r>
      <w:r>
        <w:rPr>
          <w:rFonts w:hint="eastAsia"/>
          <w:lang w:val="en-US" w:eastAsia="zh-CN"/>
        </w:rPr>
        <w:t>（6）标段划分：共五个标段，由于本项目需要多个标段共同实施，为防止一家供应商因资源调配问题影响项目实施，供应商可投报多个标段，仅可中1个标段。</w:t>
      </w:r>
    </w:p>
    <w:p w14:paraId="6DCE0CC6">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default"/>
          <w:lang w:val="en-US"/>
        </w:rPr>
      </w:pPr>
      <w:r>
        <w:rPr>
          <w:rFonts w:hint="eastAsia"/>
          <w:lang w:val="en-US" w:eastAsia="zh-CN"/>
        </w:rPr>
        <w:t>6、合同履行期限：同服务期限</w:t>
      </w:r>
    </w:p>
    <w:p w14:paraId="5AEB0A97">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r>
        <w:rPr>
          <w:rFonts w:hint="eastAsia"/>
          <w:lang w:val="en-US" w:eastAsia="zh-CN"/>
        </w:rPr>
        <w:t>7、本项目是否接受联合体投标：否</w:t>
      </w:r>
      <w:r>
        <w:rPr>
          <w:rFonts w:hint="eastAsia"/>
        </w:rPr>
        <w:tab/>
      </w:r>
    </w:p>
    <w:p w14:paraId="2DC2803D">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r>
        <w:rPr>
          <w:rFonts w:hint="eastAsia"/>
          <w:lang w:val="en-US" w:eastAsia="zh-CN"/>
        </w:rPr>
        <w:t>8、是否接受进口产品：否</w:t>
      </w:r>
      <w:r>
        <w:rPr>
          <w:rFonts w:hint="eastAsia"/>
          <w:lang w:val="en-US" w:eastAsia="zh-CN"/>
        </w:rPr>
        <w:tab/>
      </w:r>
    </w:p>
    <w:p w14:paraId="3231EFA0">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r>
        <w:rPr>
          <w:rFonts w:hint="eastAsia"/>
          <w:lang w:val="en-US" w:eastAsia="zh-CN"/>
        </w:rPr>
        <w:t>9、是否专门面向中小企业：是</w:t>
      </w:r>
    </w:p>
    <w:p w14:paraId="0BDBC0DB">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b/>
          <w:bCs/>
        </w:rPr>
      </w:pPr>
      <w:r>
        <w:rPr>
          <w:rFonts w:hint="eastAsia"/>
          <w:b/>
          <w:bCs/>
          <w:lang w:val="en-US" w:eastAsia="zh-CN"/>
        </w:rPr>
        <w:t>二、申请人资格要求：</w:t>
      </w:r>
      <w:r>
        <w:rPr>
          <w:rFonts w:hint="eastAsia"/>
          <w:b/>
          <w:bCs/>
        </w:rPr>
        <w:tab/>
      </w:r>
    </w:p>
    <w:p w14:paraId="5823C045">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r>
        <w:rPr>
          <w:rFonts w:hint="eastAsia"/>
          <w:lang w:val="en-US" w:eastAsia="zh-CN"/>
        </w:rPr>
        <w:t>1、满足《中华人民共和国政府采购法》第二十二条规定；</w:t>
      </w:r>
      <w:r>
        <w:rPr>
          <w:rFonts w:hint="eastAsia"/>
          <w:lang w:val="en-US" w:eastAsia="zh-CN"/>
        </w:rPr>
        <w:tab/>
      </w:r>
    </w:p>
    <w:p w14:paraId="2EB70433">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r>
        <w:rPr>
          <w:rFonts w:hint="eastAsia"/>
          <w:lang w:val="en-US" w:eastAsia="zh-CN"/>
        </w:rPr>
        <w:t>2、落实政府采购政策满足的资格要求：</w:t>
      </w:r>
      <w:r>
        <w:rPr>
          <w:rFonts w:hint="eastAsia"/>
          <w:lang w:val="en-US" w:eastAsia="zh-CN"/>
        </w:rPr>
        <w:tab/>
      </w:r>
    </w:p>
    <w:p w14:paraId="6B97A9A5">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r>
        <w:rPr>
          <w:rFonts w:hint="eastAsia"/>
          <w:lang w:val="en-US" w:eastAsia="zh-CN"/>
        </w:rPr>
        <w:t>本项目执行扶持中小企业、监狱企业和残疾人福利性单位发展的政策</w:t>
      </w:r>
      <w:r>
        <w:rPr>
          <w:rFonts w:hint="eastAsia"/>
          <w:lang w:val="en-US" w:eastAsia="zh-CN"/>
        </w:rPr>
        <w:tab/>
      </w:r>
    </w:p>
    <w:p w14:paraId="7FE9C5A0">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r>
        <w:rPr>
          <w:rFonts w:hint="eastAsia"/>
          <w:lang w:val="en-US" w:eastAsia="zh-CN"/>
        </w:rPr>
        <w:t>3、本项目的特定资格要求</w:t>
      </w:r>
      <w:r>
        <w:rPr>
          <w:rFonts w:hint="eastAsia"/>
          <w:lang w:val="en-US" w:eastAsia="zh-CN"/>
        </w:rPr>
        <w:tab/>
      </w:r>
    </w:p>
    <w:p w14:paraId="43D7F08B">
      <w:pPr>
        <w:keepNext w:val="0"/>
        <w:keepLines w:val="0"/>
        <w:pageBreakBefore w:val="0"/>
        <w:widowControl w:val="0"/>
        <w:kinsoku/>
        <w:wordWrap/>
        <w:overflowPunct/>
        <w:topLinePunct w:val="0"/>
        <w:autoSpaceDE/>
        <w:autoSpaceDN/>
        <w:bidi w:val="0"/>
        <w:adjustRightInd/>
        <w:snapToGrid/>
        <w:spacing w:line="400" w:lineRule="exact"/>
        <w:ind w:left="240" w:leftChars="100" w:firstLine="0" w:firstLineChars="0"/>
        <w:textAlignment w:val="auto"/>
        <w:rPr>
          <w:rFonts w:hint="eastAsia"/>
          <w:lang w:val="en-US" w:eastAsia="zh-CN"/>
        </w:rPr>
      </w:pPr>
      <w:r>
        <w:rPr>
          <w:rFonts w:hint="eastAsia"/>
          <w:lang w:val="en-US" w:eastAsia="zh-CN"/>
        </w:rPr>
        <w:t>（1）供应商需具有独立承担民事责任的能力以及有效的营业执照；</w:t>
      </w:r>
      <w:r>
        <w:rPr>
          <w:rFonts w:hint="eastAsia"/>
          <w:lang w:val="en-US" w:eastAsia="zh-CN"/>
        </w:rPr>
        <w:br w:type="textWrapping"/>
      </w:r>
      <w:r>
        <w:rPr>
          <w:rFonts w:hint="eastAsia"/>
          <w:lang w:val="en-US" w:eastAsia="zh-CN"/>
        </w:rPr>
        <w:t>（2）供应商参加政府采购活动近三年内，在经营活动中没有重大违纪记录的书面声明；</w:t>
      </w:r>
      <w:r>
        <w:rPr>
          <w:rFonts w:hint="eastAsia"/>
          <w:lang w:val="en-US" w:eastAsia="zh-CN"/>
        </w:rPr>
        <w:br w:type="textWrapping"/>
      </w:r>
      <w:r>
        <w:rPr>
          <w:rFonts w:hint="eastAsia"/>
          <w:lang w:val="en-US" w:eastAsia="zh-CN"/>
        </w:rPr>
        <w:t>（3）供应商须具备检验检测机构资质认定证书（CMA），CMA资质附表中的项目需包含本项目采购的检测内容，监督抽检任务检测项目需包含《食品安全监督抽检实施细则（2026年版）》中项目；</w:t>
      </w:r>
      <w:r>
        <w:rPr>
          <w:rFonts w:hint="eastAsia"/>
          <w:lang w:val="en-US" w:eastAsia="zh-CN"/>
        </w:rPr>
        <w:br w:type="textWrapping"/>
      </w:r>
      <w:r>
        <w:rPr>
          <w:rFonts w:hint="eastAsia"/>
          <w:lang w:val="en-US" w:eastAsia="zh-CN"/>
        </w:rPr>
        <w:t>（4）供应商须具有保证检验检测质量、按照规定时限完成检验检测任务、提供良好的检验检测相关服务的能力（自行承诺）；</w:t>
      </w:r>
      <w:r>
        <w:rPr>
          <w:rFonts w:hint="eastAsia"/>
          <w:lang w:val="en-US" w:eastAsia="zh-CN"/>
        </w:rPr>
        <w:br w:type="textWrapping"/>
      </w:r>
      <w:r>
        <w:rPr>
          <w:rFonts w:hint="eastAsia"/>
          <w:lang w:val="en-US" w:eastAsia="zh-CN"/>
        </w:rPr>
        <w:t>（5）供应商须具备与其检测项目、检品数量相适应的人员、仪器设备、环境设施及辅助用品、具备所有检验项目指定检验方法执行的检验检测能力及风险研判能力；具备与检验检测工作相适应、有效运行的质量管理体系（自行承诺）；</w:t>
      </w:r>
      <w:r>
        <w:rPr>
          <w:rFonts w:hint="eastAsia"/>
          <w:lang w:val="en-US" w:eastAsia="zh-CN"/>
        </w:rPr>
        <w:br w:type="textWrapping"/>
      </w:r>
      <w:r>
        <w:rPr>
          <w:rFonts w:hint="eastAsia"/>
          <w:lang w:val="en-US" w:eastAsia="zh-CN"/>
        </w:rPr>
        <w:t>（6）供应商须具有开展食品安全抽检所必需的抽样设备和技术能力，拥有独立的专业抽样队伍，具备抽样、送样的能力；按工作需要具备满足样品储运条件的设备和车辆。具备与检验检测工作相适应的人员、仪器设备与设施（自行承诺）；</w:t>
      </w:r>
      <w:r>
        <w:rPr>
          <w:rFonts w:hint="eastAsia"/>
          <w:lang w:val="en-US" w:eastAsia="zh-CN"/>
        </w:rPr>
        <w:br w:type="textWrapping"/>
      </w:r>
      <w:r>
        <w:rPr>
          <w:rFonts w:hint="eastAsia"/>
          <w:lang w:val="en-US" w:eastAsia="zh-CN"/>
        </w:rPr>
        <w:t>（7）供应商须具有良好的商业信誉和健全的财务会计制度：供应商需提供2024年或2025年度财务报表或财务审计报告（若成立不足一年的公司，则提供成立月份以来的企业财务报表）；</w:t>
      </w:r>
      <w:r>
        <w:rPr>
          <w:rFonts w:hint="eastAsia"/>
          <w:lang w:val="en-US" w:eastAsia="zh-CN"/>
        </w:rPr>
        <w:br w:type="textWrapping"/>
      </w:r>
      <w:r>
        <w:rPr>
          <w:rFonts w:hint="eastAsia"/>
          <w:lang w:val="en-US" w:eastAsia="zh-CN"/>
        </w:rPr>
        <w:t>（8）供应商依法缴纳税收（提供近一年内任意三个月完税证明或缴税凭证）和社会保障资金（提供近一年内任意三个月的社保缴纳凭证或社保缴费记录)。依法免税或不需要缴纳社会保障资金的供应商，应提供相应证明文件；</w:t>
      </w:r>
      <w:r>
        <w:rPr>
          <w:rFonts w:hint="eastAsia"/>
          <w:lang w:val="en-US" w:eastAsia="zh-CN"/>
        </w:rPr>
        <w:br w:type="textWrapping"/>
      </w:r>
      <w:r>
        <w:rPr>
          <w:rFonts w:hint="eastAsia"/>
          <w:lang w:val="en-US" w:eastAsia="zh-CN"/>
        </w:rPr>
        <w:t>（9）具有出具经电子签名检验报告并能够与相应信息系统做好数据对接的能力，具有食品安全分析研判能力和食品安全应急处置能力，能够按照规定时限完成检验检测任务，并及时填报相应的抽检信息平台（自行承诺）；</w:t>
      </w:r>
      <w:r>
        <w:rPr>
          <w:rFonts w:hint="eastAsia"/>
          <w:lang w:val="en-US" w:eastAsia="zh-CN"/>
        </w:rPr>
        <w:br w:type="textWrapping"/>
      </w:r>
      <w:r>
        <w:rPr>
          <w:rFonts w:hint="eastAsia"/>
          <w:lang w:val="en-US" w:eastAsia="zh-CN"/>
        </w:rPr>
        <w:t>（10）根据《关于在政府采购活动中查询和使用信用记录有关问题通知》（财库【2016】125号）、豫财购（2016）15号的规定，对列入失信被执行人、重大税收违法失信主体、政府采购严重违法失信行为记录名单的投标人，拒绝参与本项目政府采购活动（查询渠道：“信用中国”网站、中国政府采购网，开标时提供相关网站查询截图）。查询日期不得早于竞争性磋商公告发布之日，提供截图必须清晰可辨；</w:t>
      </w:r>
      <w:r>
        <w:rPr>
          <w:rFonts w:hint="eastAsia"/>
          <w:lang w:val="en-US" w:eastAsia="zh-CN"/>
        </w:rPr>
        <w:br w:type="textWrapping"/>
      </w:r>
      <w:r>
        <w:rPr>
          <w:rFonts w:hint="eastAsia"/>
          <w:lang w:val="en-US" w:eastAsia="zh-CN"/>
        </w:rPr>
        <w:t>（11）本项目不接受联合体投标，不允许转包和分包。</w:t>
      </w:r>
    </w:p>
    <w:p w14:paraId="1BB2C6D0">
      <w:pPr>
        <w:keepNext w:val="0"/>
        <w:keepLines w:val="0"/>
        <w:pageBreakBefore w:val="0"/>
        <w:widowControl w:val="0"/>
        <w:kinsoku/>
        <w:wordWrap/>
        <w:overflowPunct/>
        <w:topLinePunct w:val="0"/>
        <w:autoSpaceDE/>
        <w:autoSpaceDN/>
        <w:bidi w:val="0"/>
        <w:adjustRightInd/>
        <w:snapToGrid/>
        <w:spacing w:line="400" w:lineRule="exact"/>
        <w:ind w:left="240" w:leftChars="100" w:firstLine="0" w:firstLineChars="0"/>
        <w:textAlignment w:val="auto"/>
        <w:rPr>
          <w:rFonts w:hint="eastAsia"/>
          <w:lang w:val="en-US" w:eastAsia="zh-CN"/>
        </w:rPr>
      </w:pPr>
      <w:r>
        <w:rPr>
          <w:rFonts w:hint="eastAsia"/>
          <w:lang w:val="en-US" w:eastAsia="zh-CN"/>
        </w:rPr>
        <w:t xml:space="preserve">     按照唐河县财政局《关于在政府采购活动中试行供应商资格信用承诺制的通知》唐财购[2021]18号的要求，供应商在投标(响应)时，按照规定提供“投标承诺函”(详见采购文件)的，无需再提交上述（7）、（8）的证明材料。供应商在中标(成交)后，应将上述由投标承诺函替代的证明材料提交采购人、采购代理机构，证明材料将随公告一并公示。</w:t>
      </w:r>
    </w:p>
    <w:p w14:paraId="68F2DF8D">
      <w:pPr>
        <w:keepNext w:val="0"/>
        <w:keepLines w:val="0"/>
        <w:pageBreakBefore w:val="0"/>
        <w:widowControl w:val="0"/>
        <w:kinsoku/>
        <w:wordWrap/>
        <w:overflowPunct/>
        <w:topLinePunct w:val="0"/>
        <w:autoSpaceDE/>
        <w:autoSpaceDN/>
        <w:bidi w:val="0"/>
        <w:adjustRightInd/>
        <w:snapToGrid/>
        <w:spacing w:line="400" w:lineRule="exact"/>
        <w:ind w:firstLine="960" w:firstLineChars="400"/>
        <w:textAlignment w:val="auto"/>
        <w:rPr>
          <w:rFonts w:hint="eastAsia"/>
          <w:b w:val="0"/>
          <w:bCs w:val="0"/>
          <w:lang w:val="en-US" w:eastAsia="zh-CN"/>
        </w:rPr>
      </w:pPr>
      <w:r>
        <w:rPr>
          <w:rFonts w:hint="eastAsia"/>
          <w:b w:val="0"/>
          <w:bCs w:val="0"/>
          <w:lang w:val="en-US" w:eastAsia="zh-CN"/>
        </w:rPr>
        <w:t xml:space="preserve">注：本项目实行资格后审，审查内容以投标截止时间前上传企业诚信库信息(南阳市诚信库网站 </w:t>
      </w:r>
      <w:r>
        <w:rPr>
          <w:rFonts w:hint="eastAsia"/>
          <w:b w:val="0"/>
          <w:bCs w:val="0"/>
          <w:lang w:val="en-US" w:eastAsia="zh-CN"/>
        </w:rPr>
        <w:fldChar w:fldCharType="begin"/>
      </w:r>
      <w:r>
        <w:rPr>
          <w:rFonts w:hint="eastAsia"/>
          <w:b w:val="0"/>
          <w:bCs w:val="0"/>
          <w:lang w:val="en-US" w:eastAsia="zh-CN"/>
        </w:rPr>
        <w:instrText xml:space="preserve"> HYPERLINK "https://ggzyjy.nanyang.gov.cn/" </w:instrText>
      </w:r>
      <w:r>
        <w:rPr>
          <w:rFonts w:hint="eastAsia"/>
          <w:b w:val="0"/>
          <w:bCs w:val="0"/>
          <w:lang w:val="en-US" w:eastAsia="zh-CN"/>
        </w:rPr>
        <w:fldChar w:fldCharType="separate"/>
      </w:r>
      <w:r>
        <w:rPr>
          <w:rFonts w:hint="eastAsia"/>
          <w:b w:val="0"/>
          <w:bCs w:val="0"/>
          <w:lang w:val="en-US" w:eastAsia="zh-CN"/>
        </w:rPr>
        <w:t>https://ggzyjy.nanyang.gov.cn/</w:t>
      </w:r>
      <w:r>
        <w:rPr>
          <w:rFonts w:hint="eastAsia"/>
          <w:b w:val="0"/>
          <w:bCs w:val="0"/>
          <w:lang w:val="en-US" w:eastAsia="zh-CN"/>
        </w:rPr>
        <w:fldChar w:fldCharType="end"/>
      </w:r>
      <w:r>
        <w:rPr>
          <w:rFonts w:hint="eastAsia"/>
          <w:b w:val="0"/>
          <w:bCs w:val="0"/>
          <w:lang w:val="en-US" w:eastAsia="zh-CN"/>
        </w:rPr>
        <w:t xml:space="preserve"> )为准，过期更改的诚信库(南阳市)信息不做为本项目评审依据。开标现场不接受诚信库(南阳市)信息原件。诚信库(南阳市)上传信息必须内容齐全，真实有效，原件扫描清晰可辨。否则，由此造成应得分而未得分或审查不合格情况的，由投标企业承诺责任。</w:t>
      </w:r>
    </w:p>
    <w:tbl>
      <w:tblPr>
        <w:tblStyle w:val="30"/>
        <w:tblW w:w="1031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0314"/>
      </w:tblGrid>
      <w:tr w14:paraId="18F995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10314" w:type="dxa"/>
            <w:shd w:val="clear" w:color="auto" w:fill="auto"/>
            <w:tcMar>
              <w:top w:w="0" w:type="dxa"/>
              <w:left w:w="0" w:type="dxa"/>
              <w:bottom w:w="0" w:type="dxa"/>
              <w:right w:w="0" w:type="dxa"/>
            </w:tcMar>
            <w:vAlign w:val="center"/>
          </w:tcPr>
          <w:p w14:paraId="30718251">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b w:val="0"/>
                <w:bCs w:val="0"/>
                <w:lang w:val="en-US" w:eastAsia="zh-CN"/>
              </w:rPr>
            </w:pPr>
            <w:r>
              <w:rPr>
                <w:rFonts w:hint="eastAsia"/>
                <w:b/>
                <w:bCs/>
                <w:lang w:val="en-US" w:eastAsia="zh-CN"/>
              </w:rPr>
              <w:t>三、获取采购文件</w:t>
            </w:r>
          </w:p>
        </w:tc>
      </w:tr>
      <w:tr w14:paraId="04343C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0314" w:type="dxa"/>
            <w:shd w:val="clear" w:color="auto" w:fill="auto"/>
            <w:tcMar>
              <w:top w:w="0" w:type="dxa"/>
              <w:left w:w="0" w:type="dxa"/>
              <w:bottom w:w="0" w:type="dxa"/>
              <w:right w:w="0" w:type="dxa"/>
            </w:tcMar>
            <w:vAlign w:val="center"/>
          </w:tcPr>
          <w:p w14:paraId="14958FD4">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b w:val="0"/>
                <w:bCs w:val="0"/>
                <w:lang w:val="en-US" w:eastAsia="zh-CN"/>
              </w:rPr>
            </w:pPr>
            <w:r>
              <w:rPr>
                <w:rFonts w:hint="eastAsia"/>
                <w:b w:val="0"/>
                <w:bCs w:val="0"/>
                <w:lang w:val="en-US" w:eastAsia="zh-CN"/>
              </w:rPr>
              <w:t>1.时间：2026年4月15日 至 2026年4月22日，每天上午00:00至12:00，下午12:00至23:59（北京时间，法定节假日除外。）</w:t>
            </w:r>
          </w:p>
        </w:tc>
      </w:tr>
      <w:tr w14:paraId="7674B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0314" w:type="dxa"/>
            <w:shd w:val="clear" w:color="auto" w:fill="auto"/>
            <w:tcMar>
              <w:top w:w="0" w:type="dxa"/>
              <w:left w:w="0" w:type="dxa"/>
              <w:bottom w:w="0" w:type="dxa"/>
              <w:right w:w="0" w:type="dxa"/>
            </w:tcMar>
            <w:vAlign w:val="center"/>
          </w:tcPr>
          <w:p w14:paraId="47AA1E4A">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b w:val="0"/>
                <w:bCs w:val="0"/>
                <w:lang w:val="en-US" w:eastAsia="zh-CN"/>
              </w:rPr>
            </w:pPr>
            <w:r>
              <w:rPr>
                <w:rFonts w:hint="eastAsia"/>
                <w:b w:val="0"/>
                <w:bCs w:val="0"/>
                <w:lang w:val="en-US" w:eastAsia="zh-CN"/>
              </w:rPr>
              <w:t>2.地点：唐河县公共资源交易中心网站（http://ggzyjy.tanghe.gov.cn）</w:t>
            </w:r>
          </w:p>
        </w:tc>
      </w:tr>
      <w:tr w14:paraId="046BCA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0314" w:type="dxa"/>
            <w:shd w:val="clear" w:color="auto" w:fill="auto"/>
            <w:tcMar>
              <w:top w:w="0" w:type="dxa"/>
              <w:left w:w="0" w:type="dxa"/>
              <w:bottom w:w="0" w:type="dxa"/>
              <w:right w:w="0" w:type="dxa"/>
            </w:tcMar>
            <w:vAlign w:val="center"/>
          </w:tcPr>
          <w:p w14:paraId="721B7207">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b w:val="0"/>
                <w:bCs w:val="0"/>
                <w:lang w:val="en-US" w:eastAsia="zh-CN"/>
              </w:rPr>
            </w:pPr>
            <w:r>
              <w:rPr>
                <w:rFonts w:hint="eastAsia"/>
                <w:b w:val="0"/>
                <w:bCs w:val="0"/>
                <w:lang w:val="en-US" w:eastAsia="zh-CN"/>
              </w:rPr>
              <w:t>3.方式：潜在供应商在唐河县公共资源交易中心网站首页“交易主体登录”进行网上下载采购文件。</w:t>
            </w:r>
          </w:p>
        </w:tc>
      </w:tr>
      <w:tr w14:paraId="1A9CCD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0314" w:type="dxa"/>
            <w:shd w:val="clear" w:color="auto" w:fill="auto"/>
            <w:tcMar>
              <w:top w:w="0" w:type="dxa"/>
              <w:left w:w="0" w:type="dxa"/>
              <w:bottom w:w="0" w:type="dxa"/>
              <w:right w:w="0" w:type="dxa"/>
            </w:tcMar>
            <w:vAlign w:val="center"/>
          </w:tcPr>
          <w:p w14:paraId="7207FCBD">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b w:val="0"/>
                <w:bCs w:val="0"/>
                <w:lang w:val="en-US" w:eastAsia="zh-CN"/>
              </w:rPr>
            </w:pPr>
            <w:r>
              <w:rPr>
                <w:rFonts w:hint="eastAsia"/>
                <w:b w:val="0"/>
                <w:bCs w:val="0"/>
                <w:lang w:val="en-US" w:eastAsia="zh-CN"/>
              </w:rPr>
              <w:t>4.售价：0元</w:t>
            </w:r>
          </w:p>
        </w:tc>
      </w:tr>
      <w:tr w14:paraId="2A5BC8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0314" w:type="dxa"/>
            <w:shd w:val="clear" w:color="auto" w:fill="auto"/>
            <w:tcMar>
              <w:top w:w="0" w:type="dxa"/>
              <w:left w:w="0" w:type="dxa"/>
              <w:bottom w:w="0" w:type="dxa"/>
              <w:right w:w="0" w:type="dxa"/>
            </w:tcMar>
            <w:vAlign w:val="center"/>
          </w:tcPr>
          <w:p w14:paraId="293D0259">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b w:val="0"/>
                <w:bCs w:val="0"/>
                <w:lang w:val="en-US" w:eastAsia="zh-CN"/>
              </w:rPr>
            </w:pPr>
            <w:r>
              <w:rPr>
                <w:rFonts w:hint="eastAsia"/>
                <w:b/>
                <w:bCs/>
                <w:lang w:val="en-US" w:eastAsia="zh-CN"/>
              </w:rPr>
              <w:t>四、响应文件提交</w:t>
            </w:r>
          </w:p>
        </w:tc>
      </w:tr>
      <w:tr w14:paraId="0473A6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0314" w:type="dxa"/>
            <w:shd w:val="clear" w:color="auto" w:fill="auto"/>
            <w:tcMar>
              <w:top w:w="0" w:type="dxa"/>
              <w:left w:w="0" w:type="dxa"/>
              <w:bottom w:w="0" w:type="dxa"/>
              <w:right w:w="0" w:type="dxa"/>
            </w:tcMar>
            <w:vAlign w:val="center"/>
          </w:tcPr>
          <w:p w14:paraId="5056388A">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b w:val="0"/>
                <w:bCs w:val="0"/>
                <w:lang w:val="en-US" w:eastAsia="zh-CN"/>
              </w:rPr>
            </w:pPr>
            <w:r>
              <w:rPr>
                <w:rFonts w:hint="eastAsia"/>
                <w:b w:val="0"/>
                <w:bCs w:val="0"/>
                <w:lang w:val="en-US" w:eastAsia="zh-CN"/>
              </w:rPr>
              <w:t>1.截止时间：2026年4月28日09时00分（北京时间）</w:t>
            </w:r>
          </w:p>
        </w:tc>
      </w:tr>
      <w:tr w14:paraId="62F612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0314" w:type="dxa"/>
            <w:shd w:val="clear" w:color="auto" w:fill="auto"/>
            <w:tcMar>
              <w:top w:w="0" w:type="dxa"/>
              <w:left w:w="0" w:type="dxa"/>
              <w:bottom w:w="0" w:type="dxa"/>
              <w:right w:w="0" w:type="dxa"/>
            </w:tcMar>
            <w:vAlign w:val="center"/>
          </w:tcPr>
          <w:p w14:paraId="1E6771EC">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b w:val="0"/>
                <w:bCs w:val="0"/>
                <w:lang w:val="en-US" w:eastAsia="zh-CN"/>
              </w:rPr>
            </w:pPr>
            <w:r>
              <w:rPr>
                <w:rFonts w:hint="eastAsia"/>
                <w:b w:val="0"/>
                <w:bCs w:val="0"/>
                <w:lang w:val="en-US" w:eastAsia="zh-CN"/>
              </w:rPr>
              <w:t>2.地点：唐河县公共资源交易中心网站（http://ggzyjy.tanghe.gov.cn）</w:t>
            </w:r>
          </w:p>
        </w:tc>
      </w:tr>
      <w:tr w14:paraId="68C458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0314" w:type="dxa"/>
            <w:shd w:val="clear" w:color="auto" w:fill="auto"/>
            <w:tcMar>
              <w:top w:w="0" w:type="dxa"/>
              <w:left w:w="0" w:type="dxa"/>
              <w:bottom w:w="0" w:type="dxa"/>
              <w:right w:w="0" w:type="dxa"/>
            </w:tcMar>
            <w:vAlign w:val="center"/>
          </w:tcPr>
          <w:p w14:paraId="59690ED1">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b w:val="0"/>
                <w:bCs w:val="0"/>
                <w:lang w:val="en-US" w:eastAsia="zh-CN"/>
              </w:rPr>
            </w:pPr>
            <w:r>
              <w:rPr>
                <w:rFonts w:hint="eastAsia"/>
                <w:b/>
                <w:bCs/>
                <w:lang w:val="en-US" w:eastAsia="zh-CN"/>
              </w:rPr>
              <w:t>五、响应文件开启</w:t>
            </w:r>
          </w:p>
        </w:tc>
      </w:tr>
      <w:tr w14:paraId="3A407B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5" w:hRule="atLeast"/>
        </w:trPr>
        <w:tc>
          <w:tcPr>
            <w:tcW w:w="10314" w:type="dxa"/>
            <w:shd w:val="clear" w:color="auto" w:fill="auto"/>
            <w:tcMar>
              <w:top w:w="0" w:type="dxa"/>
              <w:left w:w="0" w:type="dxa"/>
              <w:bottom w:w="0" w:type="dxa"/>
              <w:right w:w="0" w:type="dxa"/>
            </w:tcMar>
            <w:vAlign w:val="center"/>
          </w:tcPr>
          <w:p w14:paraId="224827F8">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b w:val="0"/>
                <w:bCs w:val="0"/>
                <w:lang w:val="en-US" w:eastAsia="zh-CN"/>
              </w:rPr>
            </w:pPr>
            <w:r>
              <w:rPr>
                <w:rFonts w:hint="eastAsia"/>
                <w:b w:val="0"/>
                <w:bCs w:val="0"/>
                <w:lang w:val="en-US" w:eastAsia="zh-CN"/>
              </w:rPr>
              <w:t>1.时间：2026年4月28日09时00分（北京时间）</w:t>
            </w:r>
          </w:p>
        </w:tc>
      </w:tr>
      <w:tr w14:paraId="7525B2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0314" w:type="dxa"/>
            <w:shd w:val="clear" w:color="auto" w:fill="auto"/>
            <w:tcMar>
              <w:top w:w="0" w:type="dxa"/>
              <w:left w:w="0" w:type="dxa"/>
              <w:bottom w:w="0" w:type="dxa"/>
              <w:right w:w="0" w:type="dxa"/>
            </w:tcMar>
            <w:vAlign w:val="center"/>
          </w:tcPr>
          <w:p w14:paraId="7AC6D5B3">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b w:val="0"/>
                <w:bCs w:val="0"/>
                <w:lang w:val="en-US" w:eastAsia="zh-CN"/>
              </w:rPr>
            </w:pPr>
            <w:r>
              <w:rPr>
                <w:rFonts w:hint="eastAsia"/>
                <w:b w:val="0"/>
                <w:bCs w:val="0"/>
                <w:lang w:val="en-US" w:eastAsia="zh-CN"/>
              </w:rPr>
              <w:t>2.地点：唐河县公共资源交易中心（本项目采用网上不见面方式开标，投标企业无需到达开标现场）</w:t>
            </w:r>
          </w:p>
        </w:tc>
      </w:tr>
    </w:tbl>
    <w:p w14:paraId="6CECF976">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lang w:val="en-US" w:eastAsia="zh-CN"/>
        </w:rPr>
      </w:pPr>
      <w:r>
        <w:rPr>
          <w:rFonts w:hint="eastAsia"/>
          <w:b/>
          <w:bCs/>
          <w:lang w:val="en-US" w:eastAsia="zh-CN"/>
        </w:rPr>
        <w:t>六、发布公告的媒介及公告期限</w:t>
      </w:r>
      <w:r>
        <w:rPr>
          <w:rFonts w:hint="eastAsia"/>
          <w:lang w:val="en-US" w:eastAsia="zh-CN"/>
        </w:rPr>
        <w:tab/>
      </w:r>
    </w:p>
    <w:p w14:paraId="0116F108">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r>
        <w:rPr>
          <w:rFonts w:hint="eastAsia"/>
          <w:lang w:val="en-US" w:eastAsia="zh-CN"/>
        </w:rPr>
        <w:t xml:space="preserve">本次招标公告在《河南省政府采购网》、《南阳市政府采购网》、《唐河县公共资源交易中心》上发布，公告期限为三个工作日。 </w:t>
      </w:r>
      <w:r>
        <w:rPr>
          <w:rFonts w:hint="eastAsia"/>
          <w:lang w:val="en-US" w:eastAsia="zh-CN"/>
        </w:rPr>
        <w:tab/>
      </w:r>
    </w:p>
    <w:p w14:paraId="0B46E5A9">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lang w:val="en-US" w:eastAsia="zh-CN"/>
        </w:rPr>
      </w:pPr>
      <w:r>
        <w:rPr>
          <w:rFonts w:hint="eastAsia"/>
          <w:b/>
          <w:bCs/>
          <w:lang w:val="en-US" w:eastAsia="zh-CN"/>
        </w:rPr>
        <w:t>七、其他补充事宜</w:t>
      </w:r>
      <w:r>
        <w:rPr>
          <w:rFonts w:hint="eastAsia"/>
          <w:lang w:val="en-US" w:eastAsia="zh-CN"/>
        </w:rPr>
        <w:tab/>
      </w:r>
    </w:p>
    <w:p w14:paraId="1BB9399B">
      <w:pPr>
        <w:keepNext w:val="0"/>
        <w:keepLines w:val="0"/>
        <w:pageBreakBefore w:val="0"/>
        <w:widowControl w:val="0"/>
        <w:kinsoku/>
        <w:wordWrap/>
        <w:overflowPunct/>
        <w:topLinePunct w:val="0"/>
        <w:autoSpaceDE/>
        <w:autoSpaceDN/>
        <w:bidi w:val="0"/>
        <w:adjustRightInd/>
        <w:snapToGrid/>
        <w:spacing w:line="400" w:lineRule="exact"/>
        <w:ind w:left="480" w:leftChars="200" w:firstLine="0" w:firstLineChars="0"/>
        <w:textAlignment w:val="auto"/>
        <w:rPr>
          <w:rFonts w:hint="eastAsia"/>
          <w:b w:val="0"/>
          <w:bCs w:val="0"/>
          <w:lang w:val="en-US" w:eastAsia="zh-CN"/>
        </w:rPr>
      </w:pPr>
      <w:r>
        <w:rPr>
          <w:rFonts w:hint="eastAsia"/>
          <w:b w:val="0"/>
          <w:bCs w:val="0"/>
          <w:lang w:val="en-US" w:eastAsia="zh-CN"/>
        </w:rPr>
        <w:t>1、成功下载本项目竞争性磋商文件的响应人为参与本项目政府采购活动合格响应人。</w:t>
      </w:r>
      <w:r>
        <w:rPr>
          <w:rFonts w:hint="eastAsia"/>
          <w:b w:val="0"/>
          <w:bCs w:val="0"/>
          <w:lang w:val="en-US" w:eastAsia="zh-CN"/>
        </w:rPr>
        <w:br w:type="textWrapping"/>
      </w:r>
      <w:r>
        <w:rPr>
          <w:rFonts w:hint="eastAsia"/>
          <w:b w:val="0"/>
          <w:bCs w:val="0"/>
          <w:lang w:val="en-US" w:eastAsia="zh-CN"/>
        </w:rPr>
        <w:t>2、该项目需要使用不见面开标，响应人无需前往现场来参与投标。各响应人根据手册要求，提前做好相关准备工作。附件：操作手册地址(下载中心或办事指南中自行下载)、不见面开标大厅地址：唐河县公共资源交易中心网站首页“不见面开标大厅”模块。</w:t>
      </w:r>
      <w:r>
        <w:rPr>
          <w:rFonts w:hint="eastAsia"/>
          <w:b w:val="0"/>
          <w:bCs w:val="0"/>
          <w:lang w:val="en-US" w:eastAsia="zh-CN"/>
        </w:rPr>
        <w:br w:type="textWrapping"/>
      </w:r>
      <w:r>
        <w:rPr>
          <w:rFonts w:hint="eastAsia"/>
          <w:b w:val="0"/>
          <w:bCs w:val="0"/>
          <w:lang w:val="en-US" w:eastAsia="zh-CN"/>
        </w:rPr>
        <w:t>3、该项目自行上传响应文件，无需寄送和递交非加密响应文件光盘等。</w:t>
      </w:r>
      <w:r>
        <w:rPr>
          <w:rFonts w:hint="eastAsia"/>
          <w:b w:val="0"/>
          <w:bCs w:val="0"/>
          <w:lang w:val="en-US" w:eastAsia="zh-CN"/>
        </w:rPr>
        <w:br w:type="textWrapping"/>
      </w:r>
      <w:r>
        <w:rPr>
          <w:rFonts w:hint="eastAsia"/>
          <w:b w:val="0"/>
          <w:bCs w:val="0"/>
          <w:lang w:val="en-US" w:eastAsia="zh-CN"/>
        </w:rPr>
        <w:t>4、因响应人无需现场参与开标，所有准备工作需自行准备到位。开标过程中如遇到紧急事项，可在不见面开标大厅中进行提出异议或文字交流。严重问题可拨打现场技术电话：0377-68513077。</w:t>
      </w:r>
      <w:r>
        <w:rPr>
          <w:rFonts w:hint="eastAsia"/>
          <w:b w:val="0"/>
          <w:bCs w:val="0"/>
          <w:lang w:val="en-US" w:eastAsia="zh-CN"/>
        </w:rPr>
        <w:br w:type="textWrapping"/>
      </w:r>
      <w:r>
        <w:rPr>
          <w:rFonts w:hint="eastAsia"/>
          <w:b w:val="0"/>
          <w:bCs w:val="0"/>
          <w:lang w:val="en-US" w:eastAsia="zh-CN"/>
        </w:rPr>
        <w:t>5、不见面开标过程中，如响应人准备不到位，造成无法及时解密、网络问题等情况造成开标无法继续的，视为该投标人自动放弃投标（30分钟内），将被退回响应文件。</w:t>
      </w:r>
      <w:r>
        <w:rPr>
          <w:rFonts w:hint="eastAsia"/>
          <w:b w:val="0"/>
          <w:bCs w:val="0"/>
          <w:lang w:val="en-US" w:eastAsia="zh-CN"/>
        </w:rPr>
        <w:br w:type="textWrapping"/>
      </w:r>
      <w:r>
        <w:rPr>
          <w:rFonts w:hint="eastAsia"/>
          <w:b w:val="0"/>
          <w:bCs w:val="0"/>
          <w:lang w:val="en-US" w:eastAsia="zh-CN"/>
        </w:rPr>
        <w:t>6、电子版响应文件应在磋商文件规定的投标截止时间前到达交易系统。逾期到达交易系统的电子投标文件视为放弃本次投标。</w:t>
      </w:r>
      <w:r>
        <w:rPr>
          <w:rFonts w:hint="eastAsia"/>
          <w:b w:val="0"/>
          <w:bCs w:val="0"/>
          <w:lang w:val="en-US" w:eastAsia="zh-CN"/>
        </w:rPr>
        <w:br w:type="textWrapping"/>
      </w:r>
      <w:r>
        <w:rPr>
          <w:rFonts w:hint="eastAsia"/>
          <w:b w:val="0"/>
          <w:bCs w:val="0"/>
          <w:lang w:val="en-US" w:eastAsia="zh-CN"/>
        </w:rPr>
        <w:t>7、网上不见面开标过程中，如因响应人准备不到位或网络问题造成未能及时解密的情况导致开标无法继续的，视为该响应人自动放弃投标，签到时间段截止后不再执行投标文件解密。</w:t>
      </w:r>
      <w:r>
        <w:rPr>
          <w:rFonts w:hint="eastAsia"/>
          <w:b w:val="0"/>
          <w:bCs w:val="0"/>
          <w:lang w:val="en-US" w:eastAsia="zh-CN"/>
        </w:rPr>
        <w:br w:type="textWrapping"/>
      </w:r>
      <w:r>
        <w:rPr>
          <w:rFonts w:hint="eastAsia"/>
          <w:b w:val="0"/>
          <w:bCs w:val="0"/>
          <w:lang w:val="en-US" w:eastAsia="zh-CN"/>
        </w:rPr>
        <w:t>8、二次报价时间及报价注意事项：请响应人时刻注意系统提示信息，磋商小组会在系统上发起二次报价，请响应人及时在规定的时间段内填报二次报价。二次报价结束后方可离开。</w:t>
      </w:r>
    </w:p>
    <w:p w14:paraId="5270ED29">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b/>
          <w:bCs/>
        </w:rPr>
      </w:pPr>
      <w:r>
        <w:rPr>
          <w:rFonts w:hint="eastAsia"/>
          <w:b/>
          <w:bCs/>
          <w:lang w:val="en-US" w:eastAsia="zh-CN"/>
        </w:rPr>
        <w:t>八、凡对本次招标提出询问，请按照以下方式联系</w:t>
      </w:r>
      <w:r>
        <w:rPr>
          <w:rFonts w:hint="eastAsia"/>
          <w:b/>
          <w:bCs/>
        </w:rPr>
        <w:tab/>
      </w:r>
    </w:p>
    <w:p w14:paraId="71D31766">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r>
        <w:rPr>
          <w:rFonts w:hint="eastAsia"/>
          <w:lang w:val="en-US" w:eastAsia="zh-CN"/>
        </w:rPr>
        <w:t>1. 采购人信息</w:t>
      </w:r>
      <w:r>
        <w:rPr>
          <w:rFonts w:hint="eastAsia"/>
        </w:rPr>
        <w:tab/>
      </w:r>
    </w:p>
    <w:p w14:paraId="394AEB62">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r>
        <w:rPr>
          <w:rFonts w:hint="eastAsia"/>
          <w:lang w:val="en-US" w:eastAsia="zh-CN"/>
        </w:rPr>
        <w:t>名称：唐河县市场监督管理局</w:t>
      </w:r>
    </w:p>
    <w:p w14:paraId="5A459201">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lang w:val="en-US" w:eastAsia="zh-CN"/>
        </w:rPr>
      </w:pPr>
      <w:r>
        <w:rPr>
          <w:rFonts w:hint="eastAsia"/>
          <w:lang w:val="en-US" w:eastAsia="zh-CN"/>
        </w:rPr>
        <w:t>地址：唐河县新春路北段</w:t>
      </w:r>
    </w:p>
    <w:p w14:paraId="68ABC112">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lang w:val="en-US" w:eastAsia="zh-CN"/>
        </w:rPr>
      </w:pPr>
      <w:r>
        <w:rPr>
          <w:rFonts w:hint="eastAsia"/>
          <w:lang w:val="en-US" w:eastAsia="zh-CN"/>
        </w:rPr>
        <w:t>联系人：赵女士</w:t>
      </w:r>
    </w:p>
    <w:p w14:paraId="6E4F158A">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color w:val="0000FF"/>
          <w:lang w:val="en-US" w:eastAsia="zh-CN"/>
        </w:rPr>
      </w:pPr>
      <w:r>
        <w:rPr>
          <w:rFonts w:hint="eastAsia"/>
          <w:lang w:val="en-US" w:eastAsia="zh-CN"/>
        </w:rPr>
        <w:t>联系方式：15038735228</w:t>
      </w:r>
      <w:r>
        <w:rPr>
          <w:rFonts w:hint="eastAsia"/>
          <w:color w:val="0000FF"/>
          <w:lang w:val="en-US" w:eastAsia="zh-CN"/>
        </w:rPr>
        <w:t xml:space="preserve"> </w:t>
      </w:r>
    </w:p>
    <w:p w14:paraId="2F691932">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r>
        <w:rPr>
          <w:rFonts w:hint="eastAsia"/>
          <w:lang w:val="en-US" w:eastAsia="zh-CN"/>
        </w:rPr>
        <w:t>2.采购代理机构信息（如有）</w:t>
      </w:r>
      <w:r>
        <w:rPr>
          <w:rFonts w:hint="eastAsia"/>
        </w:rPr>
        <w:tab/>
      </w:r>
    </w:p>
    <w:p w14:paraId="74115B92">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r>
        <w:rPr>
          <w:rFonts w:hint="eastAsia"/>
          <w:lang w:val="en-US" w:eastAsia="zh-CN"/>
        </w:rPr>
        <w:t>名称：河南中智工程咨询有限公司</w:t>
      </w:r>
      <w:r>
        <w:rPr>
          <w:rFonts w:hint="eastAsia"/>
        </w:rPr>
        <w:tab/>
      </w:r>
    </w:p>
    <w:p w14:paraId="64916F03">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r>
        <w:rPr>
          <w:rFonts w:hint="eastAsia"/>
          <w:lang w:val="en-US" w:eastAsia="zh-CN"/>
        </w:rPr>
        <w:t>地址：河南省郑州市中原区秦岭路9号院</w:t>
      </w:r>
      <w:r>
        <w:rPr>
          <w:rFonts w:hint="eastAsia"/>
        </w:rPr>
        <w:tab/>
      </w:r>
    </w:p>
    <w:p w14:paraId="3288DDCF">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r>
        <w:rPr>
          <w:rFonts w:hint="eastAsia"/>
          <w:lang w:val="en-US" w:eastAsia="zh-CN"/>
        </w:rPr>
        <w:t>联系人：田女士</w:t>
      </w:r>
      <w:r>
        <w:rPr>
          <w:rFonts w:hint="eastAsia"/>
          <w:lang w:val="en-US" w:eastAsia="zh-CN"/>
        </w:rPr>
        <w:tab/>
      </w:r>
    </w:p>
    <w:p w14:paraId="0FF17503">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r>
        <w:rPr>
          <w:rFonts w:hint="eastAsia"/>
          <w:lang w:val="en-US" w:eastAsia="zh-CN"/>
        </w:rPr>
        <w:t>联系方式：18937767301</w:t>
      </w:r>
      <w:r>
        <w:rPr>
          <w:rFonts w:hint="eastAsia"/>
          <w:lang w:val="en-US" w:eastAsia="zh-CN"/>
        </w:rPr>
        <w:tab/>
      </w:r>
    </w:p>
    <w:p w14:paraId="17C7BB41">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r>
        <w:rPr>
          <w:rFonts w:hint="eastAsia"/>
          <w:lang w:val="en-US" w:eastAsia="zh-CN"/>
        </w:rPr>
        <w:t>3.项目联系方式</w:t>
      </w:r>
      <w:r>
        <w:rPr>
          <w:rFonts w:hint="eastAsia"/>
          <w:lang w:val="en-US" w:eastAsia="zh-CN"/>
        </w:rPr>
        <w:tab/>
      </w:r>
    </w:p>
    <w:p w14:paraId="3397E7B6">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r>
        <w:rPr>
          <w:rFonts w:hint="eastAsia"/>
          <w:lang w:val="en-US" w:eastAsia="zh-CN"/>
        </w:rPr>
        <w:t>项目联系人：田女士</w:t>
      </w:r>
      <w:r>
        <w:rPr>
          <w:rFonts w:hint="eastAsia"/>
          <w:lang w:val="en-US" w:eastAsia="zh-CN"/>
        </w:rPr>
        <w:tab/>
      </w:r>
    </w:p>
    <w:p w14:paraId="7A46E032">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r>
        <w:rPr>
          <w:rFonts w:hint="eastAsia"/>
          <w:lang w:val="en-US" w:eastAsia="zh-CN"/>
        </w:rPr>
        <w:t>联系方式：18937767301</w:t>
      </w:r>
      <w:r>
        <w:rPr>
          <w:rFonts w:hint="eastAsia"/>
          <w:lang w:val="en-US" w:eastAsia="zh-CN"/>
        </w:rPr>
        <w:tab/>
      </w:r>
    </w:p>
    <w:p w14:paraId="4DAFC59B">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p>
    <w:p w14:paraId="51ED8855">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p>
    <w:p w14:paraId="4BEA7FA6">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p>
    <w:p w14:paraId="646CC161">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p>
    <w:p w14:paraId="57933EE4">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p>
    <w:p w14:paraId="61309FAB">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p>
    <w:p w14:paraId="1BE9D542">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p>
    <w:p w14:paraId="5E771DED">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p>
    <w:p w14:paraId="425B2E0F">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p>
    <w:p w14:paraId="268444AF">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p>
    <w:p w14:paraId="18E35913">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p>
    <w:p w14:paraId="178178AE">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p>
    <w:p w14:paraId="57EB59C6">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p>
    <w:p w14:paraId="47A9F47B">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p>
    <w:p w14:paraId="581C39C6">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p>
    <w:p w14:paraId="5F6621B3">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p>
    <w:p w14:paraId="1CC5A2F8">
      <w:pPr>
        <w:pStyle w:val="45"/>
        <w:rPr>
          <w:rFonts w:hint="eastAsia"/>
          <w:lang w:val="en-US" w:eastAsia="zh-CN"/>
        </w:rPr>
      </w:pPr>
    </w:p>
    <w:p w14:paraId="62D84DDD">
      <w:pPr>
        <w:rPr>
          <w:rFonts w:hint="eastAsia"/>
          <w:lang w:val="en-US" w:eastAsia="zh-CN"/>
        </w:rPr>
      </w:pPr>
    </w:p>
    <w:p w14:paraId="14E5983D">
      <w:pPr>
        <w:rPr>
          <w:rFonts w:hint="eastAsia"/>
          <w:lang w:val="en-US" w:eastAsia="zh-CN"/>
        </w:rPr>
      </w:pPr>
    </w:p>
    <w:p w14:paraId="6B681395">
      <w:pPr>
        <w:rPr>
          <w:rFonts w:hint="eastAsia"/>
          <w:lang w:val="en-US" w:eastAsia="zh-CN"/>
        </w:rPr>
      </w:pPr>
    </w:p>
    <w:p w14:paraId="53575BDA">
      <w:pPr>
        <w:rPr>
          <w:rFonts w:hint="eastAsia"/>
          <w:lang w:val="en-US" w:eastAsia="zh-CN"/>
        </w:rPr>
      </w:pPr>
    </w:p>
    <w:p w14:paraId="623E7860">
      <w:pPr>
        <w:rPr>
          <w:rFonts w:hint="eastAsia"/>
          <w:lang w:val="en-US" w:eastAsia="zh-CN"/>
        </w:rPr>
      </w:pPr>
    </w:p>
    <w:p w14:paraId="57A0479D">
      <w:pPr>
        <w:pStyle w:val="45"/>
        <w:rPr>
          <w:rFonts w:hint="eastAsia"/>
          <w:lang w:val="en-US" w:eastAsia="zh-CN"/>
        </w:rPr>
      </w:pPr>
    </w:p>
    <w:p w14:paraId="2914C1A5">
      <w:pPr>
        <w:pStyle w:val="45"/>
        <w:rPr>
          <w:rFonts w:hint="eastAsia"/>
          <w:lang w:val="en-US" w:eastAsia="zh-CN"/>
        </w:rPr>
      </w:pPr>
    </w:p>
    <w:p w14:paraId="4747738D">
      <w:pPr>
        <w:pStyle w:val="2"/>
        <w:jc w:val="center"/>
        <w:rPr>
          <w:sz w:val="40"/>
          <w:szCs w:val="52"/>
        </w:rPr>
      </w:pPr>
      <w:bookmarkStart w:id="5" w:name="_Toc30316"/>
      <w:bookmarkStart w:id="6" w:name="_Toc596"/>
      <w:r>
        <w:rPr>
          <w:rFonts w:hint="eastAsia"/>
          <w:sz w:val="40"/>
          <w:szCs w:val="52"/>
        </w:rPr>
        <w:t xml:space="preserve">第二章 </w:t>
      </w:r>
      <w:r>
        <w:rPr>
          <w:rFonts w:hint="eastAsia"/>
          <w:sz w:val="40"/>
          <w:szCs w:val="52"/>
          <w:lang w:val="en-US" w:eastAsia="zh-CN"/>
        </w:rPr>
        <w:t xml:space="preserve"> </w:t>
      </w:r>
      <w:r>
        <w:rPr>
          <w:rFonts w:hint="eastAsia"/>
          <w:sz w:val="40"/>
          <w:szCs w:val="52"/>
        </w:rPr>
        <w:t xml:space="preserve"> 采购需求</w:t>
      </w:r>
      <w:bookmarkEnd w:id="5"/>
      <w:bookmarkEnd w:id="6"/>
    </w:p>
    <w:p w14:paraId="7C39680C">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1"/>
          <w:szCs w:val="24"/>
        </w:rPr>
      </w:pPr>
      <w:r>
        <w:rPr>
          <w:rFonts w:hint="eastAsia" w:ascii="宋体" w:hAnsi="宋体" w:eastAsia="宋体" w:cs="宋体"/>
          <w:b/>
          <w:bCs/>
          <w:color w:val="000000"/>
          <w:kern w:val="0"/>
          <w:sz w:val="24"/>
          <w:szCs w:val="24"/>
          <w:lang w:val="en-US" w:eastAsia="zh-CN" w:bidi="ar"/>
        </w:rPr>
        <w:t>一、采购内容及要求</w:t>
      </w:r>
    </w:p>
    <w:p w14:paraId="665A0393">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（一）项目名称：唐河县市场监督管理局2026年食品安全监督抽检项目</w:t>
      </w:r>
    </w:p>
    <w:p w14:paraId="3431F9B5">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1"/>
          <w:szCs w:val="24"/>
        </w:rPr>
      </w:pPr>
      <w:r>
        <w:rPr>
          <w:rFonts w:hint="eastAsia" w:ascii="宋体" w:hAnsi="宋体" w:eastAsia="宋体" w:cs="宋体"/>
          <w:color w:val="000000"/>
          <w:kern w:val="0"/>
          <w:sz w:val="24"/>
          <w:szCs w:val="24"/>
          <w:lang w:val="en-US" w:eastAsia="zh-CN" w:bidi="ar"/>
        </w:rPr>
        <w:t>（二）采购要求：</w:t>
      </w:r>
    </w:p>
    <w:p w14:paraId="13303A0B">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1"/>
          <w:szCs w:val="24"/>
        </w:rPr>
      </w:pPr>
      <w:r>
        <w:rPr>
          <w:rFonts w:hint="eastAsia" w:ascii="宋体" w:hAnsi="宋体" w:eastAsia="宋体" w:cs="宋体"/>
          <w:color w:val="000000"/>
          <w:kern w:val="0"/>
          <w:sz w:val="24"/>
          <w:szCs w:val="24"/>
          <w:lang w:val="en-US" w:eastAsia="zh-CN" w:bidi="ar"/>
        </w:rPr>
        <w:t>1、服务地点：采购人指定地点；</w:t>
      </w:r>
    </w:p>
    <w:p w14:paraId="200B0718">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1"/>
          <w:szCs w:val="24"/>
        </w:rPr>
      </w:pPr>
      <w:r>
        <w:rPr>
          <w:rFonts w:hint="eastAsia" w:ascii="宋体" w:hAnsi="宋体" w:eastAsia="宋体" w:cs="宋体"/>
          <w:color w:val="000000"/>
          <w:kern w:val="0"/>
          <w:sz w:val="24"/>
          <w:szCs w:val="24"/>
          <w:lang w:val="en-US" w:eastAsia="zh-CN" w:bidi="ar"/>
        </w:rPr>
        <w:t>2、资金来源：财政资金，已落实；</w:t>
      </w:r>
    </w:p>
    <w:p w14:paraId="56C63EB9">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1"/>
          <w:szCs w:val="24"/>
        </w:rPr>
      </w:pPr>
      <w:r>
        <w:rPr>
          <w:rFonts w:hint="eastAsia" w:ascii="宋体" w:hAnsi="宋体" w:eastAsia="宋体" w:cs="宋体"/>
          <w:color w:val="000000"/>
          <w:kern w:val="0"/>
          <w:sz w:val="24"/>
          <w:szCs w:val="24"/>
          <w:lang w:val="en-US" w:eastAsia="zh-CN" w:bidi="ar"/>
        </w:rPr>
        <w:t>3、质量标准：符合国家相关行业质量合格标准，符合采购人采购需求标准；</w:t>
      </w:r>
    </w:p>
    <w:p w14:paraId="11ECAF66">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FF0000"/>
          <w:sz w:val="21"/>
          <w:szCs w:val="24"/>
        </w:rPr>
      </w:pPr>
      <w:r>
        <w:rPr>
          <w:rFonts w:hint="eastAsia" w:ascii="宋体" w:hAnsi="宋体" w:eastAsia="宋体" w:cs="宋体"/>
          <w:color w:val="000000"/>
          <w:kern w:val="0"/>
          <w:sz w:val="24"/>
          <w:szCs w:val="24"/>
          <w:lang w:val="en-US" w:eastAsia="zh-CN" w:bidi="ar"/>
        </w:rPr>
        <w:t>4、服务期限：2027年6月30日前完成所有抽检项目；</w:t>
      </w:r>
    </w:p>
    <w:p w14:paraId="5C484E2B">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5、 服务内容：按照要求对唐河县辖区食品进行抽检服务（具体服务内容详见食品安全抽检计划表）。</w:t>
      </w:r>
    </w:p>
    <w:p w14:paraId="1D9DAC50">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备注：由于本项目需要多个标段共同实施，为防止一家供应商因资源调配问题影响项目实施，供应商可投报多个标段，仅可中1个标段。</w:t>
      </w:r>
    </w:p>
    <w:p w14:paraId="16BAFB89">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rPr>
          <w:rFonts w:hint="eastAsia"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二、食品安全抽检计划表 （后附）</w:t>
      </w:r>
    </w:p>
    <w:tbl>
      <w:tblPr>
        <w:tblStyle w:val="30"/>
        <w:tblW w:w="95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989"/>
        <w:gridCol w:w="2128"/>
        <w:gridCol w:w="1961"/>
        <w:gridCol w:w="2502"/>
      </w:tblGrid>
      <w:tr w14:paraId="0B8D1C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958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E2320">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snapToGrid w:val="0"/>
                <w:color w:val="000000"/>
                <w:kern w:val="0"/>
                <w:sz w:val="36"/>
                <w:szCs w:val="36"/>
                <w:u w:val="none"/>
                <w:lang w:val="en-US" w:eastAsia="zh-CN" w:bidi="ar"/>
              </w:rPr>
              <w:t>2026年唐河县食品安全监督抽检任务分工</w:t>
            </w:r>
          </w:p>
        </w:tc>
      </w:tr>
      <w:tr w14:paraId="324CDA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618BD">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snapToGrid w:val="0"/>
                <w:color w:val="000000"/>
                <w:kern w:val="0"/>
                <w:sz w:val="28"/>
                <w:szCs w:val="28"/>
                <w:u w:val="none"/>
                <w:lang w:val="en-US" w:eastAsia="zh-CN" w:bidi="ar"/>
              </w:rPr>
              <w:t>承办单位</w:t>
            </w:r>
          </w:p>
        </w:tc>
        <w:tc>
          <w:tcPr>
            <w:tcW w:w="0" w:type="auto"/>
            <w:gridSpan w:val="2"/>
            <w:tcBorders>
              <w:top w:val="single" w:color="000000" w:sz="4" w:space="0"/>
              <w:left w:val="single" w:color="000000" w:sz="4" w:space="0"/>
              <w:bottom w:val="single" w:color="000000" w:sz="4" w:space="0"/>
              <w:right w:val="nil"/>
            </w:tcBorders>
            <w:shd w:val="clear" w:color="auto" w:fill="auto"/>
            <w:noWrap/>
            <w:vAlign w:val="center"/>
          </w:tcPr>
          <w:p w14:paraId="07117463">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snapToGrid w:val="0"/>
                <w:color w:val="000000"/>
                <w:kern w:val="0"/>
                <w:sz w:val="28"/>
                <w:szCs w:val="28"/>
                <w:u w:val="none"/>
                <w:lang w:val="en-US" w:eastAsia="zh-CN" w:bidi="ar"/>
              </w:rPr>
              <w:t>抽检任务批次</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62A5F">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snapToGrid w:val="0"/>
                <w:color w:val="000000"/>
                <w:kern w:val="0"/>
                <w:sz w:val="28"/>
                <w:szCs w:val="28"/>
                <w:u w:val="none"/>
                <w:lang w:val="en-US" w:eastAsia="zh-CN" w:bidi="ar"/>
              </w:rPr>
              <w:t>标段分工</w:t>
            </w:r>
          </w:p>
        </w:tc>
      </w:tr>
      <w:tr w14:paraId="51CE91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0AABE">
            <w:pPr>
              <w:jc w:val="center"/>
              <w:rPr>
                <w:rFonts w:hint="eastAsia" w:ascii="宋体" w:hAnsi="宋体" w:eastAsia="宋体" w:cs="宋体"/>
                <w:b/>
                <w:bCs/>
                <w:i w:val="0"/>
                <w:iCs w:val="0"/>
                <w:color w:val="000000"/>
                <w:sz w:val="28"/>
                <w:szCs w:val="28"/>
                <w:u w:val="none"/>
              </w:rPr>
            </w:pPr>
          </w:p>
        </w:tc>
        <w:tc>
          <w:tcPr>
            <w:tcW w:w="2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34220">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snapToGrid w:val="0"/>
                <w:color w:val="000000"/>
                <w:kern w:val="0"/>
                <w:sz w:val="28"/>
                <w:szCs w:val="28"/>
                <w:u w:val="none"/>
                <w:lang w:val="en-US" w:eastAsia="zh-CN" w:bidi="ar"/>
              </w:rPr>
              <w:t>食用农产品</w:t>
            </w:r>
          </w:p>
        </w:tc>
        <w:tc>
          <w:tcPr>
            <w:tcW w:w="1961" w:type="dxa"/>
            <w:tcBorders>
              <w:top w:val="single" w:color="000000" w:sz="4" w:space="0"/>
              <w:left w:val="single" w:color="000000" w:sz="4" w:space="0"/>
              <w:bottom w:val="single" w:color="000000" w:sz="4" w:space="0"/>
              <w:right w:val="nil"/>
            </w:tcBorders>
            <w:shd w:val="clear" w:color="auto" w:fill="auto"/>
            <w:noWrap/>
            <w:vAlign w:val="center"/>
          </w:tcPr>
          <w:p w14:paraId="602E60D6">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snapToGrid w:val="0"/>
                <w:color w:val="000000"/>
                <w:kern w:val="0"/>
                <w:sz w:val="28"/>
                <w:szCs w:val="28"/>
                <w:u w:val="none"/>
                <w:lang w:val="en-US" w:eastAsia="zh-CN" w:bidi="ar"/>
              </w:rPr>
              <w:t>其他食品</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58E90">
            <w:pPr>
              <w:jc w:val="center"/>
              <w:rPr>
                <w:rFonts w:hint="eastAsia" w:ascii="宋体" w:hAnsi="宋体" w:eastAsia="宋体" w:cs="宋体"/>
                <w:b/>
                <w:bCs/>
                <w:i w:val="0"/>
                <w:iCs w:val="0"/>
                <w:color w:val="000000"/>
                <w:sz w:val="28"/>
                <w:szCs w:val="28"/>
                <w:u w:val="none"/>
              </w:rPr>
            </w:pPr>
          </w:p>
        </w:tc>
      </w:tr>
      <w:tr w14:paraId="788A77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CE7A2">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snapToGrid w:val="0"/>
                <w:color w:val="000000"/>
                <w:kern w:val="0"/>
                <w:sz w:val="28"/>
                <w:szCs w:val="28"/>
                <w:u w:val="none"/>
                <w:lang w:val="en-US" w:eastAsia="zh-CN" w:bidi="ar"/>
              </w:rPr>
              <w:t>泗洲</w:t>
            </w:r>
          </w:p>
        </w:tc>
        <w:tc>
          <w:tcPr>
            <w:tcW w:w="2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78CFA">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100</w:t>
            </w:r>
          </w:p>
        </w:tc>
        <w:tc>
          <w:tcPr>
            <w:tcW w:w="1961" w:type="dxa"/>
            <w:tcBorders>
              <w:top w:val="single" w:color="000000" w:sz="4" w:space="0"/>
              <w:left w:val="single" w:color="000000" w:sz="4" w:space="0"/>
              <w:bottom w:val="single" w:color="000000" w:sz="4" w:space="0"/>
              <w:right w:val="nil"/>
            </w:tcBorders>
            <w:shd w:val="clear" w:color="auto" w:fill="auto"/>
            <w:noWrap/>
            <w:vAlign w:val="center"/>
          </w:tcPr>
          <w:p w14:paraId="1DCFBBDF">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180</w:t>
            </w:r>
          </w:p>
        </w:tc>
        <w:tc>
          <w:tcPr>
            <w:tcW w:w="25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54D520">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snapToGrid w:val="0"/>
                <w:color w:val="000000"/>
                <w:kern w:val="0"/>
                <w:sz w:val="22"/>
                <w:szCs w:val="22"/>
                <w:u w:val="none"/>
                <w:lang w:val="en-US" w:eastAsia="zh-CN" w:bidi="ar"/>
              </w:rPr>
              <w:t>第一标段</w:t>
            </w:r>
            <w:r>
              <w:rPr>
                <w:rFonts w:hint="eastAsia" w:ascii="宋体" w:hAnsi="宋体" w:eastAsia="宋体" w:cs="宋体"/>
                <w:b/>
                <w:bCs/>
                <w:i w:val="0"/>
                <w:iCs w:val="0"/>
                <w:snapToGrid w:val="0"/>
                <w:color w:val="000000"/>
                <w:kern w:val="0"/>
                <w:sz w:val="22"/>
                <w:szCs w:val="22"/>
                <w:u w:val="none"/>
                <w:lang w:val="en-US" w:eastAsia="zh-CN" w:bidi="ar"/>
              </w:rPr>
              <w:br w:type="textWrapping"/>
            </w:r>
            <w:r>
              <w:rPr>
                <w:rFonts w:hint="eastAsia" w:ascii="宋体" w:hAnsi="宋体" w:eastAsia="宋体" w:cs="宋体"/>
                <w:b/>
                <w:bCs/>
                <w:i w:val="0"/>
                <w:iCs w:val="0"/>
                <w:snapToGrid w:val="0"/>
                <w:color w:val="000000"/>
                <w:kern w:val="0"/>
                <w:sz w:val="22"/>
                <w:szCs w:val="22"/>
                <w:u w:val="none"/>
                <w:lang w:val="en-US" w:eastAsia="zh-CN" w:bidi="ar"/>
              </w:rPr>
              <w:t>（520批次）</w:t>
            </w:r>
          </w:p>
        </w:tc>
      </w:tr>
      <w:tr w14:paraId="48323C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EA0EB">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snapToGrid w:val="0"/>
                <w:color w:val="000000"/>
                <w:kern w:val="0"/>
                <w:sz w:val="28"/>
                <w:szCs w:val="28"/>
                <w:u w:val="none"/>
                <w:lang w:val="en-US" w:eastAsia="zh-CN" w:bidi="ar"/>
              </w:rPr>
              <w:t>滨河</w:t>
            </w:r>
          </w:p>
        </w:tc>
        <w:tc>
          <w:tcPr>
            <w:tcW w:w="2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E2A1B">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20</w:t>
            </w:r>
          </w:p>
        </w:tc>
        <w:tc>
          <w:tcPr>
            <w:tcW w:w="1961" w:type="dxa"/>
            <w:tcBorders>
              <w:top w:val="single" w:color="000000" w:sz="4" w:space="0"/>
              <w:left w:val="single" w:color="000000" w:sz="4" w:space="0"/>
              <w:bottom w:val="single" w:color="000000" w:sz="4" w:space="0"/>
              <w:right w:val="nil"/>
            </w:tcBorders>
            <w:shd w:val="clear" w:color="auto" w:fill="auto"/>
            <w:noWrap/>
            <w:vAlign w:val="center"/>
          </w:tcPr>
          <w:p w14:paraId="25C76A03">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30</w:t>
            </w:r>
          </w:p>
        </w:tc>
        <w:tc>
          <w:tcPr>
            <w:tcW w:w="25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C83BFD">
            <w:pPr>
              <w:jc w:val="center"/>
              <w:rPr>
                <w:rFonts w:hint="eastAsia" w:ascii="宋体" w:hAnsi="宋体" w:eastAsia="宋体" w:cs="宋体"/>
                <w:b/>
                <w:bCs/>
                <w:i w:val="0"/>
                <w:iCs w:val="0"/>
                <w:color w:val="000000"/>
                <w:sz w:val="22"/>
                <w:szCs w:val="22"/>
                <w:u w:val="none"/>
              </w:rPr>
            </w:pPr>
          </w:p>
        </w:tc>
      </w:tr>
      <w:tr w14:paraId="77510A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67036">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snapToGrid w:val="0"/>
                <w:color w:val="000000"/>
                <w:kern w:val="0"/>
                <w:sz w:val="28"/>
                <w:szCs w:val="28"/>
                <w:u w:val="none"/>
                <w:lang w:val="en-US" w:eastAsia="zh-CN" w:bidi="ar"/>
              </w:rPr>
              <w:t>城郊</w:t>
            </w:r>
          </w:p>
        </w:tc>
        <w:tc>
          <w:tcPr>
            <w:tcW w:w="2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5A865">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20</w:t>
            </w:r>
          </w:p>
        </w:tc>
        <w:tc>
          <w:tcPr>
            <w:tcW w:w="1961" w:type="dxa"/>
            <w:tcBorders>
              <w:top w:val="single" w:color="000000" w:sz="4" w:space="0"/>
              <w:left w:val="single" w:color="000000" w:sz="4" w:space="0"/>
              <w:bottom w:val="single" w:color="000000" w:sz="4" w:space="0"/>
              <w:right w:val="nil"/>
            </w:tcBorders>
            <w:shd w:val="clear" w:color="auto" w:fill="auto"/>
            <w:noWrap/>
            <w:vAlign w:val="center"/>
          </w:tcPr>
          <w:p w14:paraId="3016B411">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30</w:t>
            </w:r>
          </w:p>
        </w:tc>
        <w:tc>
          <w:tcPr>
            <w:tcW w:w="25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775E7A">
            <w:pPr>
              <w:jc w:val="center"/>
              <w:rPr>
                <w:rFonts w:hint="eastAsia" w:ascii="宋体" w:hAnsi="宋体" w:eastAsia="宋体" w:cs="宋体"/>
                <w:b/>
                <w:bCs/>
                <w:i w:val="0"/>
                <w:iCs w:val="0"/>
                <w:color w:val="000000"/>
                <w:sz w:val="22"/>
                <w:szCs w:val="22"/>
                <w:u w:val="none"/>
              </w:rPr>
            </w:pPr>
          </w:p>
        </w:tc>
      </w:tr>
      <w:tr w14:paraId="6FBAD7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820B6">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snapToGrid w:val="0"/>
                <w:color w:val="000000"/>
                <w:kern w:val="0"/>
                <w:sz w:val="28"/>
                <w:szCs w:val="28"/>
                <w:u w:val="none"/>
                <w:lang w:val="en-US" w:eastAsia="zh-CN" w:bidi="ar"/>
              </w:rPr>
              <w:t>桐寨铺</w:t>
            </w:r>
          </w:p>
        </w:tc>
        <w:tc>
          <w:tcPr>
            <w:tcW w:w="2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FACFF">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30</w:t>
            </w:r>
          </w:p>
        </w:tc>
        <w:tc>
          <w:tcPr>
            <w:tcW w:w="1961" w:type="dxa"/>
            <w:tcBorders>
              <w:top w:val="single" w:color="000000" w:sz="4" w:space="0"/>
              <w:left w:val="single" w:color="000000" w:sz="4" w:space="0"/>
              <w:bottom w:val="single" w:color="000000" w:sz="4" w:space="0"/>
              <w:right w:val="nil"/>
            </w:tcBorders>
            <w:shd w:val="clear" w:color="auto" w:fill="auto"/>
            <w:noWrap/>
            <w:vAlign w:val="center"/>
          </w:tcPr>
          <w:p w14:paraId="6C8B53E0">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55</w:t>
            </w:r>
          </w:p>
        </w:tc>
        <w:tc>
          <w:tcPr>
            <w:tcW w:w="25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02E76E">
            <w:pPr>
              <w:jc w:val="center"/>
              <w:rPr>
                <w:rFonts w:hint="eastAsia" w:ascii="宋体" w:hAnsi="宋体" w:eastAsia="宋体" w:cs="宋体"/>
                <w:b/>
                <w:bCs/>
                <w:i w:val="0"/>
                <w:iCs w:val="0"/>
                <w:color w:val="000000"/>
                <w:sz w:val="22"/>
                <w:szCs w:val="22"/>
                <w:u w:val="none"/>
              </w:rPr>
            </w:pPr>
          </w:p>
        </w:tc>
      </w:tr>
      <w:tr w14:paraId="10407F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3A68B">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snapToGrid w:val="0"/>
                <w:color w:val="000000"/>
                <w:kern w:val="0"/>
                <w:sz w:val="28"/>
                <w:szCs w:val="28"/>
                <w:u w:val="none"/>
                <w:lang w:val="en-US" w:eastAsia="zh-CN" w:bidi="ar"/>
              </w:rPr>
              <w:t>桐河</w:t>
            </w:r>
          </w:p>
        </w:tc>
        <w:tc>
          <w:tcPr>
            <w:tcW w:w="2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C76A2">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20</w:t>
            </w:r>
          </w:p>
        </w:tc>
        <w:tc>
          <w:tcPr>
            <w:tcW w:w="1961" w:type="dxa"/>
            <w:tcBorders>
              <w:top w:val="single" w:color="000000" w:sz="4" w:space="0"/>
              <w:left w:val="single" w:color="000000" w:sz="4" w:space="0"/>
              <w:bottom w:val="single" w:color="000000" w:sz="4" w:space="0"/>
              <w:right w:val="nil"/>
            </w:tcBorders>
            <w:shd w:val="clear" w:color="auto" w:fill="auto"/>
            <w:noWrap/>
            <w:vAlign w:val="center"/>
          </w:tcPr>
          <w:p w14:paraId="3AE4E7CA">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35</w:t>
            </w:r>
          </w:p>
        </w:tc>
        <w:tc>
          <w:tcPr>
            <w:tcW w:w="25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CE58D1">
            <w:pPr>
              <w:jc w:val="center"/>
              <w:rPr>
                <w:rFonts w:hint="eastAsia" w:ascii="宋体" w:hAnsi="宋体" w:eastAsia="宋体" w:cs="宋体"/>
                <w:b/>
                <w:bCs/>
                <w:i w:val="0"/>
                <w:iCs w:val="0"/>
                <w:color w:val="000000"/>
                <w:sz w:val="22"/>
                <w:szCs w:val="22"/>
                <w:u w:val="none"/>
              </w:rPr>
            </w:pPr>
          </w:p>
        </w:tc>
      </w:tr>
      <w:tr w14:paraId="08DF5B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07C55C69">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snapToGrid w:val="0"/>
                <w:color w:val="000000"/>
                <w:kern w:val="0"/>
                <w:sz w:val="28"/>
                <w:szCs w:val="28"/>
                <w:u w:val="none"/>
                <w:lang w:val="en-US" w:eastAsia="zh-CN" w:bidi="ar"/>
              </w:rPr>
              <w:t>文峰</w:t>
            </w:r>
          </w:p>
        </w:tc>
        <w:tc>
          <w:tcPr>
            <w:tcW w:w="2128"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18F54A69">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100</w:t>
            </w:r>
          </w:p>
        </w:tc>
        <w:tc>
          <w:tcPr>
            <w:tcW w:w="1961" w:type="dxa"/>
            <w:tcBorders>
              <w:top w:val="single" w:color="000000" w:sz="4" w:space="0"/>
              <w:left w:val="single" w:color="000000" w:sz="4" w:space="0"/>
              <w:bottom w:val="single" w:color="000000" w:sz="4" w:space="0"/>
              <w:right w:val="nil"/>
            </w:tcBorders>
            <w:shd w:val="clear" w:color="auto" w:fill="E7E6E6"/>
            <w:noWrap/>
            <w:vAlign w:val="center"/>
          </w:tcPr>
          <w:p w14:paraId="66C453DB">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180</w:t>
            </w:r>
          </w:p>
        </w:tc>
        <w:tc>
          <w:tcPr>
            <w:tcW w:w="25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358FE3">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snapToGrid w:val="0"/>
                <w:color w:val="000000"/>
                <w:kern w:val="0"/>
                <w:sz w:val="22"/>
                <w:szCs w:val="22"/>
                <w:u w:val="none"/>
                <w:lang w:val="en-US" w:eastAsia="zh-CN" w:bidi="ar"/>
              </w:rPr>
              <w:t>第二标段</w:t>
            </w:r>
            <w:r>
              <w:rPr>
                <w:rFonts w:hint="eastAsia" w:ascii="宋体" w:hAnsi="宋体" w:eastAsia="宋体" w:cs="宋体"/>
                <w:b/>
                <w:bCs/>
                <w:i w:val="0"/>
                <w:iCs w:val="0"/>
                <w:snapToGrid w:val="0"/>
                <w:color w:val="000000"/>
                <w:kern w:val="0"/>
                <w:sz w:val="22"/>
                <w:szCs w:val="22"/>
                <w:u w:val="none"/>
                <w:lang w:val="en-US" w:eastAsia="zh-CN" w:bidi="ar"/>
              </w:rPr>
              <w:br w:type="textWrapping"/>
            </w:r>
            <w:r>
              <w:rPr>
                <w:rFonts w:hint="eastAsia" w:ascii="宋体" w:hAnsi="宋体" w:eastAsia="宋体" w:cs="宋体"/>
                <w:b/>
                <w:bCs/>
                <w:i w:val="0"/>
                <w:iCs w:val="0"/>
                <w:snapToGrid w:val="0"/>
                <w:color w:val="000000"/>
                <w:kern w:val="0"/>
                <w:sz w:val="22"/>
                <w:szCs w:val="22"/>
                <w:u w:val="none"/>
                <w:lang w:val="en-US" w:eastAsia="zh-CN" w:bidi="ar"/>
              </w:rPr>
              <w:t>（520批次）</w:t>
            </w:r>
          </w:p>
        </w:tc>
      </w:tr>
      <w:tr w14:paraId="227C6C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989" w:type="dxa"/>
            <w:tcBorders>
              <w:top w:val="single" w:color="000000" w:sz="4" w:space="0"/>
              <w:left w:val="single" w:color="000000" w:sz="4" w:space="0"/>
              <w:bottom w:val="single" w:color="000000" w:sz="4" w:space="0"/>
              <w:right w:val="single" w:color="000000" w:sz="4" w:space="0"/>
            </w:tcBorders>
            <w:shd w:val="clear" w:color="auto" w:fill="E7E6E6"/>
            <w:vAlign w:val="center"/>
          </w:tcPr>
          <w:p w14:paraId="5E8EB998">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snapToGrid w:val="0"/>
                <w:color w:val="000000"/>
                <w:kern w:val="0"/>
                <w:sz w:val="28"/>
                <w:szCs w:val="28"/>
                <w:u w:val="none"/>
                <w:lang w:val="en-US" w:eastAsia="zh-CN" w:bidi="ar"/>
              </w:rPr>
              <w:t>东城</w:t>
            </w:r>
          </w:p>
        </w:tc>
        <w:tc>
          <w:tcPr>
            <w:tcW w:w="2128"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4DBF3F99">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20</w:t>
            </w:r>
          </w:p>
        </w:tc>
        <w:tc>
          <w:tcPr>
            <w:tcW w:w="1961" w:type="dxa"/>
            <w:tcBorders>
              <w:top w:val="single" w:color="000000" w:sz="4" w:space="0"/>
              <w:left w:val="single" w:color="000000" w:sz="4" w:space="0"/>
              <w:bottom w:val="single" w:color="000000" w:sz="4" w:space="0"/>
              <w:right w:val="nil"/>
            </w:tcBorders>
            <w:shd w:val="clear" w:color="auto" w:fill="E7E6E6"/>
            <w:noWrap/>
            <w:vAlign w:val="center"/>
          </w:tcPr>
          <w:p w14:paraId="76CE0C45">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30</w:t>
            </w:r>
          </w:p>
        </w:tc>
        <w:tc>
          <w:tcPr>
            <w:tcW w:w="25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BBE307">
            <w:pPr>
              <w:jc w:val="center"/>
              <w:rPr>
                <w:rFonts w:hint="eastAsia" w:ascii="宋体" w:hAnsi="宋体" w:eastAsia="宋体" w:cs="宋体"/>
                <w:b/>
                <w:bCs/>
                <w:i w:val="0"/>
                <w:iCs w:val="0"/>
                <w:color w:val="000000"/>
                <w:sz w:val="22"/>
                <w:szCs w:val="22"/>
                <w:u w:val="none"/>
              </w:rPr>
            </w:pPr>
          </w:p>
        </w:tc>
      </w:tr>
      <w:tr w14:paraId="7FA085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501C7D54">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snapToGrid w:val="0"/>
                <w:color w:val="000000"/>
                <w:kern w:val="0"/>
                <w:sz w:val="28"/>
                <w:szCs w:val="28"/>
                <w:u w:val="none"/>
                <w:lang w:val="en-US" w:eastAsia="zh-CN" w:bidi="ar"/>
              </w:rPr>
              <w:t>黑龙镇</w:t>
            </w:r>
          </w:p>
        </w:tc>
        <w:tc>
          <w:tcPr>
            <w:tcW w:w="2128"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026E3704">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25</w:t>
            </w:r>
          </w:p>
        </w:tc>
        <w:tc>
          <w:tcPr>
            <w:tcW w:w="1961" w:type="dxa"/>
            <w:tcBorders>
              <w:top w:val="single" w:color="000000" w:sz="4" w:space="0"/>
              <w:left w:val="single" w:color="000000" w:sz="4" w:space="0"/>
              <w:bottom w:val="single" w:color="000000" w:sz="4" w:space="0"/>
              <w:right w:val="nil"/>
            </w:tcBorders>
            <w:shd w:val="clear" w:color="auto" w:fill="E7E6E6"/>
            <w:noWrap/>
            <w:vAlign w:val="center"/>
          </w:tcPr>
          <w:p w14:paraId="39E3E70D">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40</w:t>
            </w:r>
          </w:p>
        </w:tc>
        <w:tc>
          <w:tcPr>
            <w:tcW w:w="25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1D90AA">
            <w:pPr>
              <w:jc w:val="center"/>
              <w:rPr>
                <w:rFonts w:hint="eastAsia" w:ascii="宋体" w:hAnsi="宋体" w:eastAsia="宋体" w:cs="宋体"/>
                <w:b/>
                <w:bCs/>
                <w:i w:val="0"/>
                <w:iCs w:val="0"/>
                <w:color w:val="000000"/>
                <w:sz w:val="22"/>
                <w:szCs w:val="22"/>
                <w:u w:val="none"/>
              </w:rPr>
            </w:pPr>
          </w:p>
        </w:tc>
      </w:tr>
      <w:tr w14:paraId="1051E4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03AD7158">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snapToGrid w:val="0"/>
                <w:color w:val="000000"/>
                <w:kern w:val="0"/>
                <w:sz w:val="28"/>
                <w:szCs w:val="28"/>
                <w:u w:val="none"/>
                <w:lang w:val="en-US" w:eastAsia="zh-CN" w:bidi="ar"/>
              </w:rPr>
              <w:t>昝岗</w:t>
            </w:r>
          </w:p>
        </w:tc>
        <w:tc>
          <w:tcPr>
            <w:tcW w:w="2128"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0AD4969E">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30</w:t>
            </w:r>
          </w:p>
        </w:tc>
        <w:tc>
          <w:tcPr>
            <w:tcW w:w="1961" w:type="dxa"/>
            <w:tcBorders>
              <w:top w:val="single" w:color="000000" w:sz="4" w:space="0"/>
              <w:left w:val="single" w:color="000000" w:sz="4" w:space="0"/>
              <w:bottom w:val="single" w:color="000000" w:sz="4" w:space="0"/>
              <w:right w:val="nil"/>
            </w:tcBorders>
            <w:shd w:val="clear" w:color="auto" w:fill="E7E6E6"/>
            <w:noWrap/>
            <w:vAlign w:val="center"/>
          </w:tcPr>
          <w:p w14:paraId="628F9ED4">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45</w:t>
            </w:r>
          </w:p>
        </w:tc>
        <w:tc>
          <w:tcPr>
            <w:tcW w:w="25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2A005D">
            <w:pPr>
              <w:jc w:val="center"/>
              <w:rPr>
                <w:rFonts w:hint="eastAsia" w:ascii="宋体" w:hAnsi="宋体" w:eastAsia="宋体" w:cs="宋体"/>
                <w:b/>
                <w:bCs/>
                <w:i w:val="0"/>
                <w:iCs w:val="0"/>
                <w:color w:val="000000"/>
                <w:sz w:val="22"/>
                <w:szCs w:val="22"/>
                <w:u w:val="none"/>
              </w:rPr>
            </w:pPr>
          </w:p>
        </w:tc>
      </w:tr>
      <w:tr w14:paraId="67418D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6D71D6D0">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snapToGrid w:val="0"/>
                <w:color w:val="000000"/>
                <w:kern w:val="0"/>
                <w:sz w:val="28"/>
                <w:szCs w:val="28"/>
                <w:u w:val="none"/>
                <w:lang w:val="en-US" w:eastAsia="zh-CN" w:bidi="ar"/>
              </w:rPr>
              <w:t>祁仪</w:t>
            </w:r>
          </w:p>
        </w:tc>
        <w:tc>
          <w:tcPr>
            <w:tcW w:w="2128"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34CED7B3">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20</w:t>
            </w:r>
          </w:p>
        </w:tc>
        <w:tc>
          <w:tcPr>
            <w:tcW w:w="1961" w:type="dxa"/>
            <w:tcBorders>
              <w:top w:val="single" w:color="000000" w:sz="4" w:space="0"/>
              <w:left w:val="single" w:color="000000" w:sz="4" w:space="0"/>
              <w:bottom w:val="single" w:color="000000" w:sz="4" w:space="0"/>
              <w:right w:val="nil"/>
            </w:tcBorders>
            <w:shd w:val="clear" w:color="auto" w:fill="E7E6E6"/>
            <w:noWrap/>
            <w:vAlign w:val="center"/>
          </w:tcPr>
          <w:p w14:paraId="16B482D8">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30</w:t>
            </w:r>
          </w:p>
        </w:tc>
        <w:tc>
          <w:tcPr>
            <w:tcW w:w="25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FA2E2D">
            <w:pPr>
              <w:jc w:val="center"/>
              <w:rPr>
                <w:rFonts w:hint="eastAsia" w:ascii="宋体" w:hAnsi="宋体" w:eastAsia="宋体" w:cs="宋体"/>
                <w:b/>
                <w:bCs/>
                <w:i w:val="0"/>
                <w:iCs w:val="0"/>
                <w:color w:val="000000"/>
                <w:sz w:val="22"/>
                <w:szCs w:val="22"/>
                <w:u w:val="none"/>
              </w:rPr>
            </w:pPr>
          </w:p>
        </w:tc>
      </w:tr>
      <w:tr w14:paraId="7126E3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1EE08">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snapToGrid w:val="0"/>
                <w:color w:val="000000"/>
                <w:kern w:val="0"/>
                <w:sz w:val="28"/>
                <w:szCs w:val="28"/>
                <w:u w:val="none"/>
                <w:lang w:val="en-US" w:eastAsia="zh-CN" w:bidi="ar"/>
              </w:rPr>
              <w:t>兴唐</w:t>
            </w:r>
          </w:p>
        </w:tc>
        <w:tc>
          <w:tcPr>
            <w:tcW w:w="2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83240">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30</w:t>
            </w:r>
          </w:p>
        </w:tc>
        <w:tc>
          <w:tcPr>
            <w:tcW w:w="1961" w:type="dxa"/>
            <w:tcBorders>
              <w:top w:val="single" w:color="000000" w:sz="4" w:space="0"/>
              <w:left w:val="single" w:color="000000" w:sz="4" w:space="0"/>
              <w:bottom w:val="single" w:color="000000" w:sz="4" w:space="0"/>
              <w:right w:val="nil"/>
            </w:tcBorders>
            <w:shd w:val="clear" w:color="auto" w:fill="auto"/>
            <w:noWrap/>
            <w:vAlign w:val="center"/>
          </w:tcPr>
          <w:p w14:paraId="0B6F60A1">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55</w:t>
            </w:r>
          </w:p>
        </w:tc>
        <w:tc>
          <w:tcPr>
            <w:tcW w:w="25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62994E">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snapToGrid w:val="0"/>
                <w:color w:val="000000"/>
                <w:kern w:val="0"/>
                <w:sz w:val="22"/>
                <w:szCs w:val="22"/>
                <w:u w:val="none"/>
                <w:lang w:val="en-US" w:eastAsia="zh-CN" w:bidi="ar"/>
              </w:rPr>
              <w:t>第三标段</w:t>
            </w:r>
            <w:r>
              <w:rPr>
                <w:rFonts w:hint="eastAsia" w:ascii="宋体" w:hAnsi="宋体" w:eastAsia="宋体" w:cs="宋体"/>
                <w:b/>
                <w:bCs/>
                <w:i w:val="0"/>
                <w:iCs w:val="0"/>
                <w:snapToGrid w:val="0"/>
                <w:color w:val="000000"/>
                <w:kern w:val="0"/>
                <w:sz w:val="22"/>
                <w:szCs w:val="22"/>
                <w:u w:val="none"/>
                <w:lang w:val="en-US" w:eastAsia="zh-CN" w:bidi="ar"/>
              </w:rPr>
              <w:br w:type="textWrapping"/>
            </w:r>
            <w:r>
              <w:rPr>
                <w:rFonts w:hint="eastAsia" w:ascii="宋体" w:hAnsi="宋体" w:eastAsia="宋体" w:cs="宋体"/>
                <w:b/>
                <w:bCs/>
                <w:i w:val="0"/>
                <w:iCs w:val="0"/>
                <w:snapToGrid w:val="0"/>
                <w:color w:val="000000"/>
                <w:kern w:val="0"/>
                <w:sz w:val="22"/>
                <w:szCs w:val="22"/>
                <w:u w:val="none"/>
                <w:lang w:val="en-US" w:eastAsia="zh-CN" w:bidi="ar"/>
              </w:rPr>
              <w:t>（520批次）</w:t>
            </w:r>
          </w:p>
        </w:tc>
      </w:tr>
      <w:tr w14:paraId="5A77F2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559F3">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snapToGrid w:val="0"/>
                <w:color w:val="000000"/>
                <w:kern w:val="0"/>
                <w:sz w:val="28"/>
                <w:szCs w:val="28"/>
                <w:u w:val="none"/>
                <w:lang w:val="en-US" w:eastAsia="zh-CN" w:bidi="ar"/>
              </w:rPr>
              <w:t>临港</w:t>
            </w:r>
          </w:p>
        </w:tc>
        <w:tc>
          <w:tcPr>
            <w:tcW w:w="2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DF2D5">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20</w:t>
            </w:r>
          </w:p>
        </w:tc>
        <w:tc>
          <w:tcPr>
            <w:tcW w:w="1961" w:type="dxa"/>
            <w:tcBorders>
              <w:top w:val="single" w:color="000000" w:sz="4" w:space="0"/>
              <w:left w:val="single" w:color="000000" w:sz="4" w:space="0"/>
              <w:bottom w:val="single" w:color="000000" w:sz="4" w:space="0"/>
              <w:right w:val="nil"/>
            </w:tcBorders>
            <w:shd w:val="clear" w:color="auto" w:fill="auto"/>
            <w:noWrap/>
            <w:vAlign w:val="center"/>
          </w:tcPr>
          <w:p w14:paraId="2DB69C32">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30</w:t>
            </w:r>
          </w:p>
        </w:tc>
        <w:tc>
          <w:tcPr>
            <w:tcW w:w="25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6FA444">
            <w:pPr>
              <w:jc w:val="center"/>
              <w:rPr>
                <w:rFonts w:hint="eastAsia" w:ascii="宋体" w:hAnsi="宋体" w:eastAsia="宋体" w:cs="宋体"/>
                <w:b/>
                <w:bCs/>
                <w:i w:val="0"/>
                <w:iCs w:val="0"/>
                <w:color w:val="000000"/>
                <w:sz w:val="22"/>
                <w:szCs w:val="22"/>
                <w:u w:val="none"/>
              </w:rPr>
            </w:pPr>
          </w:p>
        </w:tc>
      </w:tr>
      <w:tr w14:paraId="5E6C74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516BA">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snapToGrid w:val="0"/>
                <w:color w:val="000000"/>
                <w:kern w:val="0"/>
                <w:sz w:val="28"/>
                <w:szCs w:val="28"/>
                <w:u w:val="none"/>
                <w:lang w:val="en-US" w:eastAsia="zh-CN" w:bidi="ar"/>
              </w:rPr>
              <w:t>王集</w:t>
            </w:r>
          </w:p>
        </w:tc>
        <w:tc>
          <w:tcPr>
            <w:tcW w:w="2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95579">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30</w:t>
            </w:r>
          </w:p>
        </w:tc>
        <w:tc>
          <w:tcPr>
            <w:tcW w:w="1961" w:type="dxa"/>
            <w:tcBorders>
              <w:top w:val="single" w:color="000000" w:sz="4" w:space="0"/>
              <w:left w:val="single" w:color="000000" w:sz="4" w:space="0"/>
              <w:bottom w:val="single" w:color="000000" w:sz="4" w:space="0"/>
              <w:right w:val="nil"/>
            </w:tcBorders>
            <w:shd w:val="clear" w:color="auto" w:fill="auto"/>
            <w:noWrap/>
            <w:vAlign w:val="center"/>
          </w:tcPr>
          <w:p w14:paraId="299C8302">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45</w:t>
            </w:r>
          </w:p>
        </w:tc>
        <w:tc>
          <w:tcPr>
            <w:tcW w:w="25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1CCD08">
            <w:pPr>
              <w:jc w:val="center"/>
              <w:rPr>
                <w:rFonts w:hint="eastAsia" w:ascii="宋体" w:hAnsi="宋体" w:eastAsia="宋体" w:cs="宋体"/>
                <w:b/>
                <w:bCs/>
                <w:i w:val="0"/>
                <w:iCs w:val="0"/>
                <w:color w:val="000000"/>
                <w:sz w:val="22"/>
                <w:szCs w:val="22"/>
                <w:u w:val="none"/>
              </w:rPr>
            </w:pPr>
          </w:p>
        </w:tc>
      </w:tr>
      <w:tr w14:paraId="315599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74E2E">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snapToGrid w:val="0"/>
                <w:color w:val="000000"/>
                <w:kern w:val="0"/>
                <w:sz w:val="28"/>
                <w:szCs w:val="28"/>
                <w:u w:val="none"/>
                <w:lang w:val="en-US" w:eastAsia="zh-CN" w:bidi="ar"/>
              </w:rPr>
              <w:t>大河屯</w:t>
            </w:r>
          </w:p>
        </w:tc>
        <w:tc>
          <w:tcPr>
            <w:tcW w:w="2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C3715">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30</w:t>
            </w:r>
          </w:p>
        </w:tc>
        <w:tc>
          <w:tcPr>
            <w:tcW w:w="1961" w:type="dxa"/>
            <w:tcBorders>
              <w:top w:val="single" w:color="000000" w:sz="4" w:space="0"/>
              <w:left w:val="single" w:color="000000" w:sz="4" w:space="0"/>
              <w:bottom w:val="single" w:color="000000" w:sz="4" w:space="0"/>
              <w:right w:val="nil"/>
            </w:tcBorders>
            <w:shd w:val="clear" w:color="auto" w:fill="auto"/>
            <w:noWrap/>
            <w:vAlign w:val="center"/>
          </w:tcPr>
          <w:p w14:paraId="7C5EDF82">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55</w:t>
            </w:r>
          </w:p>
        </w:tc>
        <w:tc>
          <w:tcPr>
            <w:tcW w:w="25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1F01B2">
            <w:pPr>
              <w:jc w:val="center"/>
              <w:rPr>
                <w:rFonts w:hint="eastAsia" w:ascii="宋体" w:hAnsi="宋体" w:eastAsia="宋体" w:cs="宋体"/>
                <w:b/>
                <w:bCs/>
                <w:i w:val="0"/>
                <w:iCs w:val="0"/>
                <w:color w:val="000000"/>
                <w:sz w:val="22"/>
                <w:szCs w:val="22"/>
                <w:u w:val="none"/>
              </w:rPr>
            </w:pPr>
          </w:p>
        </w:tc>
      </w:tr>
      <w:tr w14:paraId="0E7D27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FEB3C">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snapToGrid w:val="0"/>
                <w:color w:val="000000"/>
                <w:kern w:val="0"/>
                <w:sz w:val="28"/>
                <w:szCs w:val="28"/>
                <w:u w:val="none"/>
                <w:lang w:val="en-US" w:eastAsia="zh-CN" w:bidi="ar"/>
              </w:rPr>
              <w:t>毕店</w:t>
            </w:r>
          </w:p>
        </w:tc>
        <w:tc>
          <w:tcPr>
            <w:tcW w:w="2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9E45D">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30</w:t>
            </w:r>
          </w:p>
        </w:tc>
        <w:tc>
          <w:tcPr>
            <w:tcW w:w="1961" w:type="dxa"/>
            <w:tcBorders>
              <w:top w:val="single" w:color="000000" w:sz="4" w:space="0"/>
              <w:left w:val="single" w:color="000000" w:sz="4" w:space="0"/>
              <w:bottom w:val="single" w:color="000000" w:sz="4" w:space="0"/>
              <w:right w:val="nil"/>
            </w:tcBorders>
            <w:shd w:val="clear" w:color="auto" w:fill="auto"/>
            <w:noWrap/>
            <w:vAlign w:val="center"/>
          </w:tcPr>
          <w:p w14:paraId="6EF401BC">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40</w:t>
            </w:r>
          </w:p>
        </w:tc>
        <w:tc>
          <w:tcPr>
            <w:tcW w:w="25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029784">
            <w:pPr>
              <w:jc w:val="center"/>
              <w:rPr>
                <w:rFonts w:hint="eastAsia" w:ascii="宋体" w:hAnsi="宋体" w:eastAsia="宋体" w:cs="宋体"/>
                <w:b/>
                <w:bCs/>
                <w:i w:val="0"/>
                <w:iCs w:val="0"/>
                <w:color w:val="000000"/>
                <w:sz w:val="22"/>
                <w:szCs w:val="22"/>
                <w:u w:val="none"/>
              </w:rPr>
            </w:pPr>
          </w:p>
        </w:tc>
      </w:tr>
      <w:tr w14:paraId="3723A7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1BA98">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snapToGrid w:val="0"/>
                <w:color w:val="000000"/>
                <w:kern w:val="0"/>
                <w:sz w:val="28"/>
                <w:szCs w:val="28"/>
                <w:u w:val="none"/>
                <w:lang w:val="en-US" w:eastAsia="zh-CN" w:bidi="ar"/>
              </w:rPr>
              <w:t>源潭</w:t>
            </w:r>
          </w:p>
        </w:tc>
        <w:tc>
          <w:tcPr>
            <w:tcW w:w="2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0788C">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35</w:t>
            </w:r>
          </w:p>
        </w:tc>
        <w:tc>
          <w:tcPr>
            <w:tcW w:w="1961" w:type="dxa"/>
            <w:tcBorders>
              <w:top w:val="single" w:color="000000" w:sz="4" w:space="0"/>
              <w:left w:val="single" w:color="000000" w:sz="4" w:space="0"/>
              <w:bottom w:val="single" w:color="000000" w:sz="4" w:space="0"/>
              <w:right w:val="nil"/>
            </w:tcBorders>
            <w:shd w:val="clear" w:color="auto" w:fill="auto"/>
            <w:noWrap/>
            <w:vAlign w:val="center"/>
          </w:tcPr>
          <w:p w14:paraId="1ACC8B45">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55</w:t>
            </w:r>
          </w:p>
        </w:tc>
        <w:tc>
          <w:tcPr>
            <w:tcW w:w="25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060B02">
            <w:pPr>
              <w:jc w:val="center"/>
              <w:rPr>
                <w:rFonts w:hint="eastAsia" w:ascii="宋体" w:hAnsi="宋体" w:eastAsia="宋体" w:cs="宋体"/>
                <w:b/>
                <w:bCs/>
                <w:i w:val="0"/>
                <w:iCs w:val="0"/>
                <w:color w:val="000000"/>
                <w:sz w:val="22"/>
                <w:szCs w:val="22"/>
                <w:u w:val="none"/>
              </w:rPr>
            </w:pPr>
          </w:p>
        </w:tc>
      </w:tr>
      <w:tr w14:paraId="17F022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E4B78">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snapToGrid w:val="0"/>
                <w:color w:val="000000"/>
                <w:kern w:val="0"/>
                <w:sz w:val="28"/>
                <w:szCs w:val="28"/>
                <w:u w:val="none"/>
                <w:lang w:val="en-US" w:eastAsia="zh-CN" w:bidi="ar"/>
              </w:rPr>
              <w:t>少拜寺</w:t>
            </w:r>
          </w:p>
        </w:tc>
        <w:tc>
          <w:tcPr>
            <w:tcW w:w="2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BF0AE">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25</w:t>
            </w:r>
          </w:p>
        </w:tc>
        <w:tc>
          <w:tcPr>
            <w:tcW w:w="1961" w:type="dxa"/>
            <w:tcBorders>
              <w:top w:val="single" w:color="000000" w:sz="4" w:space="0"/>
              <w:left w:val="single" w:color="000000" w:sz="4" w:space="0"/>
              <w:bottom w:val="single" w:color="000000" w:sz="4" w:space="0"/>
              <w:right w:val="nil"/>
            </w:tcBorders>
            <w:shd w:val="clear" w:color="auto" w:fill="auto"/>
            <w:noWrap/>
            <w:vAlign w:val="center"/>
          </w:tcPr>
          <w:p w14:paraId="2A9CAF89">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40</w:t>
            </w:r>
          </w:p>
        </w:tc>
        <w:tc>
          <w:tcPr>
            <w:tcW w:w="25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0A0C0A">
            <w:pPr>
              <w:jc w:val="center"/>
              <w:rPr>
                <w:rFonts w:hint="eastAsia" w:ascii="宋体" w:hAnsi="宋体" w:eastAsia="宋体" w:cs="宋体"/>
                <w:b/>
                <w:bCs/>
                <w:i w:val="0"/>
                <w:iCs w:val="0"/>
                <w:color w:val="000000"/>
                <w:sz w:val="22"/>
                <w:szCs w:val="22"/>
                <w:u w:val="none"/>
              </w:rPr>
            </w:pPr>
          </w:p>
        </w:tc>
      </w:tr>
      <w:tr w14:paraId="5223B2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186C9C30">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snapToGrid w:val="0"/>
                <w:color w:val="000000"/>
                <w:kern w:val="0"/>
                <w:sz w:val="28"/>
                <w:szCs w:val="28"/>
                <w:u w:val="none"/>
                <w:lang w:val="en-US" w:eastAsia="zh-CN" w:bidi="ar"/>
              </w:rPr>
              <w:t>张店</w:t>
            </w:r>
          </w:p>
        </w:tc>
        <w:tc>
          <w:tcPr>
            <w:tcW w:w="2128"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4DFC8B1D">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40</w:t>
            </w:r>
          </w:p>
        </w:tc>
        <w:tc>
          <w:tcPr>
            <w:tcW w:w="1961" w:type="dxa"/>
            <w:tcBorders>
              <w:top w:val="single" w:color="000000" w:sz="4" w:space="0"/>
              <w:left w:val="single" w:color="000000" w:sz="4" w:space="0"/>
              <w:bottom w:val="single" w:color="000000" w:sz="4" w:space="0"/>
              <w:right w:val="nil"/>
            </w:tcBorders>
            <w:shd w:val="clear" w:color="auto" w:fill="E7E6E6"/>
            <w:noWrap/>
            <w:vAlign w:val="center"/>
          </w:tcPr>
          <w:p w14:paraId="4E8B98F2">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55</w:t>
            </w:r>
          </w:p>
        </w:tc>
        <w:tc>
          <w:tcPr>
            <w:tcW w:w="25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D2521A">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snapToGrid w:val="0"/>
                <w:color w:val="000000"/>
                <w:kern w:val="0"/>
                <w:sz w:val="22"/>
                <w:szCs w:val="22"/>
                <w:u w:val="none"/>
                <w:lang w:val="en-US" w:eastAsia="zh-CN" w:bidi="ar"/>
              </w:rPr>
              <w:t>第四标段</w:t>
            </w:r>
            <w:r>
              <w:rPr>
                <w:rFonts w:hint="eastAsia" w:ascii="宋体" w:hAnsi="宋体" w:eastAsia="宋体" w:cs="宋体"/>
                <w:b/>
                <w:bCs/>
                <w:i w:val="0"/>
                <w:iCs w:val="0"/>
                <w:snapToGrid w:val="0"/>
                <w:color w:val="000000"/>
                <w:kern w:val="0"/>
                <w:sz w:val="22"/>
                <w:szCs w:val="22"/>
                <w:u w:val="none"/>
                <w:lang w:val="en-US" w:eastAsia="zh-CN" w:bidi="ar"/>
              </w:rPr>
              <w:br w:type="textWrapping"/>
            </w:r>
            <w:r>
              <w:rPr>
                <w:rFonts w:hint="eastAsia" w:ascii="宋体" w:hAnsi="宋体" w:eastAsia="宋体" w:cs="宋体"/>
                <w:b/>
                <w:bCs/>
                <w:i w:val="0"/>
                <w:iCs w:val="0"/>
                <w:snapToGrid w:val="0"/>
                <w:color w:val="000000"/>
                <w:kern w:val="0"/>
                <w:sz w:val="22"/>
                <w:szCs w:val="22"/>
                <w:u w:val="none"/>
                <w:lang w:val="en-US" w:eastAsia="zh-CN" w:bidi="ar"/>
              </w:rPr>
              <w:t>（520批次）</w:t>
            </w:r>
          </w:p>
        </w:tc>
      </w:tr>
      <w:tr w14:paraId="0F190F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4E0B9E91">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snapToGrid w:val="0"/>
                <w:color w:val="000000"/>
                <w:kern w:val="0"/>
                <w:sz w:val="28"/>
                <w:szCs w:val="28"/>
                <w:u w:val="none"/>
                <w:lang w:val="en-US" w:eastAsia="zh-CN" w:bidi="ar"/>
              </w:rPr>
              <w:t>古城</w:t>
            </w:r>
          </w:p>
        </w:tc>
        <w:tc>
          <w:tcPr>
            <w:tcW w:w="2128"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4EDC26D5">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30</w:t>
            </w:r>
          </w:p>
        </w:tc>
        <w:tc>
          <w:tcPr>
            <w:tcW w:w="1961" w:type="dxa"/>
            <w:tcBorders>
              <w:top w:val="single" w:color="000000" w:sz="4" w:space="0"/>
              <w:left w:val="single" w:color="000000" w:sz="4" w:space="0"/>
              <w:bottom w:val="single" w:color="000000" w:sz="4" w:space="0"/>
              <w:right w:val="nil"/>
            </w:tcBorders>
            <w:shd w:val="clear" w:color="auto" w:fill="E7E6E6"/>
            <w:noWrap/>
            <w:vAlign w:val="center"/>
          </w:tcPr>
          <w:p w14:paraId="2BA82E17">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50</w:t>
            </w:r>
          </w:p>
        </w:tc>
        <w:tc>
          <w:tcPr>
            <w:tcW w:w="25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1EE4D0">
            <w:pPr>
              <w:jc w:val="center"/>
              <w:rPr>
                <w:rFonts w:hint="eastAsia" w:ascii="宋体" w:hAnsi="宋体" w:eastAsia="宋体" w:cs="宋体"/>
                <w:b/>
                <w:bCs/>
                <w:i w:val="0"/>
                <w:iCs w:val="0"/>
                <w:color w:val="000000"/>
                <w:sz w:val="22"/>
                <w:szCs w:val="22"/>
                <w:u w:val="none"/>
              </w:rPr>
            </w:pPr>
          </w:p>
        </w:tc>
      </w:tr>
      <w:tr w14:paraId="66990F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56D71A33">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snapToGrid w:val="0"/>
                <w:color w:val="000000"/>
                <w:kern w:val="0"/>
                <w:sz w:val="28"/>
                <w:szCs w:val="28"/>
                <w:u w:val="none"/>
                <w:lang w:val="en-US" w:eastAsia="zh-CN" w:bidi="ar"/>
              </w:rPr>
              <w:t>郭滩</w:t>
            </w:r>
          </w:p>
        </w:tc>
        <w:tc>
          <w:tcPr>
            <w:tcW w:w="2128"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2B5B6340">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40</w:t>
            </w:r>
          </w:p>
        </w:tc>
        <w:tc>
          <w:tcPr>
            <w:tcW w:w="1961" w:type="dxa"/>
            <w:tcBorders>
              <w:top w:val="single" w:color="000000" w:sz="4" w:space="0"/>
              <w:left w:val="single" w:color="000000" w:sz="4" w:space="0"/>
              <w:bottom w:val="single" w:color="000000" w:sz="4" w:space="0"/>
              <w:right w:val="nil"/>
            </w:tcBorders>
            <w:shd w:val="clear" w:color="auto" w:fill="E7E6E6"/>
            <w:noWrap/>
            <w:vAlign w:val="center"/>
          </w:tcPr>
          <w:p w14:paraId="4F802D80">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55</w:t>
            </w:r>
          </w:p>
        </w:tc>
        <w:tc>
          <w:tcPr>
            <w:tcW w:w="25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3FDAB0">
            <w:pPr>
              <w:jc w:val="center"/>
              <w:rPr>
                <w:rFonts w:hint="eastAsia" w:ascii="宋体" w:hAnsi="宋体" w:eastAsia="宋体" w:cs="宋体"/>
                <w:b/>
                <w:bCs/>
                <w:i w:val="0"/>
                <w:iCs w:val="0"/>
                <w:color w:val="000000"/>
                <w:sz w:val="22"/>
                <w:szCs w:val="22"/>
                <w:u w:val="none"/>
              </w:rPr>
            </w:pPr>
          </w:p>
        </w:tc>
      </w:tr>
      <w:tr w14:paraId="4F948B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5A6FE045">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snapToGrid w:val="0"/>
                <w:color w:val="000000"/>
                <w:kern w:val="0"/>
                <w:sz w:val="28"/>
                <w:szCs w:val="28"/>
                <w:u w:val="none"/>
                <w:lang w:val="en-US" w:eastAsia="zh-CN" w:bidi="ar"/>
              </w:rPr>
              <w:t>马振抚</w:t>
            </w:r>
          </w:p>
        </w:tc>
        <w:tc>
          <w:tcPr>
            <w:tcW w:w="2128"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68C8A73B">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30</w:t>
            </w:r>
          </w:p>
        </w:tc>
        <w:tc>
          <w:tcPr>
            <w:tcW w:w="1961" w:type="dxa"/>
            <w:tcBorders>
              <w:top w:val="single" w:color="000000" w:sz="4" w:space="0"/>
              <w:left w:val="single" w:color="000000" w:sz="4" w:space="0"/>
              <w:bottom w:val="single" w:color="000000" w:sz="4" w:space="0"/>
              <w:right w:val="nil"/>
            </w:tcBorders>
            <w:shd w:val="clear" w:color="auto" w:fill="E7E6E6"/>
            <w:noWrap/>
            <w:vAlign w:val="center"/>
          </w:tcPr>
          <w:p w14:paraId="25867A6E">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50</w:t>
            </w:r>
          </w:p>
        </w:tc>
        <w:tc>
          <w:tcPr>
            <w:tcW w:w="25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A053E0">
            <w:pPr>
              <w:jc w:val="center"/>
              <w:rPr>
                <w:rFonts w:hint="eastAsia" w:ascii="宋体" w:hAnsi="宋体" w:eastAsia="宋体" w:cs="宋体"/>
                <w:b/>
                <w:bCs/>
                <w:i w:val="0"/>
                <w:iCs w:val="0"/>
                <w:color w:val="000000"/>
                <w:sz w:val="22"/>
                <w:szCs w:val="22"/>
                <w:u w:val="none"/>
              </w:rPr>
            </w:pPr>
          </w:p>
        </w:tc>
      </w:tr>
      <w:tr w14:paraId="23052B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45D16F8C">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snapToGrid w:val="0"/>
                <w:color w:val="000000"/>
                <w:kern w:val="0"/>
                <w:sz w:val="28"/>
                <w:szCs w:val="28"/>
                <w:u w:val="none"/>
                <w:lang w:val="en-US" w:eastAsia="zh-CN" w:bidi="ar"/>
              </w:rPr>
              <w:t>上屯</w:t>
            </w:r>
          </w:p>
        </w:tc>
        <w:tc>
          <w:tcPr>
            <w:tcW w:w="2128"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4672215A">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35</w:t>
            </w:r>
          </w:p>
        </w:tc>
        <w:tc>
          <w:tcPr>
            <w:tcW w:w="1961" w:type="dxa"/>
            <w:tcBorders>
              <w:top w:val="single" w:color="000000" w:sz="4" w:space="0"/>
              <w:left w:val="single" w:color="000000" w:sz="4" w:space="0"/>
              <w:bottom w:val="single" w:color="000000" w:sz="4" w:space="0"/>
              <w:right w:val="nil"/>
            </w:tcBorders>
            <w:shd w:val="clear" w:color="auto" w:fill="E7E6E6"/>
            <w:noWrap/>
            <w:vAlign w:val="center"/>
          </w:tcPr>
          <w:p w14:paraId="3B7FD67F">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50</w:t>
            </w:r>
          </w:p>
        </w:tc>
        <w:tc>
          <w:tcPr>
            <w:tcW w:w="25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3CBC4F">
            <w:pPr>
              <w:jc w:val="center"/>
              <w:rPr>
                <w:rFonts w:hint="eastAsia" w:ascii="宋体" w:hAnsi="宋体" w:eastAsia="宋体" w:cs="宋体"/>
                <w:b/>
                <w:bCs/>
                <w:i w:val="0"/>
                <w:iCs w:val="0"/>
                <w:color w:val="000000"/>
                <w:sz w:val="22"/>
                <w:szCs w:val="22"/>
                <w:u w:val="none"/>
              </w:rPr>
            </w:pPr>
          </w:p>
        </w:tc>
      </w:tr>
      <w:tr w14:paraId="22DFBF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5D8D8F2E">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snapToGrid w:val="0"/>
                <w:color w:val="000000"/>
                <w:kern w:val="0"/>
                <w:sz w:val="28"/>
                <w:szCs w:val="28"/>
                <w:u w:val="none"/>
                <w:lang w:val="en-US" w:eastAsia="zh-CN" w:bidi="ar"/>
              </w:rPr>
              <w:t>湖阳</w:t>
            </w:r>
          </w:p>
        </w:tc>
        <w:tc>
          <w:tcPr>
            <w:tcW w:w="2128"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74860130">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35</w:t>
            </w:r>
          </w:p>
        </w:tc>
        <w:tc>
          <w:tcPr>
            <w:tcW w:w="1961" w:type="dxa"/>
            <w:tcBorders>
              <w:top w:val="single" w:color="000000" w:sz="4" w:space="0"/>
              <w:left w:val="single" w:color="000000" w:sz="4" w:space="0"/>
              <w:bottom w:val="single" w:color="000000" w:sz="4" w:space="0"/>
              <w:right w:val="nil"/>
            </w:tcBorders>
            <w:shd w:val="clear" w:color="auto" w:fill="E7E6E6"/>
            <w:noWrap/>
            <w:vAlign w:val="center"/>
          </w:tcPr>
          <w:p w14:paraId="5A2EC848">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50</w:t>
            </w:r>
          </w:p>
        </w:tc>
        <w:tc>
          <w:tcPr>
            <w:tcW w:w="25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0B5BB8">
            <w:pPr>
              <w:jc w:val="center"/>
              <w:rPr>
                <w:rFonts w:hint="eastAsia" w:ascii="宋体" w:hAnsi="宋体" w:eastAsia="宋体" w:cs="宋体"/>
                <w:b/>
                <w:bCs/>
                <w:i w:val="0"/>
                <w:iCs w:val="0"/>
                <w:color w:val="000000"/>
                <w:sz w:val="22"/>
                <w:szCs w:val="22"/>
                <w:u w:val="none"/>
              </w:rPr>
            </w:pPr>
          </w:p>
        </w:tc>
      </w:tr>
      <w:tr w14:paraId="091614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D2996">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snapToGrid w:val="0"/>
                <w:color w:val="000000"/>
                <w:kern w:val="0"/>
                <w:sz w:val="28"/>
                <w:szCs w:val="28"/>
                <w:u w:val="none"/>
                <w:lang w:val="en-US" w:eastAsia="zh-CN" w:bidi="ar"/>
              </w:rPr>
              <w:t>龙潭</w:t>
            </w:r>
          </w:p>
        </w:tc>
        <w:tc>
          <w:tcPr>
            <w:tcW w:w="2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B3C40">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20</w:t>
            </w:r>
          </w:p>
        </w:tc>
        <w:tc>
          <w:tcPr>
            <w:tcW w:w="1961" w:type="dxa"/>
            <w:tcBorders>
              <w:top w:val="single" w:color="000000" w:sz="4" w:space="0"/>
              <w:left w:val="single" w:color="000000" w:sz="4" w:space="0"/>
              <w:bottom w:val="single" w:color="000000" w:sz="4" w:space="0"/>
              <w:right w:val="nil"/>
            </w:tcBorders>
            <w:shd w:val="clear" w:color="auto" w:fill="auto"/>
            <w:noWrap/>
            <w:vAlign w:val="center"/>
          </w:tcPr>
          <w:p w14:paraId="4F4B1AB7">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40</w:t>
            </w:r>
          </w:p>
        </w:tc>
        <w:tc>
          <w:tcPr>
            <w:tcW w:w="25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F6D2BE">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snapToGrid w:val="0"/>
                <w:color w:val="000000"/>
                <w:kern w:val="0"/>
                <w:sz w:val="22"/>
                <w:szCs w:val="22"/>
                <w:u w:val="none"/>
                <w:lang w:val="en-US" w:eastAsia="zh-CN" w:bidi="ar"/>
              </w:rPr>
              <w:t>第五标段</w:t>
            </w:r>
            <w:r>
              <w:rPr>
                <w:rFonts w:hint="eastAsia" w:ascii="宋体" w:hAnsi="宋体" w:eastAsia="宋体" w:cs="宋体"/>
                <w:b/>
                <w:bCs/>
                <w:i w:val="0"/>
                <w:iCs w:val="0"/>
                <w:snapToGrid w:val="0"/>
                <w:color w:val="000000"/>
                <w:kern w:val="0"/>
                <w:sz w:val="22"/>
                <w:szCs w:val="22"/>
                <w:u w:val="none"/>
                <w:lang w:val="en-US" w:eastAsia="zh-CN" w:bidi="ar"/>
              </w:rPr>
              <w:br w:type="textWrapping"/>
            </w:r>
            <w:r>
              <w:rPr>
                <w:rFonts w:hint="eastAsia" w:ascii="宋体" w:hAnsi="宋体" w:eastAsia="宋体" w:cs="宋体"/>
                <w:b/>
                <w:bCs/>
                <w:i w:val="0"/>
                <w:iCs w:val="0"/>
                <w:snapToGrid w:val="0"/>
                <w:color w:val="000000"/>
                <w:kern w:val="0"/>
                <w:sz w:val="22"/>
                <w:szCs w:val="22"/>
                <w:u w:val="none"/>
                <w:lang w:val="en-US" w:eastAsia="zh-CN" w:bidi="ar"/>
              </w:rPr>
              <w:t>（520批次）</w:t>
            </w:r>
          </w:p>
        </w:tc>
      </w:tr>
      <w:tr w14:paraId="5A6B6A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A7F7E">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snapToGrid w:val="0"/>
                <w:color w:val="000000"/>
                <w:kern w:val="0"/>
                <w:sz w:val="28"/>
                <w:szCs w:val="28"/>
                <w:u w:val="none"/>
                <w:lang w:val="en-US" w:eastAsia="zh-CN" w:bidi="ar"/>
              </w:rPr>
              <w:t>苍台</w:t>
            </w:r>
          </w:p>
        </w:tc>
        <w:tc>
          <w:tcPr>
            <w:tcW w:w="2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31E85">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20</w:t>
            </w:r>
          </w:p>
        </w:tc>
        <w:tc>
          <w:tcPr>
            <w:tcW w:w="1961" w:type="dxa"/>
            <w:tcBorders>
              <w:top w:val="single" w:color="000000" w:sz="4" w:space="0"/>
              <w:left w:val="single" w:color="000000" w:sz="4" w:space="0"/>
              <w:bottom w:val="single" w:color="000000" w:sz="4" w:space="0"/>
              <w:right w:val="nil"/>
            </w:tcBorders>
            <w:shd w:val="clear" w:color="auto" w:fill="auto"/>
            <w:noWrap/>
            <w:vAlign w:val="center"/>
          </w:tcPr>
          <w:p w14:paraId="5C88A14E">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40</w:t>
            </w:r>
          </w:p>
        </w:tc>
        <w:tc>
          <w:tcPr>
            <w:tcW w:w="25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F15512">
            <w:pPr>
              <w:jc w:val="center"/>
              <w:rPr>
                <w:rFonts w:hint="eastAsia" w:ascii="宋体" w:hAnsi="宋体" w:eastAsia="宋体" w:cs="宋体"/>
                <w:b/>
                <w:bCs/>
                <w:i w:val="0"/>
                <w:iCs w:val="0"/>
                <w:color w:val="000000"/>
                <w:sz w:val="22"/>
                <w:szCs w:val="22"/>
                <w:u w:val="none"/>
              </w:rPr>
            </w:pPr>
          </w:p>
        </w:tc>
      </w:tr>
      <w:tr w14:paraId="2F9329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5FD15">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snapToGrid w:val="0"/>
                <w:color w:val="000000"/>
                <w:kern w:val="0"/>
                <w:sz w:val="28"/>
                <w:szCs w:val="28"/>
                <w:u w:val="none"/>
                <w:lang w:val="en-US" w:eastAsia="zh-CN" w:bidi="ar"/>
              </w:rPr>
              <w:t xml:space="preserve">食品大队 </w:t>
            </w:r>
          </w:p>
        </w:tc>
        <w:tc>
          <w:tcPr>
            <w:tcW w:w="2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51BC0">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200</w:t>
            </w:r>
          </w:p>
        </w:tc>
        <w:tc>
          <w:tcPr>
            <w:tcW w:w="1961" w:type="dxa"/>
            <w:tcBorders>
              <w:top w:val="single" w:color="000000" w:sz="4" w:space="0"/>
              <w:left w:val="single" w:color="000000" w:sz="4" w:space="0"/>
              <w:bottom w:val="single" w:color="000000" w:sz="4" w:space="0"/>
              <w:right w:val="nil"/>
            </w:tcBorders>
            <w:shd w:val="clear" w:color="auto" w:fill="auto"/>
            <w:noWrap/>
            <w:vAlign w:val="center"/>
          </w:tcPr>
          <w:p w14:paraId="586FEADF">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200</w:t>
            </w:r>
          </w:p>
        </w:tc>
        <w:tc>
          <w:tcPr>
            <w:tcW w:w="25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AB1DD8">
            <w:pPr>
              <w:jc w:val="center"/>
              <w:rPr>
                <w:rFonts w:hint="eastAsia" w:ascii="宋体" w:hAnsi="宋体" w:eastAsia="宋体" w:cs="宋体"/>
                <w:b/>
                <w:bCs/>
                <w:i w:val="0"/>
                <w:iCs w:val="0"/>
                <w:color w:val="000000"/>
                <w:sz w:val="22"/>
                <w:szCs w:val="22"/>
                <w:u w:val="none"/>
              </w:rPr>
            </w:pPr>
          </w:p>
        </w:tc>
      </w:tr>
    </w:tbl>
    <w:p w14:paraId="3001938A">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center"/>
        <w:textAlignment w:val="auto"/>
        <w:rPr>
          <w:rFonts w:hint="eastAsia" w:asciiTheme="minorEastAsia" w:hAnsiTheme="minorEastAsia" w:cstheme="minorEastAsia"/>
          <w:b/>
          <w:bCs/>
          <w:sz w:val="24"/>
          <w:szCs w:val="24"/>
          <w:lang w:val="en-US" w:eastAsia="zh-CN"/>
        </w:rPr>
      </w:pPr>
    </w:p>
    <w:p w14:paraId="45690D3F">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Times New Roman" w:hAnsi="Times New Roman" w:eastAsia="宋体" w:cs="Times New Roman"/>
          <w:kern w:val="2"/>
          <w:sz w:val="24"/>
          <w:szCs w:val="20"/>
          <w:lang w:val="en-US" w:eastAsia="zh-CN" w:bidi="ar-SA"/>
        </w:rPr>
      </w:pPr>
    </w:p>
    <w:p w14:paraId="2251E0D9">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Times New Roman" w:hAnsi="Times New Roman" w:eastAsia="宋体" w:cs="Times New Roman"/>
          <w:kern w:val="2"/>
          <w:sz w:val="24"/>
          <w:szCs w:val="20"/>
          <w:lang w:val="en-US" w:eastAsia="zh-CN" w:bidi="ar-SA"/>
        </w:rPr>
      </w:pPr>
    </w:p>
    <w:p w14:paraId="40522B82">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Times New Roman" w:hAnsi="Times New Roman" w:eastAsia="宋体" w:cs="Times New Roman"/>
          <w:kern w:val="2"/>
          <w:sz w:val="24"/>
          <w:szCs w:val="20"/>
          <w:lang w:val="en-US" w:eastAsia="zh-CN" w:bidi="ar-SA"/>
        </w:rPr>
      </w:pPr>
    </w:p>
    <w:p w14:paraId="673C3B96">
      <w:pPr>
        <w:keepNext w:val="0"/>
        <w:keepLines w:val="0"/>
        <w:pageBreakBefore w:val="0"/>
        <w:widowControl/>
        <w:tabs>
          <w:tab w:val="left" w:pos="3056"/>
        </w:tabs>
        <w:kinsoku/>
        <w:wordWrap/>
        <w:overflowPunct/>
        <w:topLinePunct w:val="0"/>
        <w:autoSpaceDE/>
        <w:autoSpaceDN/>
        <w:bidi w:val="0"/>
        <w:adjustRightInd/>
        <w:snapToGrid/>
        <w:spacing w:line="600" w:lineRule="exact"/>
        <w:jc w:val="center"/>
        <w:textAlignment w:val="auto"/>
        <w:rPr>
          <w:rFonts w:hint="eastAsia" w:ascii="Times New Roman" w:hAnsi="Times New Roman" w:eastAsia="宋体" w:cs="Times New Roman"/>
          <w:kern w:val="2"/>
          <w:sz w:val="24"/>
          <w:szCs w:val="20"/>
          <w:lang w:val="en-US" w:eastAsia="zh-CN" w:bidi="ar-SA"/>
        </w:rPr>
      </w:pPr>
    </w:p>
    <w:p w14:paraId="0A4C527C">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Times New Roman" w:hAnsi="Times New Roman" w:eastAsia="宋体" w:cs="Times New Roman"/>
          <w:kern w:val="2"/>
          <w:sz w:val="24"/>
          <w:szCs w:val="20"/>
          <w:lang w:val="en-US" w:eastAsia="zh-CN" w:bidi="ar-SA"/>
        </w:rPr>
      </w:pPr>
    </w:p>
    <w:p w14:paraId="0CBFA5A1">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Times New Roman" w:hAnsi="Times New Roman" w:eastAsia="宋体" w:cs="Times New Roman"/>
          <w:kern w:val="2"/>
          <w:sz w:val="24"/>
          <w:szCs w:val="20"/>
          <w:lang w:val="en-US" w:eastAsia="zh-CN" w:bidi="ar-SA"/>
        </w:rPr>
      </w:pPr>
    </w:p>
    <w:p w14:paraId="2BDC5978">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Times New Roman" w:hAnsi="Times New Roman" w:eastAsia="宋体" w:cs="Times New Roman"/>
          <w:kern w:val="2"/>
          <w:sz w:val="24"/>
          <w:szCs w:val="20"/>
          <w:lang w:val="en-US" w:eastAsia="zh-CN" w:bidi="ar-SA"/>
        </w:rPr>
      </w:pPr>
    </w:p>
    <w:p w14:paraId="372D9A97">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Times New Roman" w:hAnsi="Times New Roman" w:eastAsia="宋体" w:cs="Times New Roman"/>
          <w:kern w:val="2"/>
          <w:sz w:val="24"/>
          <w:szCs w:val="20"/>
          <w:lang w:val="en-US" w:eastAsia="zh-CN" w:bidi="ar-SA"/>
        </w:rPr>
      </w:pPr>
    </w:p>
    <w:p w14:paraId="2144E700">
      <w:pPr>
        <w:keepNext w:val="0"/>
        <w:keepLines w:val="0"/>
        <w:pageBreakBefore w:val="0"/>
        <w:widowControl/>
        <w:kinsoku/>
        <w:wordWrap/>
        <w:overflowPunct/>
        <w:topLinePunct w:val="0"/>
        <w:autoSpaceDE/>
        <w:autoSpaceDN/>
        <w:bidi w:val="0"/>
        <w:adjustRightInd/>
        <w:snapToGrid/>
        <w:spacing w:line="600" w:lineRule="exact"/>
        <w:jc w:val="both"/>
        <w:textAlignment w:val="auto"/>
        <w:rPr>
          <w:rFonts w:hint="eastAsia" w:ascii="Times New Roman" w:hAnsi="Times New Roman" w:eastAsia="宋体" w:cs="Times New Roman"/>
          <w:kern w:val="2"/>
          <w:sz w:val="24"/>
          <w:szCs w:val="20"/>
          <w:lang w:val="en-US" w:eastAsia="zh-CN" w:bidi="ar-SA"/>
        </w:rPr>
        <w:sectPr>
          <w:footerReference r:id="rId6" w:type="default"/>
          <w:pgSz w:w="11910" w:h="16840"/>
          <w:pgMar w:top="567" w:right="840" w:bottom="567" w:left="860" w:header="567" w:footer="567" w:gutter="0"/>
          <w:pgNumType w:fmt="decimal" w:start="1"/>
          <w:cols w:space="720" w:num="1"/>
        </w:sectPr>
      </w:pPr>
    </w:p>
    <w:p w14:paraId="0090EA56">
      <w:pPr>
        <w:spacing w:before="100" w:line="230" w:lineRule="auto"/>
        <w:ind w:left="1194"/>
        <w:rPr>
          <w:rFonts w:ascii="宋体" w:hAnsi="宋体" w:eastAsia="宋体" w:cs="宋体"/>
          <w:sz w:val="43"/>
          <w:szCs w:val="43"/>
        </w:rPr>
      </w:pPr>
      <w:r>
        <w:rPr>
          <w:rFonts w:ascii="黑体" w:hAnsi="黑体" w:eastAsia="黑体" w:cs="黑体"/>
          <w:spacing w:val="-2"/>
          <w:sz w:val="31"/>
          <w:szCs w:val="31"/>
        </w:rPr>
        <w:t>附件2</w:t>
      </w:r>
      <w:r>
        <w:rPr>
          <w:rFonts w:hint="eastAsia" w:ascii="黑体" w:hAnsi="黑体" w:eastAsia="黑体" w:cs="黑体"/>
          <w:spacing w:val="-2"/>
          <w:sz w:val="31"/>
          <w:szCs w:val="31"/>
          <w:lang w:val="en-US" w:eastAsia="zh-CN"/>
        </w:rPr>
        <w:t xml:space="preserve">           </w:t>
      </w:r>
      <w:r>
        <w:rPr>
          <w:rFonts w:ascii="宋体" w:hAnsi="宋体" w:eastAsia="宋体" w:cs="宋体"/>
          <w:b/>
          <w:bCs/>
          <w:spacing w:val="2"/>
          <w:position w:val="3"/>
          <w:sz w:val="43"/>
          <w:szCs w:val="43"/>
        </w:rPr>
        <w:t>2026年</w:t>
      </w:r>
      <w:r>
        <w:rPr>
          <w:rFonts w:hint="eastAsia" w:ascii="宋体" w:hAnsi="宋体" w:eastAsia="宋体" w:cs="宋体"/>
          <w:b/>
          <w:bCs/>
          <w:spacing w:val="2"/>
          <w:position w:val="3"/>
          <w:sz w:val="43"/>
          <w:szCs w:val="43"/>
          <w:lang w:val="en-US" w:eastAsia="zh-CN"/>
        </w:rPr>
        <w:t>县</w:t>
      </w:r>
      <w:r>
        <w:rPr>
          <w:rFonts w:ascii="宋体" w:hAnsi="宋体" w:eastAsia="宋体" w:cs="宋体"/>
          <w:b/>
          <w:bCs/>
          <w:spacing w:val="2"/>
          <w:position w:val="3"/>
          <w:sz w:val="43"/>
          <w:szCs w:val="43"/>
        </w:rPr>
        <w:t>级食品安全监督抽检品种、项目表</w:t>
      </w:r>
    </w:p>
    <w:tbl>
      <w:tblPr>
        <w:tblStyle w:val="50"/>
        <w:tblpPr w:leftFromText="180" w:rightFromText="180" w:vertAnchor="text" w:horzAnchor="page" w:tblpX="737" w:tblpY="189"/>
        <w:tblOverlap w:val="never"/>
        <w:tblW w:w="15173"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59"/>
        <w:gridCol w:w="942"/>
        <w:gridCol w:w="1360"/>
        <w:gridCol w:w="1581"/>
        <w:gridCol w:w="1586"/>
        <w:gridCol w:w="682"/>
        <w:gridCol w:w="8563"/>
      </w:tblGrid>
      <w:tr w14:paraId="083A9A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459" w:type="dxa"/>
            <w:vAlign w:val="top"/>
          </w:tcPr>
          <w:p w14:paraId="0C315F68">
            <w:pPr>
              <w:spacing w:before="239" w:line="234" w:lineRule="auto"/>
              <w:ind w:left="52"/>
              <w:rPr>
                <w:rFonts w:ascii="黑体" w:hAnsi="黑体" w:eastAsia="黑体" w:cs="黑体"/>
                <w:sz w:val="17"/>
                <w:szCs w:val="17"/>
              </w:rPr>
            </w:pPr>
            <w:r>
              <w:rPr>
                <w:rFonts w:ascii="黑体" w:hAnsi="黑体" w:eastAsia="黑体" w:cs="黑体"/>
                <w:spacing w:val="6"/>
                <w:sz w:val="17"/>
                <w:szCs w:val="17"/>
              </w:rPr>
              <w:t>序号</w:t>
            </w:r>
          </w:p>
        </w:tc>
        <w:tc>
          <w:tcPr>
            <w:tcW w:w="942" w:type="dxa"/>
            <w:vAlign w:val="top"/>
          </w:tcPr>
          <w:p w14:paraId="038DC9C2">
            <w:pPr>
              <w:spacing w:before="88" w:line="232" w:lineRule="auto"/>
              <w:ind w:left="111"/>
              <w:rPr>
                <w:rFonts w:ascii="黑体" w:hAnsi="黑体" w:eastAsia="黑体" w:cs="黑体"/>
                <w:sz w:val="17"/>
                <w:szCs w:val="17"/>
              </w:rPr>
            </w:pPr>
            <w:r>
              <w:rPr>
                <w:rFonts w:ascii="黑体" w:hAnsi="黑体" w:eastAsia="黑体" w:cs="黑体"/>
                <w:spacing w:val="8"/>
                <w:sz w:val="17"/>
                <w:szCs w:val="17"/>
              </w:rPr>
              <w:t>食品大类</w:t>
            </w:r>
          </w:p>
          <w:p w14:paraId="6BADF890">
            <w:pPr>
              <w:spacing w:before="86" w:line="229" w:lineRule="auto"/>
              <w:ind w:left="237"/>
              <w:rPr>
                <w:rFonts w:ascii="黑体" w:hAnsi="黑体" w:eastAsia="黑体" w:cs="黑体"/>
                <w:sz w:val="17"/>
                <w:szCs w:val="17"/>
              </w:rPr>
            </w:pPr>
            <w:r>
              <w:rPr>
                <w:rFonts w:ascii="黑体" w:hAnsi="黑体" w:eastAsia="黑体" w:cs="黑体"/>
                <w:spacing w:val="-4"/>
                <w:sz w:val="17"/>
                <w:szCs w:val="17"/>
              </w:rPr>
              <w:t>(一级)</w:t>
            </w:r>
          </w:p>
        </w:tc>
        <w:tc>
          <w:tcPr>
            <w:tcW w:w="1360" w:type="dxa"/>
            <w:vAlign w:val="top"/>
          </w:tcPr>
          <w:p w14:paraId="1966A6B3">
            <w:pPr>
              <w:spacing w:before="88" w:line="232" w:lineRule="auto"/>
              <w:ind w:left="321"/>
              <w:rPr>
                <w:rFonts w:ascii="黑体" w:hAnsi="黑体" w:eastAsia="黑体" w:cs="黑体"/>
                <w:sz w:val="17"/>
                <w:szCs w:val="17"/>
              </w:rPr>
            </w:pPr>
            <w:r>
              <w:rPr>
                <w:rFonts w:ascii="黑体" w:hAnsi="黑体" w:eastAsia="黑体" w:cs="黑体"/>
                <w:spacing w:val="8"/>
                <w:sz w:val="17"/>
                <w:szCs w:val="17"/>
              </w:rPr>
              <w:t>食品亚类</w:t>
            </w:r>
          </w:p>
          <w:p w14:paraId="52D59DC1">
            <w:pPr>
              <w:spacing w:before="86" w:line="229" w:lineRule="auto"/>
              <w:ind w:left="444"/>
              <w:rPr>
                <w:rFonts w:ascii="黑体" w:hAnsi="黑体" w:eastAsia="黑体" w:cs="黑体"/>
                <w:sz w:val="17"/>
                <w:szCs w:val="17"/>
              </w:rPr>
            </w:pPr>
            <w:r>
              <w:rPr>
                <w:rFonts w:ascii="黑体" w:hAnsi="黑体" w:eastAsia="黑体" w:cs="黑体"/>
                <w:spacing w:val="-3"/>
                <w:sz w:val="17"/>
                <w:szCs w:val="17"/>
              </w:rPr>
              <w:t>(二级)</w:t>
            </w:r>
          </w:p>
        </w:tc>
        <w:tc>
          <w:tcPr>
            <w:tcW w:w="1581" w:type="dxa"/>
            <w:vAlign w:val="top"/>
          </w:tcPr>
          <w:p w14:paraId="588BB0C3">
            <w:pPr>
              <w:spacing w:before="88" w:line="232" w:lineRule="auto"/>
              <w:ind w:left="433"/>
              <w:rPr>
                <w:rFonts w:ascii="黑体" w:hAnsi="黑体" w:eastAsia="黑体" w:cs="黑体"/>
                <w:sz w:val="17"/>
                <w:szCs w:val="17"/>
              </w:rPr>
            </w:pPr>
            <w:r>
              <w:rPr>
                <w:rFonts w:ascii="黑体" w:hAnsi="黑体" w:eastAsia="黑体" w:cs="黑体"/>
                <w:spacing w:val="8"/>
                <w:sz w:val="17"/>
                <w:szCs w:val="17"/>
              </w:rPr>
              <w:t>食品品种</w:t>
            </w:r>
          </w:p>
          <w:p w14:paraId="127E61E7">
            <w:pPr>
              <w:spacing w:before="86" w:line="229" w:lineRule="auto"/>
              <w:ind w:left="558"/>
              <w:rPr>
                <w:rFonts w:ascii="黑体" w:hAnsi="黑体" w:eastAsia="黑体" w:cs="黑体"/>
                <w:sz w:val="17"/>
                <w:szCs w:val="17"/>
              </w:rPr>
            </w:pPr>
            <w:r>
              <w:rPr>
                <w:rFonts w:ascii="黑体" w:hAnsi="黑体" w:eastAsia="黑体" w:cs="黑体"/>
                <w:spacing w:val="-4"/>
                <w:sz w:val="17"/>
                <w:szCs w:val="17"/>
              </w:rPr>
              <w:t>(三级)</w:t>
            </w:r>
          </w:p>
        </w:tc>
        <w:tc>
          <w:tcPr>
            <w:tcW w:w="1586" w:type="dxa"/>
            <w:vAlign w:val="top"/>
          </w:tcPr>
          <w:p w14:paraId="700D1F5B">
            <w:pPr>
              <w:spacing w:before="88" w:line="232" w:lineRule="auto"/>
              <w:ind w:left="436"/>
              <w:rPr>
                <w:rFonts w:ascii="黑体" w:hAnsi="黑体" w:eastAsia="黑体" w:cs="黑体"/>
                <w:sz w:val="17"/>
                <w:szCs w:val="17"/>
              </w:rPr>
            </w:pPr>
            <w:r>
              <w:rPr>
                <w:rFonts w:ascii="黑体" w:hAnsi="黑体" w:eastAsia="黑体" w:cs="黑体"/>
                <w:spacing w:val="8"/>
                <w:sz w:val="17"/>
                <w:szCs w:val="17"/>
              </w:rPr>
              <w:t>食品细类</w:t>
            </w:r>
          </w:p>
          <w:p w14:paraId="59DBD1A6">
            <w:pPr>
              <w:spacing w:before="86" w:line="229" w:lineRule="auto"/>
              <w:ind w:left="561"/>
              <w:rPr>
                <w:rFonts w:ascii="黑体" w:hAnsi="黑体" w:eastAsia="黑体" w:cs="黑体"/>
                <w:sz w:val="17"/>
                <w:szCs w:val="17"/>
              </w:rPr>
            </w:pPr>
            <w:r>
              <w:rPr>
                <w:rFonts w:ascii="黑体" w:hAnsi="黑体" w:eastAsia="黑体" w:cs="黑体"/>
                <w:spacing w:val="-4"/>
                <w:sz w:val="17"/>
                <w:szCs w:val="17"/>
              </w:rPr>
              <w:t>(四级)</w:t>
            </w:r>
          </w:p>
        </w:tc>
        <w:tc>
          <w:tcPr>
            <w:tcW w:w="682" w:type="dxa"/>
            <w:vAlign w:val="top"/>
          </w:tcPr>
          <w:p w14:paraId="3CF7A850">
            <w:pPr>
              <w:spacing w:before="88" w:line="233" w:lineRule="auto"/>
              <w:ind w:left="166"/>
              <w:rPr>
                <w:rFonts w:ascii="黑体" w:hAnsi="黑体" w:eastAsia="黑体" w:cs="黑体"/>
                <w:sz w:val="17"/>
                <w:szCs w:val="17"/>
              </w:rPr>
            </w:pPr>
            <w:r>
              <w:rPr>
                <w:rFonts w:ascii="黑体" w:hAnsi="黑体" w:eastAsia="黑体" w:cs="黑体"/>
                <w:spacing w:val="6"/>
                <w:sz w:val="17"/>
                <w:szCs w:val="17"/>
              </w:rPr>
              <w:t>风险</w:t>
            </w:r>
          </w:p>
          <w:p w14:paraId="2D392EB9">
            <w:pPr>
              <w:spacing w:before="85" w:line="229" w:lineRule="auto"/>
              <w:ind w:left="163"/>
              <w:rPr>
                <w:rFonts w:ascii="黑体" w:hAnsi="黑体" w:eastAsia="黑体" w:cs="黑体"/>
                <w:sz w:val="17"/>
                <w:szCs w:val="17"/>
              </w:rPr>
            </w:pPr>
            <w:r>
              <w:rPr>
                <w:rFonts w:ascii="黑体" w:hAnsi="黑体" w:eastAsia="黑体" w:cs="黑体"/>
                <w:spacing w:val="7"/>
                <w:sz w:val="17"/>
                <w:szCs w:val="17"/>
              </w:rPr>
              <w:t>等级</w:t>
            </w:r>
          </w:p>
        </w:tc>
        <w:tc>
          <w:tcPr>
            <w:tcW w:w="8563" w:type="dxa"/>
            <w:vAlign w:val="top"/>
          </w:tcPr>
          <w:p w14:paraId="44D77F27">
            <w:pPr>
              <w:spacing w:before="239" w:line="232" w:lineRule="auto"/>
              <w:ind w:left="3744"/>
              <w:rPr>
                <w:rFonts w:ascii="黑体" w:hAnsi="黑体" w:eastAsia="黑体" w:cs="黑体"/>
                <w:sz w:val="17"/>
                <w:szCs w:val="17"/>
              </w:rPr>
            </w:pPr>
            <w:r>
              <w:rPr>
                <w:rFonts w:ascii="黑体" w:hAnsi="黑体" w:eastAsia="黑体" w:cs="黑体"/>
                <w:spacing w:val="8"/>
                <w:sz w:val="17"/>
                <w:szCs w:val="17"/>
              </w:rPr>
              <w:t>监督抽检项目</w:t>
            </w:r>
          </w:p>
        </w:tc>
      </w:tr>
      <w:tr w14:paraId="3EC7CE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trPr>
        <w:tc>
          <w:tcPr>
            <w:tcW w:w="459" w:type="dxa"/>
            <w:vMerge w:val="restart"/>
            <w:tcBorders>
              <w:bottom w:val="nil"/>
            </w:tcBorders>
            <w:vAlign w:val="top"/>
          </w:tcPr>
          <w:p w14:paraId="272E4F4F">
            <w:pPr>
              <w:spacing w:line="254" w:lineRule="auto"/>
              <w:rPr>
                <w:rFonts w:ascii="Arial"/>
                <w:sz w:val="21"/>
              </w:rPr>
            </w:pPr>
          </w:p>
          <w:p w14:paraId="34A57EC9">
            <w:pPr>
              <w:spacing w:line="254" w:lineRule="auto"/>
              <w:rPr>
                <w:rFonts w:ascii="Arial"/>
                <w:sz w:val="21"/>
              </w:rPr>
            </w:pPr>
          </w:p>
          <w:p w14:paraId="2C6702D7">
            <w:pPr>
              <w:spacing w:line="254" w:lineRule="auto"/>
              <w:rPr>
                <w:rFonts w:ascii="Arial"/>
                <w:sz w:val="21"/>
              </w:rPr>
            </w:pPr>
          </w:p>
          <w:p w14:paraId="7546AF11">
            <w:pPr>
              <w:spacing w:line="254" w:lineRule="auto"/>
              <w:rPr>
                <w:rFonts w:ascii="Arial"/>
                <w:sz w:val="21"/>
              </w:rPr>
            </w:pPr>
          </w:p>
          <w:p w14:paraId="1E03F25C">
            <w:pPr>
              <w:spacing w:line="255" w:lineRule="auto"/>
              <w:rPr>
                <w:rFonts w:ascii="Arial"/>
                <w:sz w:val="21"/>
              </w:rPr>
            </w:pPr>
          </w:p>
          <w:p w14:paraId="4B72B5E0">
            <w:pPr>
              <w:spacing w:line="255" w:lineRule="auto"/>
              <w:rPr>
                <w:rFonts w:ascii="Arial"/>
                <w:sz w:val="21"/>
              </w:rPr>
            </w:pPr>
          </w:p>
          <w:p w14:paraId="5BC2F7E4">
            <w:pPr>
              <w:spacing w:line="255" w:lineRule="auto"/>
              <w:rPr>
                <w:rFonts w:ascii="Arial"/>
                <w:sz w:val="21"/>
              </w:rPr>
            </w:pPr>
          </w:p>
          <w:p w14:paraId="16F9A2CE">
            <w:pPr>
              <w:spacing w:line="255" w:lineRule="auto"/>
              <w:rPr>
                <w:rFonts w:ascii="Arial"/>
                <w:sz w:val="21"/>
              </w:rPr>
            </w:pPr>
          </w:p>
          <w:p w14:paraId="4D7C5B59">
            <w:pPr>
              <w:spacing w:line="255" w:lineRule="auto"/>
              <w:rPr>
                <w:rFonts w:ascii="Arial"/>
                <w:sz w:val="21"/>
              </w:rPr>
            </w:pPr>
          </w:p>
          <w:p w14:paraId="3554F855">
            <w:pPr>
              <w:spacing w:line="255" w:lineRule="auto"/>
              <w:rPr>
                <w:rFonts w:ascii="Arial"/>
                <w:sz w:val="21"/>
              </w:rPr>
            </w:pPr>
          </w:p>
          <w:p w14:paraId="633F1BA6">
            <w:pPr>
              <w:spacing w:line="255" w:lineRule="auto"/>
              <w:rPr>
                <w:rFonts w:ascii="Arial"/>
                <w:sz w:val="21"/>
              </w:rPr>
            </w:pPr>
          </w:p>
          <w:p w14:paraId="27328511">
            <w:pPr>
              <w:spacing w:line="255" w:lineRule="auto"/>
              <w:rPr>
                <w:rFonts w:ascii="Arial"/>
                <w:sz w:val="21"/>
              </w:rPr>
            </w:pPr>
          </w:p>
          <w:p w14:paraId="6866E70E">
            <w:pPr>
              <w:pStyle w:val="51"/>
              <w:spacing w:before="55" w:line="229" w:lineRule="exact"/>
              <w:ind w:left="202"/>
              <w:rPr>
                <w:sz w:val="17"/>
                <w:szCs w:val="17"/>
              </w:rPr>
            </w:pPr>
            <w:r>
              <w:rPr>
                <w:position w:val="1"/>
                <w:sz w:val="17"/>
                <w:szCs w:val="17"/>
              </w:rPr>
              <w:t>1</w:t>
            </w:r>
          </w:p>
        </w:tc>
        <w:tc>
          <w:tcPr>
            <w:tcW w:w="942" w:type="dxa"/>
            <w:vMerge w:val="restart"/>
            <w:tcBorders>
              <w:bottom w:val="nil"/>
            </w:tcBorders>
            <w:vAlign w:val="top"/>
          </w:tcPr>
          <w:p w14:paraId="58FFC793">
            <w:pPr>
              <w:spacing w:line="242" w:lineRule="auto"/>
              <w:rPr>
                <w:rFonts w:ascii="Arial"/>
                <w:sz w:val="21"/>
              </w:rPr>
            </w:pPr>
          </w:p>
          <w:p w14:paraId="4C2CAED9">
            <w:pPr>
              <w:spacing w:line="242" w:lineRule="auto"/>
              <w:rPr>
                <w:rFonts w:ascii="Arial"/>
                <w:sz w:val="21"/>
              </w:rPr>
            </w:pPr>
          </w:p>
          <w:p w14:paraId="5A23F379">
            <w:pPr>
              <w:spacing w:line="242" w:lineRule="auto"/>
              <w:rPr>
                <w:rFonts w:ascii="Arial"/>
                <w:sz w:val="21"/>
              </w:rPr>
            </w:pPr>
          </w:p>
          <w:p w14:paraId="0A7E47AF">
            <w:pPr>
              <w:spacing w:line="242" w:lineRule="auto"/>
              <w:rPr>
                <w:rFonts w:ascii="Arial"/>
                <w:sz w:val="21"/>
              </w:rPr>
            </w:pPr>
          </w:p>
          <w:p w14:paraId="041534F5">
            <w:pPr>
              <w:spacing w:line="242" w:lineRule="auto"/>
              <w:rPr>
                <w:rFonts w:ascii="Arial"/>
                <w:sz w:val="21"/>
              </w:rPr>
            </w:pPr>
          </w:p>
          <w:p w14:paraId="21A2D75E">
            <w:pPr>
              <w:spacing w:line="242" w:lineRule="auto"/>
              <w:rPr>
                <w:rFonts w:ascii="Arial"/>
                <w:sz w:val="21"/>
              </w:rPr>
            </w:pPr>
          </w:p>
          <w:p w14:paraId="1BD0C54A">
            <w:pPr>
              <w:spacing w:line="242" w:lineRule="auto"/>
              <w:rPr>
                <w:rFonts w:ascii="Arial"/>
                <w:sz w:val="21"/>
              </w:rPr>
            </w:pPr>
          </w:p>
          <w:p w14:paraId="0D337AEB">
            <w:pPr>
              <w:spacing w:line="242" w:lineRule="auto"/>
              <w:rPr>
                <w:rFonts w:ascii="Arial"/>
                <w:sz w:val="21"/>
              </w:rPr>
            </w:pPr>
          </w:p>
          <w:p w14:paraId="16CF2CB4">
            <w:pPr>
              <w:spacing w:line="243" w:lineRule="auto"/>
              <w:rPr>
                <w:rFonts w:ascii="Arial"/>
                <w:sz w:val="21"/>
              </w:rPr>
            </w:pPr>
          </w:p>
          <w:p w14:paraId="00FEB130">
            <w:pPr>
              <w:spacing w:line="243" w:lineRule="auto"/>
              <w:rPr>
                <w:rFonts w:ascii="Arial"/>
                <w:sz w:val="21"/>
              </w:rPr>
            </w:pPr>
          </w:p>
          <w:p w14:paraId="194FCA8E">
            <w:pPr>
              <w:spacing w:line="243" w:lineRule="auto"/>
              <w:rPr>
                <w:rFonts w:ascii="Arial"/>
                <w:sz w:val="21"/>
              </w:rPr>
            </w:pPr>
          </w:p>
          <w:p w14:paraId="078524B6">
            <w:pPr>
              <w:spacing w:line="243" w:lineRule="auto"/>
              <w:rPr>
                <w:rFonts w:ascii="Arial"/>
                <w:sz w:val="21"/>
              </w:rPr>
            </w:pPr>
          </w:p>
          <w:p w14:paraId="641D8643">
            <w:pPr>
              <w:pStyle w:val="51"/>
              <w:spacing w:before="55" w:line="333" w:lineRule="auto"/>
              <w:ind w:left="407" w:right="112" w:hanging="290"/>
              <w:rPr>
                <w:sz w:val="17"/>
                <w:szCs w:val="17"/>
              </w:rPr>
            </w:pPr>
            <w:r>
              <w:rPr>
                <w:spacing w:val="6"/>
                <w:sz w:val="17"/>
                <w:szCs w:val="17"/>
              </w:rPr>
              <w:t>粮食加工</w:t>
            </w:r>
            <w:r>
              <w:rPr>
                <w:sz w:val="17"/>
                <w:szCs w:val="17"/>
              </w:rPr>
              <w:t>品</w:t>
            </w:r>
          </w:p>
        </w:tc>
        <w:tc>
          <w:tcPr>
            <w:tcW w:w="1360" w:type="dxa"/>
            <w:vAlign w:val="top"/>
          </w:tcPr>
          <w:p w14:paraId="2568E511">
            <w:pPr>
              <w:pStyle w:val="51"/>
              <w:spacing w:before="175" w:line="229" w:lineRule="auto"/>
              <w:ind w:left="415"/>
              <w:rPr>
                <w:sz w:val="17"/>
                <w:szCs w:val="17"/>
              </w:rPr>
            </w:pPr>
            <w:r>
              <w:rPr>
                <w:spacing w:val="6"/>
                <w:sz w:val="17"/>
                <w:szCs w:val="17"/>
              </w:rPr>
              <w:t>小麦粉</w:t>
            </w:r>
          </w:p>
        </w:tc>
        <w:tc>
          <w:tcPr>
            <w:tcW w:w="1581" w:type="dxa"/>
            <w:vAlign w:val="top"/>
          </w:tcPr>
          <w:p w14:paraId="2CB8F996">
            <w:pPr>
              <w:pStyle w:val="51"/>
              <w:spacing w:before="175" w:line="229" w:lineRule="auto"/>
              <w:ind w:left="529"/>
              <w:rPr>
                <w:sz w:val="17"/>
                <w:szCs w:val="17"/>
              </w:rPr>
            </w:pPr>
            <w:r>
              <w:rPr>
                <w:spacing w:val="6"/>
                <w:sz w:val="17"/>
                <w:szCs w:val="17"/>
              </w:rPr>
              <w:t>小麦粉</w:t>
            </w:r>
          </w:p>
        </w:tc>
        <w:tc>
          <w:tcPr>
            <w:tcW w:w="1586" w:type="dxa"/>
            <w:vAlign w:val="top"/>
          </w:tcPr>
          <w:p w14:paraId="2BC36DF2">
            <w:pPr>
              <w:pStyle w:val="51"/>
              <w:spacing w:before="175" w:line="229" w:lineRule="auto"/>
              <w:ind w:left="532"/>
              <w:rPr>
                <w:sz w:val="17"/>
                <w:szCs w:val="17"/>
              </w:rPr>
            </w:pPr>
            <w:r>
              <w:rPr>
                <w:spacing w:val="6"/>
                <w:sz w:val="17"/>
                <w:szCs w:val="17"/>
              </w:rPr>
              <w:t>小麦粉</w:t>
            </w:r>
          </w:p>
        </w:tc>
        <w:tc>
          <w:tcPr>
            <w:tcW w:w="682" w:type="dxa"/>
            <w:vAlign w:val="top"/>
          </w:tcPr>
          <w:p w14:paraId="514F37DD">
            <w:pPr>
              <w:pStyle w:val="51"/>
              <w:spacing w:before="176" w:line="227" w:lineRule="auto"/>
              <w:ind w:left="170"/>
              <w:rPr>
                <w:sz w:val="17"/>
                <w:szCs w:val="17"/>
              </w:rPr>
            </w:pPr>
            <w:r>
              <w:rPr>
                <w:spacing w:val="3"/>
                <w:sz w:val="17"/>
                <w:szCs w:val="17"/>
              </w:rPr>
              <w:t>较高</w:t>
            </w:r>
          </w:p>
        </w:tc>
        <w:tc>
          <w:tcPr>
            <w:tcW w:w="8563" w:type="dxa"/>
            <w:vAlign w:val="top"/>
          </w:tcPr>
          <w:p w14:paraId="34D2D3F5">
            <w:pPr>
              <w:pStyle w:val="51"/>
              <w:spacing w:before="36" w:line="238" w:lineRule="auto"/>
              <w:ind w:left="47" w:right="86" w:hanging="10"/>
              <w:rPr>
                <w:sz w:val="17"/>
                <w:szCs w:val="17"/>
              </w:rPr>
            </w:pPr>
            <w:r>
              <w:rPr>
                <w:spacing w:val="9"/>
                <w:sz w:val="17"/>
                <w:szCs w:val="17"/>
              </w:rPr>
              <w:t>铅（以</w:t>
            </w:r>
            <w:r>
              <w:rPr>
                <w:sz w:val="17"/>
                <w:szCs w:val="17"/>
              </w:rPr>
              <w:t>Pb</w:t>
            </w:r>
            <w:r>
              <w:rPr>
                <w:spacing w:val="9"/>
                <w:sz w:val="17"/>
                <w:szCs w:val="17"/>
              </w:rPr>
              <w:t>计）、</w:t>
            </w:r>
            <w:r>
              <w:rPr>
                <w:spacing w:val="-41"/>
                <w:sz w:val="17"/>
                <w:szCs w:val="17"/>
              </w:rPr>
              <w:t xml:space="preserve"> </w:t>
            </w:r>
            <w:r>
              <w:rPr>
                <w:spacing w:val="9"/>
                <w:sz w:val="17"/>
                <w:szCs w:val="17"/>
              </w:rPr>
              <w:t>镉（以</w:t>
            </w:r>
            <w:r>
              <w:rPr>
                <w:sz w:val="17"/>
                <w:szCs w:val="17"/>
              </w:rPr>
              <w:t>Cd</w:t>
            </w:r>
            <w:r>
              <w:rPr>
                <w:spacing w:val="9"/>
                <w:sz w:val="17"/>
                <w:szCs w:val="17"/>
              </w:rPr>
              <w:t>计）、苯并[a]芘、玉米赤霉</w:t>
            </w:r>
            <w:r>
              <w:rPr>
                <w:spacing w:val="8"/>
                <w:sz w:val="17"/>
                <w:szCs w:val="17"/>
              </w:rPr>
              <w:t>烯酮、脱氧雪腐镰刀菌烯醇、赭曲霉毒素A、黄曲霉毒</w:t>
            </w:r>
            <w:r>
              <w:rPr>
                <w:spacing w:val="5"/>
                <w:sz w:val="17"/>
                <w:szCs w:val="17"/>
              </w:rPr>
              <w:t>素B</w:t>
            </w:r>
            <w:r>
              <w:rPr>
                <w:spacing w:val="5"/>
                <w:position w:val="-2"/>
                <w:sz w:val="8"/>
                <w:szCs w:val="8"/>
              </w:rPr>
              <w:t>1</w:t>
            </w:r>
            <w:r>
              <w:rPr>
                <w:spacing w:val="-7"/>
                <w:position w:val="-2"/>
                <w:sz w:val="8"/>
                <w:szCs w:val="8"/>
              </w:rPr>
              <w:t xml:space="preserve"> </w:t>
            </w:r>
            <w:r>
              <w:rPr>
                <w:spacing w:val="5"/>
                <w:sz w:val="17"/>
                <w:szCs w:val="17"/>
              </w:rPr>
              <w:t>、偶氮甲酰胺、过氧化苯甲酰</w:t>
            </w:r>
          </w:p>
        </w:tc>
      </w:tr>
      <w:tr w14:paraId="265E97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6" w:hRule="atLeast"/>
        </w:trPr>
        <w:tc>
          <w:tcPr>
            <w:tcW w:w="459" w:type="dxa"/>
            <w:vMerge w:val="continue"/>
            <w:tcBorders>
              <w:top w:val="nil"/>
              <w:bottom w:val="nil"/>
            </w:tcBorders>
            <w:vAlign w:val="top"/>
          </w:tcPr>
          <w:p w14:paraId="597EC900">
            <w:pPr>
              <w:rPr>
                <w:rFonts w:ascii="Arial"/>
                <w:sz w:val="21"/>
              </w:rPr>
            </w:pPr>
          </w:p>
        </w:tc>
        <w:tc>
          <w:tcPr>
            <w:tcW w:w="942" w:type="dxa"/>
            <w:vMerge w:val="continue"/>
            <w:tcBorders>
              <w:top w:val="nil"/>
              <w:bottom w:val="nil"/>
            </w:tcBorders>
            <w:vAlign w:val="top"/>
          </w:tcPr>
          <w:p w14:paraId="3D6CCA58">
            <w:pPr>
              <w:rPr>
                <w:rFonts w:ascii="Arial"/>
                <w:sz w:val="21"/>
              </w:rPr>
            </w:pPr>
          </w:p>
        </w:tc>
        <w:tc>
          <w:tcPr>
            <w:tcW w:w="1360" w:type="dxa"/>
            <w:vAlign w:val="top"/>
          </w:tcPr>
          <w:p w14:paraId="7B9CA362">
            <w:pPr>
              <w:pStyle w:val="51"/>
              <w:spacing w:before="175" w:line="228" w:lineRule="auto"/>
              <w:ind w:left="508"/>
              <w:rPr>
                <w:sz w:val="17"/>
                <w:szCs w:val="17"/>
              </w:rPr>
            </w:pPr>
            <w:r>
              <w:rPr>
                <w:spacing w:val="2"/>
                <w:sz w:val="17"/>
                <w:szCs w:val="17"/>
              </w:rPr>
              <w:t>大米</w:t>
            </w:r>
          </w:p>
        </w:tc>
        <w:tc>
          <w:tcPr>
            <w:tcW w:w="1581" w:type="dxa"/>
            <w:vAlign w:val="top"/>
          </w:tcPr>
          <w:p w14:paraId="1590BA7E">
            <w:pPr>
              <w:pStyle w:val="51"/>
              <w:spacing w:before="175" w:line="228" w:lineRule="auto"/>
              <w:ind w:left="620"/>
              <w:rPr>
                <w:sz w:val="17"/>
                <w:szCs w:val="17"/>
              </w:rPr>
            </w:pPr>
            <w:r>
              <w:rPr>
                <w:spacing w:val="2"/>
                <w:sz w:val="17"/>
                <w:szCs w:val="17"/>
              </w:rPr>
              <w:t>大米</w:t>
            </w:r>
          </w:p>
        </w:tc>
        <w:tc>
          <w:tcPr>
            <w:tcW w:w="1586" w:type="dxa"/>
            <w:vAlign w:val="top"/>
          </w:tcPr>
          <w:p w14:paraId="5192E224">
            <w:pPr>
              <w:pStyle w:val="51"/>
              <w:spacing w:before="175" w:line="228" w:lineRule="auto"/>
              <w:ind w:left="623"/>
              <w:rPr>
                <w:sz w:val="17"/>
                <w:szCs w:val="17"/>
              </w:rPr>
            </w:pPr>
            <w:r>
              <w:rPr>
                <w:spacing w:val="2"/>
                <w:sz w:val="17"/>
                <w:szCs w:val="17"/>
              </w:rPr>
              <w:t>大米</w:t>
            </w:r>
          </w:p>
        </w:tc>
        <w:tc>
          <w:tcPr>
            <w:tcW w:w="682" w:type="dxa"/>
            <w:vAlign w:val="top"/>
          </w:tcPr>
          <w:p w14:paraId="5A25FA9E">
            <w:pPr>
              <w:pStyle w:val="51"/>
              <w:spacing w:before="175" w:line="227" w:lineRule="auto"/>
              <w:ind w:left="170"/>
              <w:rPr>
                <w:sz w:val="17"/>
                <w:szCs w:val="17"/>
              </w:rPr>
            </w:pPr>
            <w:r>
              <w:rPr>
                <w:spacing w:val="3"/>
                <w:sz w:val="17"/>
                <w:szCs w:val="17"/>
              </w:rPr>
              <w:t>较高</w:t>
            </w:r>
          </w:p>
        </w:tc>
        <w:tc>
          <w:tcPr>
            <w:tcW w:w="8563" w:type="dxa"/>
            <w:vAlign w:val="top"/>
          </w:tcPr>
          <w:p w14:paraId="1BBA1101">
            <w:pPr>
              <w:pStyle w:val="51"/>
              <w:spacing w:before="159" w:line="235" w:lineRule="auto"/>
              <w:ind w:left="37"/>
              <w:rPr>
                <w:sz w:val="17"/>
                <w:szCs w:val="17"/>
              </w:rPr>
            </w:pPr>
            <w:r>
              <w:rPr>
                <w:spacing w:val="9"/>
                <w:sz w:val="17"/>
                <w:szCs w:val="17"/>
              </w:rPr>
              <w:t>铅（以</w:t>
            </w:r>
            <w:r>
              <w:rPr>
                <w:sz w:val="17"/>
                <w:szCs w:val="17"/>
              </w:rPr>
              <w:t>Pb</w:t>
            </w:r>
            <w:r>
              <w:rPr>
                <w:spacing w:val="9"/>
                <w:sz w:val="17"/>
                <w:szCs w:val="17"/>
              </w:rPr>
              <w:t>计）、镉（以</w:t>
            </w:r>
            <w:r>
              <w:rPr>
                <w:sz w:val="17"/>
                <w:szCs w:val="17"/>
              </w:rPr>
              <w:t>Cd</w:t>
            </w:r>
            <w:r>
              <w:rPr>
                <w:spacing w:val="9"/>
                <w:sz w:val="17"/>
                <w:szCs w:val="17"/>
              </w:rPr>
              <w:t>计）、无机砷（以</w:t>
            </w:r>
            <w:r>
              <w:rPr>
                <w:sz w:val="17"/>
                <w:szCs w:val="17"/>
              </w:rPr>
              <w:t>As</w:t>
            </w:r>
            <w:r>
              <w:rPr>
                <w:spacing w:val="9"/>
                <w:sz w:val="17"/>
                <w:szCs w:val="17"/>
              </w:rPr>
              <w:t>计）、苯并[a]芘、黄曲霉毒素B</w:t>
            </w:r>
            <w:r>
              <w:rPr>
                <w:spacing w:val="9"/>
                <w:position w:val="-2"/>
                <w:sz w:val="8"/>
                <w:szCs w:val="8"/>
              </w:rPr>
              <w:t>1</w:t>
            </w:r>
            <w:r>
              <w:rPr>
                <w:spacing w:val="-11"/>
                <w:position w:val="-2"/>
                <w:sz w:val="8"/>
                <w:szCs w:val="8"/>
              </w:rPr>
              <w:t xml:space="preserve"> </w:t>
            </w:r>
            <w:r>
              <w:rPr>
                <w:spacing w:val="9"/>
                <w:sz w:val="17"/>
                <w:szCs w:val="17"/>
              </w:rPr>
              <w:t>、赭曲霉毒素A</w:t>
            </w:r>
          </w:p>
        </w:tc>
      </w:tr>
      <w:tr w14:paraId="356437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trPr>
        <w:tc>
          <w:tcPr>
            <w:tcW w:w="459" w:type="dxa"/>
            <w:vMerge w:val="continue"/>
            <w:tcBorders>
              <w:top w:val="nil"/>
              <w:bottom w:val="nil"/>
            </w:tcBorders>
            <w:vAlign w:val="top"/>
          </w:tcPr>
          <w:p w14:paraId="3F1B6D4F">
            <w:pPr>
              <w:rPr>
                <w:rFonts w:ascii="Arial"/>
                <w:sz w:val="21"/>
              </w:rPr>
            </w:pPr>
          </w:p>
        </w:tc>
        <w:tc>
          <w:tcPr>
            <w:tcW w:w="942" w:type="dxa"/>
            <w:vMerge w:val="continue"/>
            <w:tcBorders>
              <w:top w:val="nil"/>
              <w:bottom w:val="nil"/>
            </w:tcBorders>
            <w:vAlign w:val="top"/>
          </w:tcPr>
          <w:p w14:paraId="7CE3E930">
            <w:pPr>
              <w:rPr>
                <w:rFonts w:ascii="Arial"/>
                <w:sz w:val="21"/>
              </w:rPr>
            </w:pPr>
          </w:p>
        </w:tc>
        <w:tc>
          <w:tcPr>
            <w:tcW w:w="1360" w:type="dxa"/>
            <w:vAlign w:val="top"/>
          </w:tcPr>
          <w:p w14:paraId="4EDA5391">
            <w:pPr>
              <w:pStyle w:val="51"/>
              <w:spacing w:before="176" w:line="232" w:lineRule="auto"/>
              <w:ind w:left="506"/>
              <w:rPr>
                <w:sz w:val="17"/>
                <w:szCs w:val="17"/>
              </w:rPr>
            </w:pPr>
            <w:r>
              <w:rPr>
                <w:spacing w:val="4"/>
                <w:sz w:val="17"/>
                <w:szCs w:val="17"/>
              </w:rPr>
              <w:t>挂面</w:t>
            </w:r>
          </w:p>
        </w:tc>
        <w:tc>
          <w:tcPr>
            <w:tcW w:w="1581" w:type="dxa"/>
            <w:vAlign w:val="top"/>
          </w:tcPr>
          <w:p w14:paraId="284F92A8">
            <w:pPr>
              <w:pStyle w:val="51"/>
              <w:spacing w:before="176" w:line="232" w:lineRule="auto"/>
              <w:ind w:left="618"/>
              <w:rPr>
                <w:sz w:val="17"/>
                <w:szCs w:val="17"/>
              </w:rPr>
            </w:pPr>
            <w:r>
              <w:rPr>
                <w:spacing w:val="4"/>
                <w:sz w:val="17"/>
                <w:szCs w:val="17"/>
              </w:rPr>
              <w:t>挂面</w:t>
            </w:r>
          </w:p>
        </w:tc>
        <w:tc>
          <w:tcPr>
            <w:tcW w:w="1586" w:type="dxa"/>
            <w:vAlign w:val="top"/>
          </w:tcPr>
          <w:p w14:paraId="4D5AC336">
            <w:pPr>
              <w:pStyle w:val="51"/>
              <w:spacing w:before="176" w:line="232" w:lineRule="auto"/>
              <w:ind w:left="620"/>
              <w:rPr>
                <w:sz w:val="17"/>
                <w:szCs w:val="17"/>
              </w:rPr>
            </w:pPr>
            <w:r>
              <w:rPr>
                <w:spacing w:val="4"/>
                <w:sz w:val="17"/>
                <w:szCs w:val="17"/>
              </w:rPr>
              <w:t>挂面</w:t>
            </w:r>
          </w:p>
        </w:tc>
        <w:tc>
          <w:tcPr>
            <w:tcW w:w="682" w:type="dxa"/>
            <w:vAlign w:val="top"/>
          </w:tcPr>
          <w:p w14:paraId="55DEDA44">
            <w:pPr>
              <w:pStyle w:val="51"/>
              <w:spacing w:before="176" w:line="230" w:lineRule="auto"/>
              <w:ind w:left="173"/>
              <w:rPr>
                <w:sz w:val="17"/>
                <w:szCs w:val="17"/>
              </w:rPr>
            </w:pPr>
            <w:r>
              <w:rPr>
                <w:spacing w:val="2"/>
                <w:sz w:val="17"/>
                <w:szCs w:val="17"/>
              </w:rPr>
              <w:t>一般</w:t>
            </w:r>
          </w:p>
        </w:tc>
        <w:tc>
          <w:tcPr>
            <w:tcW w:w="8563" w:type="dxa"/>
            <w:vAlign w:val="top"/>
          </w:tcPr>
          <w:p w14:paraId="42F55B8A">
            <w:pPr>
              <w:pStyle w:val="51"/>
              <w:spacing w:before="36" w:line="238" w:lineRule="auto"/>
              <w:ind w:left="39" w:hanging="2"/>
              <w:rPr>
                <w:sz w:val="17"/>
                <w:szCs w:val="17"/>
              </w:rPr>
            </w:pPr>
            <w:r>
              <w:rPr>
                <w:spacing w:val="4"/>
                <w:sz w:val="17"/>
                <w:szCs w:val="17"/>
              </w:rPr>
              <w:t>铅（以</w:t>
            </w:r>
            <w:r>
              <w:rPr>
                <w:sz w:val="17"/>
                <w:szCs w:val="17"/>
              </w:rPr>
              <w:t>Pb</w:t>
            </w:r>
            <w:r>
              <w:rPr>
                <w:spacing w:val="4"/>
                <w:sz w:val="17"/>
                <w:szCs w:val="17"/>
              </w:rPr>
              <w:t>计）、黄曲霉毒素B</w:t>
            </w:r>
            <w:r>
              <w:rPr>
                <w:spacing w:val="4"/>
                <w:position w:val="-2"/>
                <w:sz w:val="8"/>
                <w:szCs w:val="8"/>
              </w:rPr>
              <w:t>1</w:t>
            </w:r>
            <w:r>
              <w:rPr>
                <w:spacing w:val="-14"/>
                <w:position w:val="-2"/>
                <w:sz w:val="8"/>
                <w:szCs w:val="8"/>
              </w:rPr>
              <w:t xml:space="preserve"> </w:t>
            </w:r>
            <w:r>
              <w:rPr>
                <w:spacing w:val="4"/>
                <w:sz w:val="17"/>
                <w:szCs w:val="17"/>
              </w:rPr>
              <w:t>、脱氢乙酸及其钠盐</w:t>
            </w:r>
            <w:r>
              <w:rPr>
                <w:spacing w:val="3"/>
                <w:sz w:val="17"/>
                <w:szCs w:val="17"/>
              </w:rPr>
              <w:t>（以脱氢乙酸计）、合成着色剂（柠檬黄、</w:t>
            </w:r>
            <w:r>
              <w:rPr>
                <w:spacing w:val="-46"/>
                <w:sz w:val="17"/>
                <w:szCs w:val="17"/>
              </w:rPr>
              <w:t xml:space="preserve"> </w:t>
            </w:r>
            <w:r>
              <w:rPr>
                <w:spacing w:val="3"/>
                <w:sz w:val="17"/>
                <w:szCs w:val="17"/>
              </w:rPr>
              <w:t>日落黄、胭脂红、</w:t>
            </w:r>
            <w:r>
              <w:rPr>
                <w:spacing w:val="6"/>
                <w:sz w:val="17"/>
                <w:szCs w:val="17"/>
              </w:rPr>
              <w:t>苋菜红、诱惑红、亮蓝）</w:t>
            </w:r>
          </w:p>
        </w:tc>
      </w:tr>
      <w:tr w14:paraId="73C398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1" w:hRule="atLeast"/>
        </w:trPr>
        <w:tc>
          <w:tcPr>
            <w:tcW w:w="459" w:type="dxa"/>
            <w:vMerge w:val="continue"/>
            <w:tcBorders>
              <w:top w:val="nil"/>
              <w:bottom w:val="nil"/>
            </w:tcBorders>
            <w:vAlign w:val="top"/>
          </w:tcPr>
          <w:p w14:paraId="02CB9742">
            <w:pPr>
              <w:rPr>
                <w:rFonts w:ascii="Arial"/>
                <w:sz w:val="21"/>
              </w:rPr>
            </w:pPr>
          </w:p>
        </w:tc>
        <w:tc>
          <w:tcPr>
            <w:tcW w:w="942" w:type="dxa"/>
            <w:vMerge w:val="continue"/>
            <w:tcBorders>
              <w:top w:val="nil"/>
              <w:bottom w:val="nil"/>
            </w:tcBorders>
            <w:vAlign w:val="top"/>
          </w:tcPr>
          <w:p w14:paraId="42B42D88">
            <w:pPr>
              <w:rPr>
                <w:rFonts w:ascii="Arial"/>
                <w:sz w:val="21"/>
              </w:rPr>
            </w:pPr>
          </w:p>
        </w:tc>
        <w:tc>
          <w:tcPr>
            <w:tcW w:w="1360" w:type="dxa"/>
            <w:vMerge w:val="restart"/>
            <w:tcBorders>
              <w:bottom w:val="nil"/>
            </w:tcBorders>
            <w:vAlign w:val="top"/>
          </w:tcPr>
          <w:p w14:paraId="2D009C64">
            <w:pPr>
              <w:spacing w:line="258" w:lineRule="auto"/>
              <w:rPr>
                <w:rFonts w:ascii="Arial"/>
                <w:sz w:val="21"/>
              </w:rPr>
            </w:pPr>
          </w:p>
          <w:p w14:paraId="4BE16B82">
            <w:pPr>
              <w:spacing w:line="258" w:lineRule="auto"/>
              <w:rPr>
                <w:rFonts w:ascii="Arial"/>
                <w:sz w:val="21"/>
              </w:rPr>
            </w:pPr>
          </w:p>
          <w:p w14:paraId="3C261B17">
            <w:pPr>
              <w:spacing w:line="258" w:lineRule="auto"/>
              <w:rPr>
                <w:rFonts w:ascii="Arial"/>
                <w:sz w:val="21"/>
              </w:rPr>
            </w:pPr>
          </w:p>
          <w:p w14:paraId="122426FB">
            <w:pPr>
              <w:spacing w:line="258" w:lineRule="auto"/>
              <w:rPr>
                <w:rFonts w:ascii="Arial"/>
                <w:sz w:val="21"/>
              </w:rPr>
            </w:pPr>
          </w:p>
          <w:p w14:paraId="22E22FB6">
            <w:pPr>
              <w:spacing w:line="258" w:lineRule="auto"/>
              <w:rPr>
                <w:rFonts w:ascii="Arial"/>
                <w:sz w:val="21"/>
              </w:rPr>
            </w:pPr>
          </w:p>
          <w:p w14:paraId="5CFCB2EE">
            <w:pPr>
              <w:spacing w:line="259" w:lineRule="auto"/>
              <w:rPr>
                <w:rFonts w:ascii="Arial"/>
                <w:sz w:val="21"/>
              </w:rPr>
            </w:pPr>
          </w:p>
          <w:p w14:paraId="0E844A02">
            <w:pPr>
              <w:spacing w:line="259" w:lineRule="auto"/>
              <w:rPr>
                <w:rFonts w:ascii="Arial"/>
                <w:sz w:val="21"/>
              </w:rPr>
            </w:pPr>
          </w:p>
          <w:p w14:paraId="4A12CFE9">
            <w:pPr>
              <w:spacing w:line="259" w:lineRule="auto"/>
              <w:rPr>
                <w:rFonts w:ascii="Arial"/>
                <w:sz w:val="21"/>
              </w:rPr>
            </w:pPr>
          </w:p>
          <w:p w14:paraId="70DE2B35">
            <w:pPr>
              <w:spacing w:line="259" w:lineRule="auto"/>
              <w:rPr>
                <w:rFonts w:ascii="Arial"/>
                <w:sz w:val="21"/>
              </w:rPr>
            </w:pPr>
          </w:p>
          <w:p w14:paraId="2D24EC04">
            <w:pPr>
              <w:pStyle w:val="51"/>
              <w:spacing w:before="55" w:line="226" w:lineRule="auto"/>
              <w:ind w:left="57"/>
              <w:rPr>
                <w:sz w:val="17"/>
                <w:szCs w:val="17"/>
              </w:rPr>
            </w:pPr>
            <w:r>
              <w:rPr>
                <w:spacing w:val="8"/>
                <w:sz w:val="17"/>
                <w:szCs w:val="17"/>
              </w:rPr>
              <w:t>其他粮食加工品</w:t>
            </w:r>
          </w:p>
        </w:tc>
        <w:tc>
          <w:tcPr>
            <w:tcW w:w="1581" w:type="dxa"/>
            <w:vAlign w:val="top"/>
          </w:tcPr>
          <w:p w14:paraId="4C099091">
            <w:pPr>
              <w:pStyle w:val="51"/>
              <w:spacing w:before="137" w:line="227" w:lineRule="auto"/>
              <w:ind w:left="349"/>
              <w:rPr>
                <w:sz w:val="17"/>
                <w:szCs w:val="17"/>
              </w:rPr>
            </w:pPr>
            <w:r>
              <w:rPr>
                <w:spacing w:val="7"/>
                <w:sz w:val="17"/>
                <w:szCs w:val="17"/>
              </w:rPr>
              <w:t>谷物加工品</w:t>
            </w:r>
          </w:p>
        </w:tc>
        <w:tc>
          <w:tcPr>
            <w:tcW w:w="1586" w:type="dxa"/>
            <w:vAlign w:val="top"/>
          </w:tcPr>
          <w:p w14:paraId="65836900">
            <w:pPr>
              <w:pStyle w:val="51"/>
              <w:spacing w:before="137" w:line="227" w:lineRule="auto"/>
              <w:ind w:left="352"/>
              <w:rPr>
                <w:sz w:val="17"/>
                <w:szCs w:val="17"/>
              </w:rPr>
            </w:pPr>
            <w:r>
              <w:rPr>
                <w:spacing w:val="7"/>
                <w:sz w:val="17"/>
                <w:szCs w:val="17"/>
              </w:rPr>
              <w:t>谷物加工品</w:t>
            </w:r>
          </w:p>
        </w:tc>
        <w:tc>
          <w:tcPr>
            <w:tcW w:w="682" w:type="dxa"/>
            <w:vAlign w:val="top"/>
          </w:tcPr>
          <w:p w14:paraId="50E851C7">
            <w:pPr>
              <w:pStyle w:val="51"/>
              <w:spacing w:before="137" w:line="230" w:lineRule="auto"/>
              <w:ind w:left="173"/>
              <w:rPr>
                <w:sz w:val="17"/>
                <w:szCs w:val="17"/>
              </w:rPr>
            </w:pPr>
            <w:r>
              <w:rPr>
                <w:spacing w:val="2"/>
                <w:sz w:val="17"/>
                <w:szCs w:val="17"/>
              </w:rPr>
              <w:t>一般</w:t>
            </w:r>
          </w:p>
        </w:tc>
        <w:tc>
          <w:tcPr>
            <w:tcW w:w="8563" w:type="dxa"/>
            <w:vAlign w:val="top"/>
          </w:tcPr>
          <w:p w14:paraId="76887DC7">
            <w:pPr>
              <w:pStyle w:val="51"/>
              <w:spacing w:before="121" w:line="241" w:lineRule="auto"/>
              <w:ind w:left="37"/>
              <w:rPr>
                <w:sz w:val="17"/>
                <w:szCs w:val="17"/>
              </w:rPr>
            </w:pPr>
            <w:r>
              <w:rPr>
                <w:spacing w:val="8"/>
                <w:sz w:val="17"/>
                <w:szCs w:val="17"/>
              </w:rPr>
              <w:t>铅（以</w:t>
            </w:r>
            <w:r>
              <w:rPr>
                <w:sz w:val="17"/>
                <w:szCs w:val="17"/>
              </w:rPr>
              <w:t>Pb</w:t>
            </w:r>
            <w:r>
              <w:rPr>
                <w:spacing w:val="8"/>
                <w:sz w:val="17"/>
                <w:szCs w:val="17"/>
              </w:rPr>
              <w:t>计）、镉（以</w:t>
            </w:r>
            <w:r>
              <w:rPr>
                <w:sz w:val="17"/>
                <w:szCs w:val="17"/>
              </w:rPr>
              <w:t>Cd</w:t>
            </w:r>
            <w:r>
              <w:rPr>
                <w:spacing w:val="8"/>
                <w:sz w:val="17"/>
                <w:szCs w:val="17"/>
              </w:rPr>
              <w:t>计）、黄曲霉毒素B</w:t>
            </w:r>
            <w:r>
              <w:rPr>
                <w:spacing w:val="8"/>
                <w:position w:val="-2"/>
                <w:sz w:val="8"/>
                <w:szCs w:val="8"/>
              </w:rPr>
              <w:t>1</w:t>
            </w:r>
            <w:r>
              <w:rPr>
                <w:spacing w:val="3"/>
                <w:position w:val="-2"/>
                <w:sz w:val="8"/>
                <w:szCs w:val="8"/>
              </w:rPr>
              <w:t xml:space="preserve"> </w:t>
            </w:r>
            <w:r>
              <w:rPr>
                <w:spacing w:val="8"/>
                <w:sz w:val="17"/>
                <w:szCs w:val="17"/>
              </w:rPr>
              <w:t>、赭曲霉毒素A</w:t>
            </w:r>
          </w:p>
        </w:tc>
      </w:tr>
      <w:tr w14:paraId="4B67A1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459" w:type="dxa"/>
            <w:vMerge w:val="continue"/>
            <w:tcBorders>
              <w:top w:val="nil"/>
              <w:bottom w:val="nil"/>
            </w:tcBorders>
            <w:vAlign w:val="top"/>
          </w:tcPr>
          <w:p w14:paraId="3958AE9A">
            <w:pPr>
              <w:rPr>
                <w:rFonts w:ascii="Arial"/>
                <w:sz w:val="21"/>
              </w:rPr>
            </w:pPr>
          </w:p>
        </w:tc>
        <w:tc>
          <w:tcPr>
            <w:tcW w:w="942" w:type="dxa"/>
            <w:vMerge w:val="continue"/>
            <w:tcBorders>
              <w:top w:val="nil"/>
              <w:bottom w:val="nil"/>
            </w:tcBorders>
            <w:vAlign w:val="top"/>
          </w:tcPr>
          <w:p w14:paraId="1A58BF83">
            <w:pPr>
              <w:rPr>
                <w:rFonts w:ascii="Arial"/>
                <w:sz w:val="21"/>
              </w:rPr>
            </w:pPr>
          </w:p>
        </w:tc>
        <w:tc>
          <w:tcPr>
            <w:tcW w:w="1360" w:type="dxa"/>
            <w:vMerge w:val="continue"/>
            <w:tcBorders>
              <w:top w:val="nil"/>
              <w:bottom w:val="nil"/>
            </w:tcBorders>
            <w:vAlign w:val="top"/>
          </w:tcPr>
          <w:p w14:paraId="2F89284C">
            <w:pPr>
              <w:rPr>
                <w:rFonts w:ascii="Arial"/>
                <w:sz w:val="21"/>
              </w:rPr>
            </w:pPr>
          </w:p>
        </w:tc>
        <w:tc>
          <w:tcPr>
            <w:tcW w:w="1581" w:type="dxa"/>
            <w:vMerge w:val="restart"/>
            <w:tcBorders>
              <w:bottom w:val="nil"/>
            </w:tcBorders>
            <w:vAlign w:val="top"/>
          </w:tcPr>
          <w:p w14:paraId="24F26A9E">
            <w:pPr>
              <w:spacing w:line="242" w:lineRule="auto"/>
              <w:rPr>
                <w:rFonts w:ascii="Arial"/>
                <w:sz w:val="21"/>
              </w:rPr>
            </w:pPr>
          </w:p>
          <w:p w14:paraId="60121AAB">
            <w:pPr>
              <w:spacing w:line="242" w:lineRule="auto"/>
              <w:rPr>
                <w:rFonts w:ascii="Arial"/>
                <w:sz w:val="21"/>
              </w:rPr>
            </w:pPr>
          </w:p>
          <w:p w14:paraId="28ECAF6D">
            <w:pPr>
              <w:spacing w:line="243" w:lineRule="auto"/>
              <w:rPr>
                <w:rFonts w:ascii="Arial"/>
                <w:sz w:val="21"/>
              </w:rPr>
            </w:pPr>
          </w:p>
          <w:p w14:paraId="1EA5FBE6">
            <w:pPr>
              <w:pStyle w:val="51"/>
              <w:spacing w:before="55" w:line="227" w:lineRule="auto"/>
              <w:ind w:left="169"/>
              <w:rPr>
                <w:sz w:val="17"/>
                <w:szCs w:val="17"/>
              </w:rPr>
            </w:pPr>
            <w:r>
              <w:rPr>
                <w:spacing w:val="8"/>
                <w:sz w:val="17"/>
                <w:szCs w:val="17"/>
              </w:rPr>
              <w:t>谷物碾磨加工品</w:t>
            </w:r>
          </w:p>
        </w:tc>
        <w:tc>
          <w:tcPr>
            <w:tcW w:w="1586" w:type="dxa"/>
            <w:vAlign w:val="top"/>
          </w:tcPr>
          <w:p w14:paraId="6F10C951">
            <w:pPr>
              <w:pStyle w:val="51"/>
              <w:spacing w:before="209" w:line="228" w:lineRule="auto"/>
              <w:ind w:left="175"/>
              <w:rPr>
                <w:sz w:val="17"/>
                <w:szCs w:val="17"/>
              </w:rPr>
            </w:pPr>
            <w:r>
              <w:rPr>
                <w:spacing w:val="6"/>
                <w:sz w:val="17"/>
                <w:szCs w:val="17"/>
              </w:rPr>
              <w:t>玉米粉(片、渣)</w:t>
            </w:r>
          </w:p>
        </w:tc>
        <w:tc>
          <w:tcPr>
            <w:tcW w:w="682" w:type="dxa"/>
            <w:vAlign w:val="top"/>
          </w:tcPr>
          <w:p w14:paraId="7FD7AE46">
            <w:pPr>
              <w:pStyle w:val="51"/>
              <w:spacing w:before="209" w:line="227" w:lineRule="auto"/>
              <w:ind w:left="170"/>
              <w:rPr>
                <w:sz w:val="17"/>
                <w:szCs w:val="17"/>
              </w:rPr>
            </w:pPr>
            <w:r>
              <w:rPr>
                <w:spacing w:val="3"/>
                <w:sz w:val="17"/>
                <w:szCs w:val="17"/>
              </w:rPr>
              <w:t>较高</w:t>
            </w:r>
          </w:p>
        </w:tc>
        <w:tc>
          <w:tcPr>
            <w:tcW w:w="8563" w:type="dxa"/>
            <w:vAlign w:val="top"/>
          </w:tcPr>
          <w:p w14:paraId="1AB999DE">
            <w:pPr>
              <w:pStyle w:val="51"/>
              <w:spacing w:before="189" w:line="238" w:lineRule="auto"/>
              <w:ind w:left="39"/>
              <w:rPr>
                <w:sz w:val="17"/>
                <w:szCs w:val="17"/>
              </w:rPr>
            </w:pPr>
            <w:r>
              <w:rPr>
                <w:spacing w:val="8"/>
                <w:sz w:val="17"/>
                <w:szCs w:val="17"/>
              </w:rPr>
              <w:t>苯并[a]芘、黄曲霉毒素B</w:t>
            </w:r>
            <w:r>
              <w:rPr>
                <w:spacing w:val="8"/>
                <w:position w:val="-2"/>
                <w:sz w:val="8"/>
                <w:szCs w:val="8"/>
              </w:rPr>
              <w:t>1</w:t>
            </w:r>
            <w:r>
              <w:rPr>
                <w:spacing w:val="-13"/>
                <w:position w:val="-2"/>
                <w:sz w:val="8"/>
                <w:szCs w:val="8"/>
              </w:rPr>
              <w:t xml:space="preserve"> </w:t>
            </w:r>
            <w:r>
              <w:rPr>
                <w:spacing w:val="8"/>
                <w:sz w:val="17"/>
                <w:szCs w:val="17"/>
              </w:rPr>
              <w:t>、赭曲霉毒素A、玉米赤霉烯酮、</w:t>
            </w:r>
            <w:r>
              <w:rPr>
                <w:spacing w:val="7"/>
                <w:sz w:val="17"/>
                <w:szCs w:val="17"/>
              </w:rPr>
              <w:t>脱氧雪腐镰刀菌烯醇</w:t>
            </w:r>
          </w:p>
        </w:tc>
      </w:tr>
      <w:tr w14:paraId="48AA40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trPr>
        <w:tc>
          <w:tcPr>
            <w:tcW w:w="459" w:type="dxa"/>
            <w:vMerge w:val="continue"/>
            <w:tcBorders>
              <w:top w:val="nil"/>
              <w:bottom w:val="nil"/>
            </w:tcBorders>
            <w:vAlign w:val="top"/>
          </w:tcPr>
          <w:p w14:paraId="24D48D8A">
            <w:pPr>
              <w:rPr>
                <w:rFonts w:ascii="Arial"/>
                <w:sz w:val="21"/>
              </w:rPr>
            </w:pPr>
          </w:p>
        </w:tc>
        <w:tc>
          <w:tcPr>
            <w:tcW w:w="942" w:type="dxa"/>
            <w:vMerge w:val="continue"/>
            <w:tcBorders>
              <w:top w:val="nil"/>
              <w:bottom w:val="nil"/>
            </w:tcBorders>
            <w:vAlign w:val="top"/>
          </w:tcPr>
          <w:p w14:paraId="50880F89">
            <w:pPr>
              <w:rPr>
                <w:rFonts w:ascii="Arial"/>
                <w:sz w:val="21"/>
              </w:rPr>
            </w:pPr>
          </w:p>
        </w:tc>
        <w:tc>
          <w:tcPr>
            <w:tcW w:w="1360" w:type="dxa"/>
            <w:vMerge w:val="continue"/>
            <w:tcBorders>
              <w:top w:val="nil"/>
              <w:bottom w:val="nil"/>
            </w:tcBorders>
            <w:vAlign w:val="top"/>
          </w:tcPr>
          <w:p w14:paraId="0072300F">
            <w:pPr>
              <w:rPr>
                <w:rFonts w:ascii="Arial"/>
                <w:sz w:val="21"/>
              </w:rPr>
            </w:pPr>
          </w:p>
        </w:tc>
        <w:tc>
          <w:tcPr>
            <w:tcW w:w="1581" w:type="dxa"/>
            <w:vMerge w:val="continue"/>
            <w:tcBorders>
              <w:top w:val="nil"/>
              <w:bottom w:val="nil"/>
            </w:tcBorders>
            <w:vAlign w:val="top"/>
          </w:tcPr>
          <w:p w14:paraId="493C05F6">
            <w:pPr>
              <w:rPr>
                <w:rFonts w:ascii="Arial"/>
                <w:sz w:val="21"/>
              </w:rPr>
            </w:pPr>
          </w:p>
        </w:tc>
        <w:tc>
          <w:tcPr>
            <w:tcW w:w="1586" w:type="dxa"/>
            <w:vAlign w:val="top"/>
          </w:tcPr>
          <w:p w14:paraId="17C132E9">
            <w:pPr>
              <w:pStyle w:val="51"/>
              <w:spacing w:before="204" w:line="228" w:lineRule="auto"/>
              <w:ind w:left="623"/>
              <w:rPr>
                <w:sz w:val="17"/>
                <w:szCs w:val="17"/>
              </w:rPr>
            </w:pPr>
            <w:r>
              <w:rPr>
                <w:spacing w:val="2"/>
                <w:sz w:val="17"/>
                <w:szCs w:val="17"/>
              </w:rPr>
              <w:t>米粉</w:t>
            </w:r>
          </w:p>
        </w:tc>
        <w:tc>
          <w:tcPr>
            <w:tcW w:w="682" w:type="dxa"/>
            <w:vAlign w:val="top"/>
          </w:tcPr>
          <w:p w14:paraId="27C090E8">
            <w:pPr>
              <w:pStyle w:val="51"/>
              <w:spacing w:before="204" w:line="227" w:lineRule="auto"/>
              <w:ind w:left="170"/>
              <w:rPr>
                <w:sz w:val="17"/>
                <w:szCs w:val="17"/>
              </w:rPr>
            </w:pPr>
            <w:r>
              <w:rPr>
                <w:spacing w:val="3"/>
                <w:sz w:val="17"/>
                <w:szCs w:val="17"/>
              </w:rPr>
              <w:t>较高</w:t>
            </w:r>
          </w:p>
        </w:tc>
        <w:tc>
          <w:tcPr>
            <w:tcW w:w="8563" w:type="dxa"/>
            <w:vAlign w:val="top"/>
          </w:tcPr>
          <w:p w14:paraId="523D3356">
            <w:pPr>
              <w:pStyle w:val="51"/>
              <w:spacing w:before="184" w:line="222" w:lineRule="auto"/>
              <w:ind w:left="37"/>
              <w:rPr>
                <w:sz w:val="17"/>
                <w:szCs w:val="17"/>
              </w:rPr>
            </w:pPr>
            <w:r>
              <w:rPr>
                <w:spacing w:val="10"/>
                <w:sz w:val="17"/>
                <w:szCs w:val="17"/>
              </w:rPr>
              <w:t>铅（以</w:t>
            </w:r>
            <w:r>
              <w:rPr>
                <w:sz w:val="17"/>
                <w:szCs w:val="17"/>
              </w:rPr>
              <w:t>Pb</w:t>
            </w:r>
            <w:r>
              <w:rPr>
                <w:spacing w:val="10"/>
                <w:sz w:val="17"/>
                <w:szCs w:val="17"/>
              </w:rPr>
              <w:t>计）、镉（以</w:t>
            </w:r>
            <w:r>
              <w:rPr>
                <w:sz w:val="17"/>
                <w:szCs w:val="17"/>
              </w:rPr>
              <w:t>Cd</w:t>
            </w:r>
            <w:r>
              <w:rPr>
                <w:spacing w:val="10"/>
                <w:sz w:val="17"/>
                <w:szCs w:val="17"/>
              </w:rPr>
              <w:t>计）、总汞（以</w:t>
            </w:r>
            <w:r>
              <w:rPr>
                <w:sz w:val="17"/>
                <w:szCs w:val="17"/>
              </w:rPr>
              <w:t>Hg</w:t>
            </w:r>
            <w:r>
              <w:rPr>
                <w:spacing w:val="10"/>
                <w:sz w:val="17"/>
                <w:szCs w:val="17"/>
              </w:rPr>
              <w:t>计）、无机砷（以</w:t>
            </w:r>
            <w:r>
              <w:rPr>
                <w:sz w:val="17"/>
                <w:szCs w:val="17"/>
              </w:rPr>
              <w:t>As</w:t>
            </w:r>
            <w:r>
              <w:rPr>
                <w:spacing w:val="10"/>
                <w:sz w:val="17"/>
                <w:szCs w:val="17"/>
              </w:rPr>
              <w:t>计）</w:t>
            </w:r>
          </w:p>
        </w:tc>
      </w:tr>
      <w:tr w14:paraId="2ED029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459" w:type="dxa"/>
            <w:vMerge w:val="continue"/>
            <w:tcBorders>
              <w:top w:val="nil"/>
              <w:bottom w:val="nil"/>
            </w:tcBorders>
            <w:vAlign w:val="top"/>
          </w:tcPr>
          <w:p w14:paraId="7A44C2B9">
            <w:pPr>
              <w:rPr>
                <w:rFonts w:ascii="Arial"/>
                <w:sz w:val="21"/>
              </w:rPr>
            </w:pPr>
          </w:p>
        </w:tc>
        <w:tc>
          <w:tcPr>
            <w:tcW w:w="942" w:type="dxa"/>
            <w:vMerge w:val="continue"/>
            <w:tcBorders>
              <w:top w:val="nil"/>
              <w:bottom w:val="nil"/>
            </w:tcBorders>
            <w:vAlign w:val="top"/>
          </w:tcPr>
          <w:p w14:paraId="776D119E">
            <w:pPr>
              <w:rPr>
                <w:rFonts w:ascii="Arial"/>
                <w:sz w:val="21"/>
              </w:rPr>
            </w:pPr>
          </w:p>
        </w:tc>
        <w:tc>
          <w:tcPr>
            <w:tcW w:w="1360" w:type="dxa"/>
            <w:vMerge w:val="continue"/>
            <w:tcBorders>
              <w:top w:val="nil"/>
              <w:bottom w:val="nil"/>
            </w:tcBorders>
            <w:vAlign w:val="top"/>
          </w:tcPr>
          <w:p w14:paraId="38BB0999">
            <w:pPr>
              <w:rPr>
                <w:rFonts w:ascii="Arial"/>
                <w:sz w:val="21"/>
              </w:rPr>
            </w:pPr>
          </w:p>
        </w:tc>
        <w:tc>
          <w:tcPr>
            <w:tcW w:w="1581" w:type="dxa"/>
            <w:vMerge w:val="continue"/>
            <w:tcBorders>
              <w:top w:val="nil"/>
            </w:tcBorders>
            <w:vAlign w:val="top"/>
          </w:tcPr>
          <w:p w14:paraId="543836CA">
            <w:pPr>
              <w:rPr>
                <w:rFonts w:ascii="Arial"/>
                <w:sz w:val="21"/>
              </w:rPr>
            </w:pPr>
          </w:p>
        </w:tc>
        <w:tc>
          <w:tcPr>
            <w:tcW w:w="1586" w:type="dxa"/>
            <w:vAlign w:val="top"/>
          </w:tcPr>
          <w:p w14:paraId="080FD65C">
            <w:pPr>
              <w:pStyle w:val="51"/>
              <w:spacing w:before="85" w:line="276" w:lineRule="auto"/>
              <w:ind w:left="531" w:right="251" w:hanging="269"/>
              <w:rPr>
                <w:sz w:val="17"/>
                <w:szCs w:val="17"/>
              </w:rPr>
            </w:pPr>
            <w:r>
              <w:rPr>
                <w:spacing w:val="7"/>
                <w:sz w:val="17"/>
                <w:szCs w:val="17"/>
              </w:rPr>
              <w:t>其他谷物碾磨</w:t>
            </w:r>
            <w:r>
              <w:rPr>
                <w:spacing w:val="6"/>
                <w:sz w:val="17"/>
                <w:szCs w:val="17"/>
              </w:rPr>
              <w:t>加工品</w:t>
            </w:r>
          </w:p>
        </w:tc>
        <w:tc>
          <w:tcPr>
            <w:tcW w:w="682" w:type="dxa"/>
            <w:vAlign w:val="top"/>
          </w:tcPr>
          <w:p w14:paraId="1D15C455">
            <w:pPr>
              <w:pStyle w:val="51"/>
              <w:spacing w:before="236" w:line="227" w:lineRule="auto"/>
              <w:ind w:left="170"/>
              <w:rPr>
                <w:sz w:val="17"/>
                <w:szCs w:val="17"/>
              </w:rPr>
            </w:pPr>
            <w:r>
              <w:rPr>
                <w:spacing w:val="3"/>
                <w:sz w:val="17"/>
                <w:szCs w:val="17"/>
              </w:rPr>
              <w:t>较高</w:t>
            </w:r>
          </w:p>
        </w:tc>
        <w:tc>
          <w:tcPr>
            <w:tcW w:w="8563" w:type="dxa"/>
            <w:vAlign w:val="top"/>
          </w:tcPr>
          <w:p w14:paraId="4AE05831">
            <w:pPr>
              <w:pStyle w:val="51"/>
              <w:spacing w:before="217" w:line="227" w:lineRule="auto"/>
              <w:ind w:left="37"/>
              <w:rPr>
                <w:sz w:val="17"/>
                <w:szCs w:val="17"/>
              </w:rPr>
            </w:pPr>
            <w:r>
              <w:rPr>
                <w:spacing w:val="10"/>
                <w:sz w:val="17"/>
                <w:szCs w:val="17"/>
              </w:rPr>
              <w:t>铅（以</w:t>
            </w:r>
            <w:r>
              <w:rPr>
                <w:sz w:val="17"/>
                <w:szCs w:val="17"/>
              </w:rPr>
              <w:t>Pb</w:t>
            </w:r>
            <w:r>
              <w:rPr>
                <w:spacing w:val="10"/>
                <w:sz w:val="17"/>
                <w:szCs w:val="17"/>
              </w:rPr>
              <w:t>计）、铬（以</w:t>
            </w:r>
            <w:r>
              <w:rPr>
                <w:sz w:val="17"/>
                <w:szCs w:val="17"/>
              </w:rPr>
              <w:t>Cr</w:t>
            </w:r>
            <w:r>
              <w:rPr>
                <w:spacing w:val="10"/>
                <w:sz w:val="17"/>
                <w:szCs w:val="17"/>
              </w:rPr>
              <w:t>计）、赭曲霉毒素A</w:t>
            </w:r>
          </w:p>
        </w:tc>
      </w:tr>
      <w:tr w14:paraId="3985D4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459" w:type="dxa"/>
            <w:vMerge w:val="continue"/>
            <w:tcBorders>
              <w:top w:val="nil"/>
              <w:bottom w:val="nil"/>
            </w:tcBorders>
            <w:vAlign w:val="top"/>
          </w:tcPr>
          <w:p w14:paraId="39C220A6">
            <w:pPr>
              <w:rPr>
                <w:rFonts w:ascii="Arial"/>
                <w:sz w:val="21"/>
              </w:rPr>
            </w:pPr>
          </w:p>
        </w:tc>
        <w:tc>
          <w:tcPr>
            <w:tcW w:w="942" w:type="dxa"/>
            <w:vMerge w:val="continue"/>
            <w:tcBorders>
              <w:top w:val="nil"/>
              <w:bottom w:val="nil"/>
            </w:tcBorders>
            <w:vAlign w:val="top"/>
          </w:tcPr>
          <w:p w14:paraId="7DF21302">
            <w:pPr>
              <w:rPr>
                <w:rFonts w:ascii="Arial"/>
                <w:sz w:val="21"/>
              </w:rPr>
            </w:pPr>
          </w:p>
        </w:tc>
        <w:tc>
          <w:tcPr>
            <w:tcW w:w="1360" w:type="dxa"/>
            <w:vMerge w:val="continue"/>
            <w:tcBorders>
              <w:top w:val="nil"/>
              <w:bottom w:val="nil"/>
            </w:tcBorders>
            <w:vAlign w:val="top"/>
          </w:tcPr>
          <w:p w14:paraId="66484166">
            <w:pPr>
              <w:rPr>
                <w:rFonts w:ascii="Arial"/>
                <w:sz w:val="21"/>
              </w:rPr>
            </w:pPr>
          </w:p>
        </w:tc>
        <w:tc>
          <w:tcPr>
            <w:tcW w:w="1581" w:type="dxa"/>
            <w:vMerge w:val="restart"/>
            <w:tcBorders>
              <w:bottom w:val="nil"/>
            </w:tcBorders>
            <w:vAlign w:val="top"/>
          </w:tcPr>
          <w:p w14:paraId="18B0F1F0">
            <w:pPr>
              <w:spacing w:line="253" w:lineRule="auto"/>
              <w:rPr>
                <w:rFonts w:ascii="Arial"/>
                <w:sz w:val="21"/>
              </w:rPr>
            </w:pPr>
          </w:p>
          <w:p w14:paraId="3FF154E5">
            <w:pPr>
              <w:spacing w:line="253" w:lineRule="auto"/>
              <w:rPr>
                <w:rFonts w:ascii="Arial"/>
                <w:sz w:val="21"/>
              </w:rPr>
            </w:pPr>
          </w:p>
          <w:p w14:paraId="0C10CB93">
            <w:pPr>
              <w:spacing w:line="253" w:lineRule="auto"/>
              <w:rPr>
                <w:rFonts w:ascii="Arial"/>
                <w:sz w:val="21"/>
              </w:rPr>
            </w:pPr>
          </w:p>
          <w:p w14:paraId="0FD491CB">
            <w:pPr>
              <w:spacing w:line="254" w:lineRule="auto"/>
              <w:rPr>
                <w:rFonts w:ascii="Arial"/>
                <w:sz w:val="21"/>
              </w:rPr>
            </w:pPr>
          </w:p>
          <w:p w14:paraId="3186097B">
            <w:pPr>
              <w:spacing w:line="254" w:lineRule="auto"/>
              <w:rPr>
                <w:rFonts w:ascii="Arial"/>
                <w:sz w:val="21"/>
              </w:rPr>
            </w:pPr>
          </w:p>
          <w:p w14:paraId="7C54DC05">
            <w:pPr>
              <w:pStyle w:val="51"/>
              <w:spacing w:before="56" w:line="227" w:lineRule="auto"/>
              <w:ind w:left="169"/>
              <w:rPr>
                <w:sz w:val="17"/>
                <w:szCs w:val="17"/>
              </w:rPr>
            </w:pPr>
            <w:r>
              <w:rPr>
                <w:spacing w:val="8"/>
                <w:sz w:val="17"/>
                <w:szCs w:val="17"/>
              </w:rPr>
              <w:t>谷物粉类制成品</w:t>
            </w:r>
          </w:p>
        </w:tc>
        <w:tc>
          <w:tcPr>
            <w:tcW w:w="1586" w:type="dxa"/>
            <w:vAlign w:val="top"/>
          </w:tcPr>
          <w:p w14:paraId="3F58FA43">
            <w:pPr>
              <w:pStyle w:val="51"/>
              <w:spacing w:before="215" w:line="227" w:lineRule="auto"/>
              <w:ind w:left="362"/>
              <w:rPr>
                <w:sz w:val="17"/>
                <w:szCs w:val="17"/>
              </w:rPr>
            </w:pPr>
            <w:r>
              <w:rPr>
                <w:spacing w:val="5"/>
                <w:sz w:val="17"/>
                <w:szCs w:val="17"/>
              </w:rPr>
              <w:t>生湿面制品</w:t>
            </w:r>
          </w:p>
        </w:tc>
        <w:tc>
          <w:tcPr>
            <w:tcW w:w="682" w:type="dxa"/>
            <w:vAlign w:val="top"/>
          </w:tcPr>
          <w:p w14:paraId="2174D1F4">
            <w:pPr>
              <w:pStyle w:val="51"/>
              <w:spacing w:before="215" w:line="227" w:lineRule="auto"/>
              <w:ind w:left="170"/>
              <w:rPr>
                <w:sz w:val="17"/>
                <w:szCs w:val="17"/>
              </w:rPr>
            </w:pPr>
            <w:r>
              <w:rPr>
                <w:spacing w:val="3"/>
                <w:sz w:val="17"/>
                <w:szCs w:val="17"/>
              </w:rPr>
              <w:t>较高</w:t>
            </w:r>
          </w:p>
        </w:tc>
        <w:tc>
          <w:tcPr>
            <w:tcW w:w="8563" w:type="dxa"/>
            <w:vAlign w:val="top"/>
          </w:tcPr>
          <w:p w14:paraId="62D9A8C3">
            <w:pPr>
              <w:pStyle w:val="51"/>
              <w:spacing w:before="76" w:line="257" w:lineRule="auto"/>
              <w:ind w:left="37" w:right="72"/>
              <w:rPr>
                <w:sz w:val="17"/>
                <w:szCs w:val="17"/>
              </w:rPr>
            </w:pPr>
            <w:r>
              <w:rPr>
                <w:spacing w:val="10"/>
                <w:sz w:val="17"/>
                <w:szCs w:val="17"/>
              </w:rPr>
              <w:t>铅（以</w:t>
            </w:r>
            <w:r>
              <w:rPr>
                <w:sz w:val="17"/>
                <w:szCs w:val="17"/>
              </w:rPr>
              <w:t>Pb</w:t>
            </w:r>
            <w:r>
              <w:rPr>
                <w:spacing w:val="10"/>
                <w:sz w:val="17"/>
                <w:szCs w:val="17"/>
              </w:rPr>
              <w:t>计）、苯甲酸及其钠盐（以苯甲酸计）、山梨酸及其钾盐（以山梨酸计）、脱氢乙酸及其钠</w:t>
            </w:r>
            <w:r>
              <w:rPr>
                <w:spacing w:val="9"/>
                <w:sz w:val="17"/>
                <w:szCs w:val="17"/>
              </w:rPr>
              <w:t>盐（以脱氢乙酸计）、二氧化硫残留量、合成着色剂</w:t>
            </w:r>
            <w:r>
              <w:rPr>
                <w:spacing w:val="8"/>
                <w:sz w:val="17"/>
                <w:szCs w:val="17"/>
              </w:rPr>
              <w:t>（柠檬黄）</w:t>
            </w:r>
          </w:p>
        </w:tc>
      </w:tr>
      <w:tr w14:paraId="5F6F3B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1" w:hRule="atLeast"/>
        </w:trPr>
        <w:tc>
          <w:tcPr>
            <w:tcW w:w="459" w:type="dxa"/>
            <w:vMerge w:val="continue"/>
            <w:tcBorders>
              <w:top w:val="nil"/>
              <w:bottom w:val="nil"/>
            </w:tcBorders>
            <w:vAlign w:val="top"/>
          </w:tcPr>
          <w:p w14:paraId="689AB17D">
            <w:pPr>
              <w:rPr>
                <w:rFonts w:ascii="Arial"/>
                <w:sz w:val="21"/>
              </w:rPr>
            </w:pPr>
          </w:p>
        </w:tc>
        <w:tc>
          <w:tcPr>
            <w:tcW w:w="942" w:type="dxa"/>
            <w:vMerge w:val="continue"/>
            <w:tcBorders>
              <w:top w:val="nil"/>
              <w:bottom w:val="nil"/>
            </w:tcBorders>
            <w:vAlign w:val="top"/>
          </w:tcPr>
          <w:p w14:paraId="26544571">
            <w:pPr>
              <w:rPr>
                <w:rFonts w:ascii="Arial"/>
                <w:sz w:val="21"/>
              </w:rPr>
            </w:pPr>
          </w:p>
        </w:tc>
        <w:tc>
          <w:tcPr>
            <w:tcW w:w="1360" w:type="dxa"/>
            <w:vMerge w:val="continue"/>
            <w:tcBorders>
              <w:top w:val="nil"/>
              <w:bottom w:val="nil"/>
            </w:tcBorders>
            <w:vAlign w:val="top"/>
          </w:tcPr>
          <w:p w14:paraId="592527DF">
            <w:pPr>
              <w:rPr>
                <w:rFonts w:ascii="Arial"/>
                <w:sz w:val="21"/>
              </w:rPr>
            </w:pPr>
          </w:p>
        </w:tc>
        <w:tc>
          <w:tcPr>
            <w:tcW w:w="1581" w:type="dxa"/>
            <w:vMerge w:val="continue"/>
            <w:tcBorders>
              <w:top w:val="nil"/>
              <w:bottom w:val="nil"/>
            </w:tcBorders>
            <w:vAlign w:val="top"/>
          </w:tcPr>
          <w:p w14:paraId="414B06ED">
            <w:pPr>
              <w:rPr>
                <w:rFonts w:ascii="Arial"/>
                <w:sz w:val="21"/>
              </w:rPr>
            </w:pPr>
          </w:p>
        </w:tc>
        <w:tc>
          <w:tcPr>
            <w:tcW w:w="1586" w:type="dxa"/>
            <w:vAlign w:val="top"/>
          </w:tcPr>
          <w:p w14:paraId="457215F7">
            <w:pPr>
              <w:spacing w:line="258" w:lineRule="auto"/>
              <w:rPr>
                <w:rFonts w:ascii="Arial"/>
                <w:sz w:val="21"/>
              </w:rPr>
            </w:pPr>
          </w:p>
          <w:p w14:paraId="41B1A964">
            <w:pPr>
              <w:pStyle w:val="51"/>
              <w:spacing w:before="55" w:line="227" w:lineRule="auto"/>
              <w:ind w:left="357"/>
              <w:rPr>
                <w:sz w:val="17"/>
                <w:szCs w:val="17"/>
              </w:rPr>
            </w:pPr>
            <w:r>
              <w:rPr>
                <w:spacing w:val="6"/>
                <w:sz w:val="17"/>
                <w:szCs w:val="17"/>
              </w:rPr>
              <w:t>发酵面制品</w:t>
            </w:r>
          </w:p>
        </w:tc>
        <w:tc>
          <w:tcPr>
            <w:tcW w:w="682" w:type="dxa"/>
            <w:vAlign w:val="top"/>
          </w:tcPr>
          <w:p w14:paraId="4005C4E6">
            <w:pPr>
              <w:spacing w:line="258" w:lineRule="auto"/>
              <w:rPr>
                <w:rFonts w:ascii="Arial"/>
                <w:sz w:val="21"/>
              </w:rPr>
            </w:pPr>
          </w:p>
          <w:p w14:paraId="402F6F6F">
            <w:pPr>
              <w:pStyle w:val="51"/>
              <w:spacing w:before="55" w:line="227" w:lineRule="auto"/>
              <w:ind w:left="170"/>
              <w:rPr>
                <w:sz w:val="17"/>
                <w:szCs w:val="17"/>
              </w:rPr>
            </w:pPr>
            <w:r>
              <w:rPr>
                <w:spacing w:val="3"/>
                <w:sz w:val="17"/>
                <w:szCs w:val="17"/>
              </w:rPr>
              <w:t>较高</w:t>
            </w:r>
          </w:p>
        </w:tc>
        <w:tc>
          <w:tcPr>
            <w:tcW w:w="8563" w:type="dxa"/>
            <w:vAlign w:val="top"/>
          </w:tcPr>
          <w:p w14:paraId="507E095F">
            <w:pPr>
              <w:pStyle w:val="51"/>
              <w:spacing w:before="57" w:line="251" w:lineRule="auto"/>
              <w:ind w:left="37" w:right="72" w:firstLine="2"/>
              <w:rPr>
                <w:sz w:val="17"/>
                <w:szCs w:val="17"/>
              </w:rPr>
            </w:pPr>
            <w:r>
              <w:rPr>
                <w:spacing w:val="9"/>
                <w:sz w:val="17"/>
                <w:szCs w:val="17"/>
              </w:rPr>
              <w:t>苯甲酸及其钠盐（以苯甲酸计）、山梨酸及其钾盐（以山梨酸计）、脱氢乙酸及其钠盐（以脱氢乙酸计</w:t>
            </w:r>
            <w:r>
              <w:rPr>
                <w:spacing w:val="8"/>
                <w:sz w:val="17"/>
                <w:szCs w:val="17"/>
              </w:rPr>
              <w:t>）、</w:t>
            </w:r>
            <w:r>
              <w:rPr>
                <w:spacing w:val="10"/>
                <w:sz w:val="17"/>
                <w:szCs w:val="17"/>
              </w:rPr>
              <w:t>糖精钠（以糖精计）、甜蜜素（以环己基氨基磺酸计）、安赛蜜、合成着色剂</w:t>
            </w:r>
            <w:r>
              <w:rPr>
                <w:spacing w:val="9"/>
                <w:sz w:val="17"/>
                <w:szCs w:val="17"/>
              </w:rPr>
              <w:t>（柠檬黄、胭脂红）、菌落总</w:t>
            </w:r>
            <w:r>
              <w:rPr>
                <w:spacing w:val="8"/>
                <w:sz w:val="17"/>
                <w:szCs w:val="17"/>
              </w:rPr>
              <w:t>数、大肠菌群、铅（以</w:t>
            </w:r>
            <w:r>
              <w:rPr>
                <w:sz w:val="17"/>
                <w:szCs w:val="17"/>
              </w:rPr>
              <w:t>Pb</w:t>
            </w:r>
            <w:r>
              <w:rPr>
                <w:spacing w:val="8"/>
                <w:sz w:val="17"/>
                <w:szCs w:val="17"/>
              </w:rPr>
              <w:t>计）</w:t>
            </w:r>
          </w:p>
        </w:tc>
      </w:tr>
      <w:tr w14:paraId="6E9C8C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459" w:type="dxa"/>
            <w:vMerge w:val="continue"/>
            <w:tcBorders>
              <w:top w:val="nil"/>
              <w:bottom w:val="nil"/>
            </w:tcBorders>
            <w:vAlign w:val="top"/>
          </w:tcPr>
          <w:p w14:paraId="245CE468">
            <w:pPr>
              <w:rPr>
                <w:rFonts w:ascii="Arial"/>
                <w:sz w:val="21"/>
              </w:rPr>
            </w:pPr>
          </w:p>
        </w:tc>
        <w:tc>
          <w:tcPr>
            <w:tcW w:w="942" w:type="dxa"/>
            <w:vMerge w:val="continue"/>
            <w:tcBorders>
              <w:top w:val="nil"/>
              <w:bottom w:val="nil"/>
            </w:tcBorders>
            <w:vAlign w:val="top"/>
          </w:tcPr>
          <w:p w14:paraId="690C655B">
            <w:pPr>
              <w:rPr>
                <w:rFonts w:ascii="Arial"/>
                <w:sz w:val="21"/>
              </w:rPr>
            </w:pPr>
          </w:p>
        </w:tc>
        <w:tc>
          <w:tcPr>
            <w:tcW w:w="1360" w:type="dxa"/>
            <w:vMerge w:val="continue"/>
            <w:tcBorders>
              <w:top w:val="nil"/>
              <w:bottom w:val="nil"/>
            </w:tcBorders>
            <w:vAlign w:val="top"/>
          </w:tcPr>
          <w:p w14:paraId="6555FAA5">
            <w:pPr>
              <w:rPr>
                <w:rFonts w:ascii="Arial"/>
                <w:sz w:val="21"/>
              </w:rPr>
            </w:pPr>
          </w:p>
        </w:tc>
        <w:tc>
          <w:tcPr>
            <w:tcW w:w="1581" w:type="dxa"/>
            <w:vMerge w:val="continue"/>
            <w:tcBorders>
              <w:top w:val="nil"/>
              <w:bottom w:val="nil"/>
            </w:tcBorders>
            <w:vAlign w:val="top"/>
          </w:tcPr>
          <w:p w14:paraId="598ACADD">
            <w:pPr>
              <w:rPr>
                <w:rFonts w:ascii="Arial"/>
                <w:sz w:val="21"/>
              </w:rPr>
            </w:pPr>
          </w:p>
        </w:tc>
        <w:tc>
          <w:tcPr>
            <w:tcW w:w="1586" w:type="dxa"/>
            <w:vAlign w:val="top"/>
          </w:tcPr>
          <w:p w14:paraId="74AF70DA">
            <w:pPr>
              <w:spacing w:line="241" w:lineRule="auto"/>
              <w:rPr>
                <w:rFonts w:ascii="Arial"/>
                <w:sz w:val="21"/>
              </w:rPr>
            </w:pPr>
          </w:p>
          <w:p w14:paraId="30FCB920">
            <w:pPr>
              <w:pStyle w:val="51"/>
              <w:spacing w:before="55" w:line="227" w:lineRule="auto"/>
              <w:ind w:left="443"/>
              <w:rPr>
                <w:sz w:val="17"/>
                <w:szCs w:val="17"/>
              </w:rPr>
            </w:pPr>
            <w:r>
              <w:rPr>
                <w:spacing w:val="6"/>
                <w:sz w:val="17"/>
                <w:szCs w:val="17"/>
              </w:rPr>
              <w:t>米粉制品</w:t>
            </w:r>
          </w:p>
        </w:tc>
        <w:tc>
          <w:tcPr>
            <w:tcW w:w="682" w:type="dxa"/>
            <w:vAlign w:val="top"/>
          </w:tcPr>
          <w:p w14:paraId="64EB7B58">
            <w:pPr>
              <w:spacing w:line="241" w:lineRule="auto"/>
              <w:rPr>
                <w:rFonts w:ascii="Arial"/>
                <w:sz w:val="21"/>
              </w:rPr>
            </w:pPr>
          </w:p>
          <w:p w14:paraId="4629B0F8">
            <w:pPr>
              <w:pStyle w:val="51"/>
              <w:spacing w:before="55" w:line="227" w:lineRule="auto"/>
              <w:ind w:left="170"/>
              <w:rPr>
                <w:sz w:val="17"/>
                <w:szCs w:val="17"/>
              </w:rPr>
            </w:pPr>
            <w:r>
              <w:rPr>
                <w:spacing w:val="3"/>
                <w:sz w:val="17"/>
                <w:szCs w:val="17"/>
              </w:rPr>
              <w:t>较高</w:t>
            </w:r>
          </w:p>
        </w:tc>
        <w:tc>
          <w:tcPr>
            <w:tcW w:w="8563" w:type="dxa"/>
            <w:vAlign w:val="top"/>
          </w:tcPr>
          <w:p w14:paraId="03C9AE61">
            <w:pPr>
              <w:pStyle w:val="51"/>
              <w:spacing w:before="41" w:line="223" w:lineRule="auto"/>
              <w:ind w:left="39"/>
              <w:rPr>
                <w:sz w:val="17"/>
                <w:szCs w:val="17"/>
              </w:rPr>
            </w:pPr>
            <w:r>
              <w:rPr>
                <w:spacing w:val="9"/>
                <w:sz w:val="17"/>
                <w:szCs w:val="17"/>
              </w:rPr>
              <w:t>苯甲酸及其钠盐（以苯甲酸计）、山梨酸及其钾盐（以山梨酸计）、脱氢乙酸及其钠盐（以脱氢乙酸计</w:t>
            </w:r>
            <w:r>
              <w:rPr>
                <w:spacing w:val="8"/>
                <w:sz w:val="17"/>
                <w:szCs w:val="17"/>
              </w:rPr>
              <w:t>）、</w:t>
            </w:r>
          </w:p>
          <w:p w14:paraId="39071903">
            <w:pPr>
              <w:pStyle w:val="51"/>
              <w:spacing w:before="34" w:line="235" w:lineRule="auto"/>
              <w:ind w:left="37" w:right="26" w:firstLine="5"/>
              <w:rPr>
                <w:sz w:val="17"/>
                <w:szCs w:val="17"/>
              </w:rPr>
            </w:pPr>
            <w:r>
              <w:rPr>
                <w:spacing w:val="6"/>
                <w:sz w:val="17"/>
                <w:szCs w:val="17"/>
              </w:rPr>
              <w:t>二氧化硫残留量、合成着色剂（柠檬黄、</w:t>
            </w:r>
            <w:r>
              <w:rPr>
                <w:spacing w:val="-41"/>
                <w:sz w:val="17"/>
                <w:szCs w:val="17"/>
              </w:rPr>
              <w:t xml:space="preserve"> </w:t>
            </w:r>
            <w:r>
              <w:rPr>
                <w:spacing w:val="6"/>
                <w:sz w:val="17"/>
                <w:szCs w:val="17"/>
              </w:rPr>
              <w:t>日落黄、喹啉黄、亮蓝、靛蓝）、菌落总数、大肠菌群</w:t>
            </w:r>
            <w:r>
              <w:rPr>
                <w:spacing w:val="5"/>
                <w:sz w:val="17"/>
                <w:szCs w:val="17"/>
              </w:rPr>
              <w:t>、甜蜜素（以</w:t>
            </w:r>
            <w:r>
              <w:rPr>
                <w:spacing w:val="6"/>
                <w:sz w:val="17"/>
                <w:szCs w:val="17"/>
              </w:rPr>
              <w:t>环己基氨基磺酸计）</w:t>
            </w:r>
          </w:p>
        </w:tc>
      </w:tr>
      <w:tr w14:paraId="2F8C31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6" w:hRule="atLeast"/>
        </w:trPr>
        <w:tc>
          <w:tcPr>
            <w:tcW w:w="459" w:type="dxa"/>
            <w:vMerge w:val="continue"/>
            <w:tcBorders>
              <w:top w:val="nil"/>
            </w:tcBorders>
            <w:vAlign w:val="top"/>
          </w:tcPr>
          <w:p w14:paraId="350625B2">
            <w:pPr>
              <w:rPr>
                <w:rFonts w:ascii="Arial"/>
                <w:sz w:val="21"/>
              </w:rPr>
            </w:pPr>
          </w:p>
        </w:tc>
        <w:tc>
          <w:tcPr>
            <w:tcW w:w="942" w:type="dxa"/>
            <w:vMerge w:val="continue"/>
            <w:tcBorders>
              <w:top w:val="nil"/>
            </w:tcBorders>
            <w:vAlign w:val="top"/>
          </w:tcPr>
          <w:p w14:paraId="40579CE2">
            <w:pPr>
              <w:rPr>
                <w:rFonts w:ascii="Arial"/>
                <w:sz w:val="21"/>
              </w:rPr>
            </w:pPr>
          </w:p>
        </w:tc>
        <w:tc>
          <w:tcPr>
            <w:tcW w:w="1360" w:type="dxa"/>
            <w:vMerge w:val="continue"/>
            <w:tcBorders>
              <w:top w:val="nil"/>
            </w:tcBorders>
            <w:vAlign w:val="top"/>
          </w:tcPr>
          <w:p w14:paraId="4C75F5D8">
            <w:pPr>
              <w:rPr>
                <w:rFonts w:ascii="Arial"/>
                <w:sz w:val="21"/>
              </w:rPr>
            </w:pPr>
          </w:p>
        </w:tc>
        <w:tc>
          <w:tcPr>
            <w:tcW w:w="1581" w:type="dxa"/>
            <w:vMerge w:val="continue"/>
            <w:tcBorders>
              <w:top w:val="nil"/>
            </w:tcBorders>
            <w:vAlign w:val="top"/>
          </w:tcPr>
          <w:p w14:paraId="0855C3CA">
            <w:pPr>
              <w:rPr>
                <w:rFonts w:ascii="Arial"/>
                <w:sz w:val="21"/>
              </w:rPr>
            </w:pPr>
          </w:p>
        </w:tc>
        <w:tc>
          <w:tcPr>
            <w:tcW w:w="1586" w:type="dxa"/>
            <w:vAlign w:val="top"/>
          </w:tcPr>
          <w:p w14:paraId="698200C2">
            <w:pPr>
              <w:pStyle w:val="51"/>
              <w:spacing w:before="154" w:line="227" w:lineRule="auto"/>
              <w:ind w:left="82"/>
              <w:rPr>
                <w:sz w:val="17"/>
                <w:szCs w:val="17"/>
              </w:rPr>
            </w:pPr>
            <w:r>
              <w:rPr>
                <w:spacing w:val="8"/>
                <w:sz w:val="17"/>
                <w:szCs w:val="17"/>
              </w:rPr>
              <w:t>其他谷物粉类制成</w:t>
            </w:r>
          </w:p>
          <w:p w14:paraId="55D9B2D6">
            <w:pPr>
              <w:pStyle w:val="51"/>
              <w:spacing w:before="91" w:line="241" w:lineRule="auto"/>
              <w:ind w:left="731"/>
              <w:rPr>
                <w:sz w:val="17"/>
                <w:szCs w:val="17"/>
              </w:rPr>
            </w:pPr>
            <w:r>
              <w:rPr>
                <w:sz w:val="17"/>
                <w:szCs w:val="17"/>
              </w:rPr>
              <w:t>品</w:t>
            </w:r>
          </w:p>
        </w:tc>
        <w:tc>
          <w:tcPr>
            <w:tcW w:w="682" w:type="dxa"/>
            <w:vAlign w:val="top"/>
          </w:tcPr>
          <w:p w14:paraId="1A26B87C">
            <w:pPr>
              <w:spacing w:line="246" w:lineRule="auto"/>
              <w:rPr>
                <w:rFonts w:ascii="Arial"/>
                <w:sz w:val="21"/>
              </w:rPr>
            </w:pPr>
          </w:p>
          <w:p w14:paraId="131A15C6">
            <w:pPr>
              <w:pStyle w:val="51"/>
              <w:spacing w:before="56" w:line="227" w:lineRule="auto"/>
              <w:ind w:left="170"/>
              <w:rPr>
                <w:sz w:val="17"/>
                <w:szCs w:val="17"/>
              </w:rPr>
            </w:pPr>
            <w:r>
              <w:rPr>
                <w:spacing w:val="3"/>
                <w:sz w:val="17"/>
                <w:szCs w:val="17"/>
              </w:rPr>
              <w:t>较高</w:t>
            </w:r>
          </w:p>
        </w:tc>
        <w:tc>
          <w:tcPr>
            <w:tcW w:w="8563" w:type="dxa"/>
            <w:vAlign w:val="top"/>
          </w:tcPr>
          <w:p w14:paraId="18898CFA">
            <w:pPr>
              <w:pStyle w:val="51"/>
              <w:spacing w:before="155" w:line="310" w:lineRule="auto"/>
              <w:ind w:left="41" w:right="26" w:hanging="4"/>
              <w:rPr>
                <w:sz w:val="17"/>
                <w:szCs w:val="17"/>
              </w:rPr>
            </w:pPr>
            <w:r>
              <w:rPr>
                <w:spacing w:val="7"/>
                <w:sz w:val="17"/>
                <w:szCs w:val="17"/>
              </w:rPr>
              <w:t>黄曲霉毒素B</w:t>
            </w:r>
            <w:r>
              <w:rPr>
                <w:spacing w:val="7"/>
                <w:position w:val="-2"/>
                <w:sz w:val="8"/>
                <w:szCs w:val="8"/>
              </w:rPr>
              <w:t>1</w:t>
            </w:r>
            <w:r>
              <w:rPr>
                <w:spacing w:val="-6"/>
                <w:position w:val="-2"/>
                <w:sz w:val="8"/>
                <w:szCs w:val="8"/>
              </w:rPr>
              <w:t xml:space="preserve"> </w:t>
            </w:r>
            <w:r>
              <w:rPr>
                <w:spacing w:val="7"/>
                <w:sz w:val="17"/>
                <w:szCs w:val="17"/>
              </w:rPr>
              <w:t>、苯甲酸及其钠盐（以苯甲酸计）、山梨酸及其钾盐（以山梨酸计）、脱氢乙酸及其钠盐（以脱</w:t>
            </w:r>
            <w:r>
              <w:rPr>
                <w:spacing w:val="6"/>
                <w:sz w:val="17"/>
                <w:szCs w:val="17"/>
              </w:rPr>
              <w:t>氢乙酸计）、菌落总数、大肠菌群、</w:t>
            </w:r>
            <w:r>
              <w:rPr>
                <w:spacing w:val="50"/>
                <w:sz w:val="17"/>
                <w:szCs w:val="17"/>
              </w:rPr>
              <w:t xml:space="preserve"> </w:t>
            </w:r>
            <w:r>
              <w:rPr>
                <w:spacing w:val="6"/>
                <w:sz w:val="17"/>
                <w:szCs w:val="17"/>
              </w:rPr>
              <w:t>合成着色剂（柠檬黄、日落黄、胭脂红、苋</w:t>
            </w:r>
            <w:r>
              <w:rPr>
                <w:spacing w:val="5"/>
                <w:sz w:val="17"/>
                <w:szCs w:val="17"/>
              </w:rPr>
              <w:t>菜红、亮蓝）</w:t>
            </w:r>
          </w:p>
        </w:tc>
      </w:tr>
    </w:tbl>
    <w:p w14:paraId="583F358C">
      <w:pPr>
        <w:spacing w:line="210" w:lineRule="exact"/>
      </w:pPr>
    </w:p>
    <w:p w14:paraId="2978FC8B">
      <w:pPr>
        <w:rPr>
          <w:rFonts w:ascii="Arial" w:hAnsi="Arial" w:eastAsia="Arial" w:cs="Arial"/>
          <w:sz w:val="21"/>
          <w:szCs w:val="21"/>
        </w:rPr>
        <w:sectPr>
          <w:headerReference r:id="rId7" w:type="default"/>
          <w:footerReference r:id="rId8" w:type="default"/>
          <w:pgSz w:w="16838" w:h="11906"/>
          <w:pgMar w:top="1011" w:right="829" w:bottom="400" w:left="366" w:header="567" w:footer="567" w:gutter="0"/>
          <w:pgNumType w:fmt="decimal"/>
          <w:cols w:space="720" w:num="1"/>
        </w:sectPr>
      </w:pPr>
    </w:p>
    <w:p w14:paraId="0B7CC936">
      <w:pPr>
        <w:spacing w:before="18"/>
      </w:pPr>
    </w:p>
    <w:p w14:paraId="32089ACA">
      <w:pPr>
        <w:spacing w:before="18"/>
      </w:pPr>
    </w:p>
    <w:tbl>
      <w:tblPr>
        <w:tblStyle w:val="50"/>
        <w:tblW w:w="15173" w:type="dxa"/>
        <w:tblInd w:w="46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59"/>
        <w:gridCol w:w="942"/>
        <w:gridCol w:w="1360"/>
        <w:gridCol w:w="1581"/>
        <w:gridCol w:w="1586"/>
        <w:gridCol w:w="682"/>
        <w:gridCol w:w="8563"/>
      </w:tblGrid>
      <w:tr w14:paraId="6EDA62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459" w:type="dxa"/>
            <w:vAlign w:val="top"/>
          </w:tcPr>
          <w:p w14:paraId="7B631CE9">
            <w:pPr>
              <w:spacing w:before="241" w:line="234" w:lineRule="auto"/>
              <w:ind w:left="52"/>
              <w:rPr>
                <w:rFonts w:ascii="黑体" w:hAnsi="黑体" w:eastAsia="黑体" w:cs="黑体"/>
                <w:sz w:val="17"/>
                <w:szCs w:val="17"/>
              </w:rPr>
            </w:pPr>
            <w:r>
              <w:rPr>
                <w:rFonts w:ascii="黑体" w:hAnsi="黑体" w:eastAsia="黑体" w:cs="黑体"/>
                <w:spacing w:val="6"/>
                <w:sz w:val="17"/>
                <w:szCs w:val="17"/>
              </w:rPr>
              <w:t>序号</w:t>
            </w:r>
          </w:p>
        </w:tc>
        <w:tc>
          <w:tcPr>
            <w:tcW w:w="942" w:type="dxa"/>
            <w:vAlign w:val="top"/>
          </w:tcPr>
          <w:p w14:paraId="5F431B41">
            <w:pPr>
              <w:spacing w:before="90" w:line="232" w:lineRule="auto"/>
              <w:ind w:left="111"/>
              <w:rPr>
                <w:rFonts w:ascii="黑体" w:hAnsi="黑体" w:eastAsia="黑体" w:cs="黑体"/>
                <w:sz w:val="17"/>
                <w:szCs w:val="17"/>
              </w:rPr>
            </w:pPr>
            <w:r>
              <w:rPr>
                <w:rFonts w:ascii="黑体" w:hAnsi="黑体" w:eastAsia="黑体" w:cs="黑体"/>
                <w:spacing w:val="8"/>
                <w:sz w:val="17"/>
                <w:szCs w:val="17"/>
              </w:rPr>
              <w:t>食品大类</w:t>
            </w:r>
          </w:p>
          <w:p w14:paraId="2AFB473E">
            <w:pPr>
              <w:spacing w:before="86" w:line="227" w:lineRule="auto"/>
              <w:ind w:left="237"/>
              <w:rPr>
                <w:rFonts w:ascii="黑体" w:hAnsi="黑体" w:eastAsia="黑体" w:cs="黑体"/>
                <w:sz w:val="17"/>
                <w:szCs w:val="17"/>
              </w:rPr>
            </w:pPr>
            <w:r>
              <w:rPr>
                <w:rFonts w:ascii="黑体" w:hAnsi="黑体" w:eastAsia="黑体" w:cs="黑体"/>
                <w:spacing w:val="-4"/>
                <w:sz w:val="17"/>
                <w:szCs w:val="17"/>
              </w:rPr>
              <w:t>(一级)</w:t>
            </w:r>
          </w:p>
        </w:tc>
        <w:tc>
          <w:tcPr>
            <w:tcW w:w="1360" w:type="dxa"/>
            <w:vAlign w:val="top"/>
          </w:tcPr>
          <w:p w14:paraId="362EBB6B">
            <w:pPr>
              <w:spacing w:before="90" w:line="232" w:lineRule="auto"/>
              <w:ind w:left="321"/>
              <w:rPr>
                <w:rFonts w:ascii="黑体" w:hAnsi="黑体" w:eastAsia="黑体" w:cs="黑体"/>
                <w:sz w:val="17"/>
                <w:szCs w:val="17"/>
              </w:rPr>
            </w:pPr>
            <w:r>
              <w:rPr>
                <w:rFonts w:ascii="黑体" w:hAnsi="黑体" w:eastAsia="黑体" w:cs="黑体"/>
                <w:spacing w:val="8"/>
                <w:sz w:val="17"/>
                <w:szCs w:val="17"/>
              </w:rPr>
              <w:t>食品亚类</w:t>
            </w:r>
          </w:p>
          <w:p w14:paraId="585BAC4F">
            <w:pPr>
              <w:spacing w:before="86" w:line="227" w:lineRule="auto"/>
              <w:ind w:left="444"/>
              <w:rPr>
                <w:rFonts w:ascii="黑体" w:hAnsi="黑体" w:eastAsia="黑体" w:cs="黑体"/>
                <w:sz w:val="17"/>
                <w:szCs w:val="17"/>
              </w:rPr>
            </w:pPr>
            <w:r>
              <w:rPr>
                <w:rFonts w:ascii="黑体" w:hAnsi="黑体" w:eastAsia="黑体" w:cs="黑体"/>
                <w:spacing w:val="-3"/>
                <w:sz w:val="17"/>
                <w:szCs w:val="17"/>
              </w:rPr>
              <w:t>(二级)</w:t>
            </w:r>
          </w:p>
        </w:tc>
        <w:tc>
          <w:tcPr>
            <w:tcW w:w="1581" w:type="dxa"/>
            <w:vAlign w:val="top"/>
          </w:tcPr>
          <w:p w14:paraId="129D3DC8">
            <w:pPr>
              <w:spacing w:before="90" w:line="232" w:lineRule="auto"/>
              <w:ind w:left="433"/>
              <w:rPr>
                <w:rFonts w:ascii="黑体" w:hAnsi="黑体" w:eastAsia="黑体" w:cs="黑体"/>
                <w:sz w:val="17"/>
                <w:szCs w:val="17"/>
              </w:rPr>
            </w:pPr>
            <w:r>
              <w:rPr>
                <w:rFonts w:ascii="黑体" w:hAnsi="黑体" w:eastAsia="黑体" w:cs="黑体"/>
                <w:spacing w:val="8"/>
                <w:sz w:val="17"/>
                <w:szCs w:val="17"/>
              </w:rPr>
              <w:t>食品品种</w:t>
            </w:r>
          </w:p>
          <w:p w14:paraId="234695AD">
            <w:pPr>
              <w:spacing w:before="86" w:line="227" w:lineRule="auto"/>
              <w:ind w:left="558"/>
              <w:rPr>
                <w:rFonts w:ascii="黑体" w:hAnsi="黑体" w:eastAsia="黑体" w:cs="黑体"/>
                <w:sz w:val="17"/>
                <w:szCs w:val="17"/>
              </w:rPr>
            </w:pPr>
            <w:r>
              <w:rPr>
                <w:rFonts w:ascii="黑体" w:hAnsi="黑体" w:eastAsia="黑体" w:cs="黑体"/>
                <w:spacing w:val="-4"/>
                <w:sz w:val="17"/>
                <w:szCs w:val="17"/>
              </w:rPr>
              <w:t>(三级)</w:t>
            </w:r>
          </w:p>
        </w:tc>
        <w:tc>
          <w:tcPr>
            <w:tcW w:w="1586" w:type="dxa"/>
            <w:vAlign w:val="top"/>
          </w:tcPr>
          <w:p w14:paraId="1936144A">
            <w:pPr>
              <w:spacing w:before="90" w:line="232" w:lineRule="auto"/>
              <w:ind w:left="436"/>
              <w:rPr>
                <w:rFonts w:ascii="黑体" w:hAnsi="黑体" w:eastAsia="黑体" w:cs="黑体"/>
                <w:sz w:val="17"/>
                <w:szCs w:val="17"/>
              </w:rPr>
            </w:pPr>
            <w:r>
              <w:rPr>
                <w:rFonts w:ascii="黑体" w:hAnsi="黑体" w:eastAsia="黑体" w:cs="黑体"/>
                <w:spacing w:val="8"/>
                <w:sz w:val="17"/>
                <w:szCs w:val="17"/>
              </w:rPr>
              <w:t>食品细类</w:t>
            </w:r>
          </w:p>
          <w:p w14:paraId="43B2E726">
            <w:pPr>
              <w:spacing w:before="86" w:line="227" w:lineRule="auto"/>
              <w:ind w:left="561"/>
              <w:rPr>
                <w:rFonts w:ascii="黑体" w:hAnsi="黑体" w:eastAsia="黑体" w:cs="黑体"/>
                <w:sz w:val="17"/>
                <w:szCs w:val="17"/>
              </w:rPr>
            </w:pPr>
            <w:r>
              <w:rPr>
                <w:rFonts w:ascii="黑体" w:hAnsi="黑体" w:eastAsia="黑体" w:cs="黑体"/>
                <w:spacing w:val="-4"/>
                <w:sz w:val="17"/>
                <w:szCs w:val="17"/>
              </w:rPr>
              <w:t>(四级)</w:t>
            </w:r>
          </w:p>
        </w:tc>
        <w:tc>
          <w:tcPr>
            <w:tcW w:w="682" w:type="dxa"/>
            <w:vAlign w:val="top"/>
          </w:tcPr>
          <w:p w14:paraId="6D89BC36">
            <w:pPr>
              <w:spacing w:before="89" w:line="233" w:lineRule="auto"/>
              <w:ind w:left="166"/>
              <w:rPr>
                <w:rFonts w:ascii="黑体" w:hAnsi="黑体" w:eastAsia="黑体" w:cs="黑体"/>
                <w:sz w:val="17"/>
                <w:szCs w:val="17"/>
              </w:rPr>
            </w:pPr>
            <w:r>
              <w:rPr>
                <w:rFonts w:ascii="黑体" w:hAnsi="黑体" w:eastAsia="黑体" w:cs="黑体"/>
                <w:spacing w:val="6"/>
                <w:sz w:val="17"/>
                <w:szCs w:val="17"/>
              </w:rPr>
              <w:t>风险</w:t>
            </w:r>
          </w:p>
          <w:p w14:paraId="3E68E5FA">
            <w:pPr>
              <w:spacing w:before="85" w:line="227" w:lineRule="auto"/>
              <w:ind w:left="163"/>
              <w:rPr>
                <w:rFonts w:ascii="黑体" w:hAnsi="黑体" w:eastAsia="黑体" w:cs="黑体"/>
                <w:sz w:val="17"/>
                <w:szCs w:val="17"/>
              </w:rPr>
            </w:pPr>
            <w:r>
              <w:rPr>
                <w:rFonts w:ascii="黑体" w:hAnsi="黑体" w:eastAsia="黑体" w:cs="黑体"/>
                <w:spacing w:val="7"/>
                <w:sz w:val="17"/>
                <w:szCs w:val="17"/>
              </w:rPr>
              <w:t>等级</w:t>
            </w:r>
          </w:p>
        </w:tc>
        <w:tc>
          <w:tcPr>
            <w:tcW w:w="8563" w:type="dxa"/>
            <w:vAlign w:val="top"/>
          </w:tcPr>
          <w:p w14:paraId="4505652F">
            <w:pPr>
              <w:spacing w:before="241" w:line="232" w:lineRule="auto"/>
              <w:ind w:left="3744"/>
              <w:rPr>
                <w:rFonts w:ascii="黑体" w:hAnsi="黑体" w:eastAsia="黑体" w:cs="黑体"/>
                <w:sz w:val="17"/>
                <w:szCs w:val="17"/>
              </w:rPr>
            </w:pPr>
            <w:r>
              <w:rPr>
                <w:rFonts w:ascii="黑体" w:hAnsi="黑体" w:eastAsia="黑体" w:cs="黑体"/>
                <w:spacing w:val="8"/>
                <w:sz w:val="17"/>
                <w:szCs w:val="17"/>
              </w:rPr>
              <w:t>监督抽检项目</w:t>
            </w:r>
          </w:p>
        </w:tc>
      </w:tr>
      <w:tr w14:paraId="001F22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459" w:type="dxa"/>
            <w:vMerge w:val="restart"/>
            <w:tcBorders>
              <w:bottom w:val="nil"/>
            </w:tcBorders>
            <w:vAlign w:val="top"/>
          </w:tcPr>
          <w:p w14:paraId="39F648DD">
            <w:pPr>
              <w:spacing w:line="254" w:lineRule="auto"/>
              <w:rPr>
                <w:rFonts w:ascii="Arial"/>
                <w:sz w:val="21"/>
              </w:rPr>
            </w:pPr>
          </w:p>
          <w:p w14:paraId="0285F32A">
            <w:pPr>
              <w:spacing w:line="254" w:lineRule="auto"/>
              <w:rPr>
                <w:rFonts w:ascii="Arial"/>
                <w:sz w:val="21"/>
              </w:rPr>
            </w:pPr>
          </w:p>
          <w:p w14:paraId="0EBF1A52">
            <w:pPr>
              <w:spacing w:line="255" w:lineRule="auto"/>
              <w:rPr>
                <w:rFonts w:ascii="Arial"/>
                <w:sz w:val="21"/>
              </w:rPr>
            </w:pPr>
          </w:p>
          <w:p w14:paraId="03075910">
            <w:pPr>
              <w:spacing w:line="255" w:lineRule="auto"/>
              <w:rPr>
                <w:rFonts w:ascii="Arial"/>
                <w:sz w:val="21"/>
              </w:rPr>
            </w:pPr>
          </w:p>
          <w:p w14:paraId="68295088">
            <w:pPr>
              <w:pStyle w:val="51"/>
              <w:spacing w:before="55" w:line="229" w:lineRule="exact"/>
              <w:ind w:left="190"/>
              <w:rPr>
                <w:sz w:val="17"/>
                <w:szCs w:val="17"/>
              </w:rPr>
            </w:pPr>
            <w:r>
              <w:rPr>
                <w:position w:val="1"/>
                <w:sz w:val="17"/>
                <w:szCs w:val="17"/>
              </w:rPr>
              <w:t>2</w:t>
            </w:r>
          </w:p>
        </w:tc>
        <w:tc>
          <w:tcPr>
            <w:tcW w:w="942" w:type="dxa"/>
            <w:vMerge w:val="restart"/>
            <w:tcBorders>
              <w:bottom w:val="nil"/>
            </w:tcBorders>
            <w:vAlign w:val="top"/>
          </w:tcPr>
          <w:p w14:paraId="4A6EE106">
            <w:pPr>
              <w:rPr>
                <w:rFonts w:ascii="Arial"/>
                <w:sz w:val="21"/>
              </w:rPr>
            </w:pPr>
          </w:p>
          <w:p w14:paraId="2105085B">
            <w:pPr>
              <w:rPr>
                <w:rFonts w:ascii="Arial"/>
                <w:sz w:val="21"/>
              </w:rPr>
            </w:pPr>
          </w:p>
          <w:p w14:paraId="67EE23FC">
            <w:pPr>
              <w:rPr>
                <w:rFonts w:ascii="Arial"/>
                <w:sz w:val="21"/>
              </w:rPr>
            </w:pPr>
          </w:p>
          <w:p w14:paraId="58B551AC">
            <w:pPr>
              <w:pStyle w:val="51"/>
              <w:spacing w:before="56" w:line="229" w:lineRule="auto"/>
              <w:ind w:left="35"/>
              <w:rPr>
                <w:sz w:val="17"/>
                <w:szCs w:val="17"/>
              </w:rPr>
            </w:pPr>
            <w:r>
              <w:rPr>
                <w:spacing w:val="5"/>
                <w:sz w:val="17"/>
                <w:szCs w:val="17"/>
              </w:rPr>
              <w:t>食用油、油</w:t>
            </w:r>
          </w:p>
          <w:p w14:paraId="6A812464">
            <w:pPr>
              <w:pStyle w:val="51"/>
              <w:spacing w:before="88" w:line="227" w:lineRule="auto"/>
              <w:ind w:left="116"/>
              <w:rPr>
                <w:sz w:val="17"/>
                <w:szCs w:val="17"/>
              </w:rPr>
            </w:pPr>
            <w:r>
              <w:rPr>
                <w:spacing w:val="7"/>
                <w:sz w:val="17"/>
                <w:szCs w:val="17"/>
              </w:rPr>
              <w:t>脂及其制</w:t>
            </w:r>
          </w:p>
          <w:p w14:paraId="41203F99">
            <w:pPr>
              <w:pStyle w:val="51"/>
              <w:spacing w:before="90" w:line="241" w:lineRule="auto"/>
              <w:ind w:left="407"/>
              <w:rPr>
                <w:sz w:val="17"/>
                <w:szCs w:val="17"/>
              </w:rPr>
            </w:pPr>
            <w:r>
              <w:rPr>
                <w:sz w:val="17"/>
                <w:szCs w:val="17"/>
              </w:rPr>
              <w:t>品</w:t>
            </w:r>
          </w:p>
        </w:tc>
        <w:tc>
          <w:tcPr>
            <w:tcW w:w="1360" w:type="dxa"/>
            <w:vMerge w:val="restart"/>
            <w:tcBorders>
              <w:bottom w:val="nil"/>
            </w:tcBorders>
            <w:vAlign w:val="top"/>
          </w:tcPr>
          <w:p w14:paraId="42ECFFFB">
            <w:pPr>
              <w:spacing w:line="254" w:lineRule="auto"/>
              <w:rPr>
                <w:rFonts w:ascii="Arial"/>
                <w:sz w:val="21"/>
              </w:rPr>
            </w:pPr>
          </w:p>
          <w:p w14:paraId="1A8E4E31">
            <w:pPr>
              <w:spacing w:line="254" w:lineRule="auto"/>
              <w:rPr>
                <w:rFonts w:ascii="Arial"/>
                <w:sz w:val="21"/>
              </w:rPr>
            </w:pPr>
          </w:p>
          <w:p w14:paraId="416293B3">
            <w:pPr>
              <w:spacing w:line="255" w:lineRule="auto"/>
              <w:rPr>
                <w:rFonts w:ascii="Arial"/>
                <w:sz w:val="21"/>
              </w:rPr>
            </w:pPr>
          </w:p>
          <w:p w14:paraId="4B79E679">
            <w:pPr>
              <w:spacing w:line="255" w:lineRule="auto"/>
              <w:rPr>
                <w:rFonts w:ascii="Arial"/>
                <w:sz w:val="21"/>
              </w:rPr>
            </w:pPr>
          </w:p>
          <w:p w14:paraId="5C88C8E1">
            <w:pPr>
              <w:pStyle w:val="51"/>
              <w:spacing w:before="55" w:line="227" w:lineRule="auto"/>
              <w:ind w:left="235"/>
              <w:rPr>
                <w:sz w:val="17"/>
                <w:szCs w:val="17"/>
              </w:rPr>
            </w:pPr>
            <w:r>
              <w:rPr>
                <w:spacing w:val="7"/>
                <w:sz w:val="17"/>
                <w:szCs w:val="17"/>
              </w:rPr>
              <w:t>食用植物油</w:t>
            </w:r>
          </w:p>
        </w:tc>
        <w:tc>
          <w:tcPr>
            <w:tcW w:w="1581" w:type="dxa"/>
            <w:vMerge w:val="restart"/>
            <w:tcBorders>
              <w:bottom w:val="nil"/>
            </w:tcBorders>
            <w:vAlign w:val="top"/>
          </w:tcPr>
          <w:p w14:paraId="05E4403C">
            <w:pPr>
              <w:spacing w:line="254" w:lineRule="auto"/>
              <w:rPr>
                <w:rFonts w:ascii="Arial"/>
                <w:sz w:val="21"/>
              </w:rPr>
            </w:pPr>
          </w:p>
          <w:p w14:paraId="621EB285">
            <w:pPr>
              <w:spacing w:line="254" w:lineRule="auto"/>
              <w:rPr>
                <w:rFonts w:ascii="Arial"/>
                <w:sz w:val="21"/>
              </w:rPr>
            </w:pPr>
          </w:p>
          <w:p w14:paraId="14D6B408">
            <w:pPr>
              <w:spacing w:line="255" w:lineRule="auto"/>
              <w:rPr>
                <w:rFonts w:ascii="Arial"/>
                <w:sz w:val="21"/>
              </w:rPr>
            </w:pPr>
          </w:p>
          <w:p w14:paraId="53DAFD2E">
            <w:pPr>
              <w:spacing w:line="255" w:lineRule="auto"/>
              <w:rPr>
                <w:rFonts w:ascii="Arial"/>
                <w:sz w:val="21"/>
              </w:rPr>
            </w:pPr>
          </w:p>
          <w:p w14:paraId="41E50B0E">
            <w:pPr>
              <w:pStyle w:val="51"/>
              <w:spacing w:before="55" w:line="227" w:lineRule="auto"/>
              <w:ind w:left="349"/>
              <w:rPr>
                <w:sz w:val="17"/>
                <w:szCs w:val="17"/>
              </w:rPr>
            </w:pPr>
            <w:r>
              <w:rPr>
                <w:spacing w:val="7"/>
                <w:sz w:val="17"/>
                <w:szCs w:val="17"/>
              </w:rPr>
              <w:t>食用植物油</w:t>
            </w:r>
          </w:p>
        </w:tc>
        <w:tc>
          <w:tcPr>
            <w:tcW w:w="1586" w:type="dxa"/>
            <w:vAlign w:val="top"/>
          </w:tcPr>
          <w:p w14:paraId="6F46F7BC">
            <w:pPr>
              <w:pStyle w:val="51"/>
              <w:spacing w:before="155" w:line="226" w:lineRule="auto"/>
              <w:ind w:left="533"/>
              <w:rPr>
                <w:sz w:val="17"/>
                <w:szCs w:val="17"/>
              </w:rPr>
            </w:pPr>
            <w:r>
              <w:rPr>
                <w:spacing w:val="5"/>
                <w:sz w:val="17"/>
                <w:szCs w:val="17"/>
              </w:rPr>
              <w:t>花生油</w:t>
            </w:r>
          </w:p>
        </w:tc>
        <w:tc>
          <w:tcPr>
            <w:tcW w:w="682" w:type="dxa"/>
            <w:vAlign w:val="top"/>
          </w:tcPr>
          <w:p w14:paraId="70342F9F">
            <w:pPr>
              <w:pStyle w:val="51"/>
              <w:spacing w:before="156" w:line="230" w:lineRule="auto"/>
              <w:ind w:left="267"/>
              <w:rPr>
                <w:sz w:val="17"/>
                <w:szCs w:val="17"/>
              </w:rPr>
            </w:pPr>
            <w:r>
              <w:rPr>
                <w:sz w:val="17"/>
                <w:szCs w:val="17"/>
              </w:rPr>
              <w:t>高</w:t>
            </w:r>
          </w:p>
        </w:tc>
        <w:tc>
          <w:tcPr>
            <w:tcW w:w="8563" w:type="dxa"/>
            <w:vAlign w:val="top"/>
          </w:tcPr>
          <w:p w14:paraId="0A9A11DA">
            <w:pPr>
              <w:pStyle w:val="51"/>
              <w:spacing w:before="155" w:line="238" w:lineRule="auto"/>
              <w:ind w:left="37"/>
              <w:rPr>
                <w:sz w:val="17"/>
                <w:szCs w:val="17"/>
              </w:rPr>
            </w:pPr>
            <w:r>
              <w:rPr>
                <w:spacing w:val="8"/>
                <w:sz w:val="17"/>
                <w:szCs w:val="17"/>
              </w:rPr>
              <w:t>酸值/酸价、过氧化值、黄曲霉毒素B</w:t>
            </w:r>
            <w:r>
              <w:rPr>
                <w:spacing w:val="8"/>
                <w:position w:val="-2"/>
                <w:sz w:val="8"/>
                <w:szCs w:val="8"/>
              </w:rPr>
              <w:t>1</w:t>
            </w:r>
            <w:r>
              <w:rPr>
                <w:spacing w:val="-13"/>
                <w:position w:val="-2"/>
                <w:sz w:val="8"/>
                <w:szCs w:val="8"/>
              </w:rPr>
              <w:t xml:space="preserve"> </w:t>
            </w:r>
            <w:r>
              <w:rPr>
                <w:spacing w:val="8"/>
                <w:sz w:val="17"/>
                <w:szCs w:val="17"/>
              </w:rPr>
              <w:t>、苯并[a]芘、溶剂残留量、特丁基对苯二酚（</w:t>
            </w:r>
            <w:r>
              <w:rPr>
                <w:sz w:val="17"/>
                <w:szCs w:val="17"/>
              </w:rPr>
              <w:t>TBHQ</w:t>
            </w:r>
            <w:r>
              <w:rPr>
                <w:spacing w:val="8"/>
                <w:sz w:val="17"/>
                <w:szCs w:val="17"/>
              </w:rPr>
              <w:t>）</w:t>
            </w:r>
            <w:r>
              <w:rPr>
                <w:spacing w:val="-49"/>
                <w:sz w:val="17"/>
                <w:szCs w:val="17"/>
              </w:rPr>
              <w:t xml:space="preserve"> </w:t>
            </w:r>
            <w:r>
              <w:rPr>
                <w:spacing w:val="8"/>
                <w:sz w:val="17"/>
                <w:szCs w:val="17"/>
              </w:rPr>
              <w:t>、铅（以</w:t>
            </w:r>
            <w:r>
              <w:rPr>
                <w:sz w:val="17"/>
                <w:szCs w:val="17"/>
              </w:rPr>
              <w:t>Pb</w:t>
            </w:r>
            <w:r>
              <w:rPr>
                <w:spacing w:val="8"/>
                <w:sz w:val="17"/>
                <w:szCs w:val="17"/>
              </w:rPr>
              <w:t>计）</w:t>
            </w:r>
          </w:p>
        </w:tc>
      </w:tr>
      <w:tr w14:paraId="79767D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5" w:hRule="atLeast"/>
        </w:trPr>
        <w:tc>
          <w:tcPr>
            <w:tcW w:w="459" w:type="dxa"/>
            <w:vMerge w:val="continue"/>
            <w:tcBorders>
              <w:top w:val="nil"/>
              <w:bottom w:val="nil"/>
            </w:tcBorders>
            <w:vAlign w:val="top"/>
          </w:tcPr>
          <w:p w14:paraId="318F7A82">
            <w:pPr>
              <w:rPr>
                <w:rFonts w:ascii="Arial"/>
                <w:sz w:val="21"/>
              </w:rPr>
            </w:pPr>
          </w:p>
        </w:tc>
        <w:tc>
          <w:tcPr>
            <w:tcW w:w="942" w:type="dxa"/>
            <w:vMerge w:val="continue"/>
            <w:tcBorders>
              <w:top w:val="nil"/>
              <w:bottom w:val="nil"/>
            </w:tcBorders>
            <w:vAlign w:val="top"/>
          </w:tcPr>
          <w:p w14:paraId="4D26AFFA">
            <w:pPr>
              <w:rPr>
                <w:rFonts w:ascii="Arial"/>
                <w:sz w:val="21"/>
              </w:rPr>
            </w:pPr>
          </w:p>
        </w:tc>
        <w:tc>
          <w:tcPr>
            <w:tcW w:w="1360" w:type="dxa"/>
            <w:vMerge w:val="continue"/>
            <w:tcBorders>
              <w:top w:val="nil"/>
              <w:bottom w:val="nil"/>
            </w:tcBorders>
            <w:vAlign w:val="top"/>
          </w:tcPr>
          <w:p w14:paraId="0AA89313">
            <w:pPr>
              <w:rPr>
                <w:rFonts w:ascii="Arial"/>
                <w:sz w:val="21"/>
              </w:rPr>
            </w:pPr>
          </w:p>
        </w:tc>
        <w:tc>
          <w:tcPr>
            <w:tcW w:w="1581" w:type="dxa"/>
            <w:vMerge w:val="continue"/>
            <w:tcBorders>
              <w:top w:val="nil"/>
              <w:bottom w:val="nil"/>
            </w:tcBorders>
            <w:vAlign w:val="top"/>
          </w:tcPr>
          <w:p w14:paraId="07F042A1">
            <w:pPr>
              <w:rPr>
                <w:rFonts w:ascii="Arial"/>
                <w:sz w:val="21"/>
              </w:rPr>
            </w:pPr>
          </w:p>
        </w:tc>
        <w:tc>
          <w:tcPr>
            <w:tcW w:w="1586" w:type="dxa"/>
            <w:vAlign w:val="top"/>
          </w:tcPr>
          <w:p w14:paraId="3A88DBED">
            <w:pPr>
              <w:pStyle w:val="51"/>
              <w:spacing w:before="85" w:line="227" w:lineRule="auto"/>
              <w:ind w:left="535"/>
              <w:rPr>
                <w:sz w:val="17"/>
                <w:szCs w:val="17"/>
              </w:rPr>
            </w:pPr>
            <w:r>
              <w:rPr>
                <w:spacing w:val="4"/>
                <w:sz w:val="17"/>
                <w:szCs w:val="17"/>
              </w:rPr>
              <w:t>玉米油</w:t>
            </w:r>
          </w:p>
        </w:tc>
        <w:tc>
          <w:tcPr>
            <w:tcW w:w="682" w:type="dxa"/>
            <w:vAlign w:val="top"/>
          </w:tcPr>
          <w:p w14:paraId="028E5025">
            <w:pPr>
              <w:pStyle w:val="51"/>
              <w:spacing w:before="85" w:line="227" w:lineRule="auto"/>
              <w:ind w:left="267"/>
              <w:rPr>
                <w:sz w:val="17"/>
                <w:szCs w:val="17"/>
              </w:rPr>
            </w:pPr>
            <w:r>
              <w:rPr>
                <w:sz w:val="17"/>
                <w:szCs w:val="17"/>
              </w:rPr>
              <w:t>高</w:t>
            </w:r>
          </w:p>
        </w:tc>
        <w:tc>
          <w:tcPr>
            <w:tcW w:w="8563" w:type="dxa"/>
            <w:vAlign w:val="top"/>
          </w:tcPr>
          <w:p w14:paraId="070BB14B">
            <w:pPr>
              <w:pStyle w:val="51"/>
              <w:spacing w:before="85" w:line="227" w:lineRule="auto"/>
              <w:ind w:left="37"/>
              <w:rPr>
                <w:sz w:val="17"/>
                <w:szCs w:val="17"/>
              </w:rPr>
            </w:pPr>
            <w:r>
              <w:rPr>
                <w:spacing w:val="8"/>
                <w:sz w:val="17"/>
                <w:szCs w:val="17"/>
              </w:rPr>
              <w:t>酸值/酸价、过氧化值、黄曲霉毒素B</w:t>
            </w:r>
            <w:r>
              <w:rPr>
                <w:spacing w:val="8"/>
                <w:position w:val="-2"/>
                <w:sz w:val="8"/>
                <w:szCs w:val="8"/>
              </w:rPr>
              <w:t>1</w:t>
            </w:r>
            <w:r>
              <w:rPr>
                <w:spacing w:val="-5"/>
                <w:position w:val="-2"/>
                <w:sz w:val="8"/>
                <w:szCs w:val="8"/>
              </w:rPr>
              <w:t xml:space="preserve"> </w:t>
            </w:r>
            <w:r>
              <w:rPr>
                <w:spacing w:val="8"/>
                <w:sz w:val="17"/>
                <w:szCs w:val="17"/>
              </w:rPr>
              <w:t>、苯并[a]芘、特丁基对苯二酚（</w:t>
            </w:r>
            <w:r>
              <w:rPr>
                <w:sz w:val="17"/>
                <w:szCs w:val="17"/>
              </w:rPr>
              <w:t>TBHQ</w:t>
            </w:r>
            <w:r>
              <w:rPr>
                <w:spacing w:val="8"/>
                <w:sz w:val="17"/>
                <w:szCs w:val="17"/>
              </w:rPr>
              <w:t>）</w:t>
            </w:r>
          </w:p>
        </w:tc>
      </w:tr>
      <w:tr w14:paraId="3F99C8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5" w:hRule="atLeast"/>
        </w:trPr>
        <w:tc>
          <w:tcPr>
            <w:tcW w:w="459" w:type="dxa"/>
            <w:vMerge w:val="continue"/>
            <w:tcBorders>
              <w:top w:val="nil"/>
              <w:bottom w:val="nil"/>
            </w:tcBorders>
            <w:vAlign w:val="top"/>
          </w:tcPr>
          <w:p w14:paraId="4CD116EB">
            <w:pPr>
              <w:rPr>
                <w:rFonts w:ascii="Arial"/>
                <w:sz w:val="21"/>
              </w:rPr>
            </w:pPr>
          </w:p>
        </w:tc>
        <w:tc>
          <w:tcPr>
            <w:tcW w:w="942" w:type="dxa"/>
            <w:vMerge w:val="continue"/>
            <w:tcBorders>
              <w:top w:val="nil"/>
              <w:bottom w:val="nil"/>
            </w:tcBorders>
            <w:vAlign w:val="top"/>
          </w:tcPr>
          <w:p w14:paraId="47383480">
            <w:pPr>
              <w:rPr>
                <w:rFonts w:ascii="Arial"/>
                <w:sz w:val="21"/>
              </w:rPr>
            </w:pPr>
          </w:p>
        </w:tc>
        <w:tc>
          <w:tcPr>
            <w:tcW w:w="1360" w:type="dxa"/>
            <w:vMerge w:val="continue"/>
            <w:tcBorders>
              <w:top w:val="nil"/>
              <w:bottom w:val="nil"/>
            </w:tcBorders>
            <w:vAlign w:val="top"/>
          </w:tcPr>
          <w:p w14:paraId="6178A548">
            <w:pPr>
              <w:rPr>
                <w:rFonts w:ascii="Arial"/>
                <w:sz w:val="21"/>
              </w:rPr>
            </w:pPr>
          </w:p>
        </w:tc>
        <w:tc>
          <w:tcPr>
            <w:tcW w:w="1581" w:type="dxa"/>
            <w:vMerge w:val="continue"/>
            <w:tcBorders>
              <w:top w:val="nil"/>
              <w:bottom w:val="nil"/>
            </w:tcBorders>
            <w:vAlign w:val="top"/>
          </w:tcPr>
          <w:p w14:paraId="3084FD06">
            <w:pPr>
              <w:rPr>
                <w:rFonts w:ascii="Arial"/>
                <w:sz w:val="21"/>
              </w:rPr>
            </w:pPr>
          </w:p>
        </w:tc>
        <w:tc>
          <w:tcPr>
            <w:tcW w:w="1586" w:type="dxa"/>
            <w:vAlign w:val="top"/>
          </w:tcPr>
          <w:p w14:paraId="5E7832D0">
            <w:pPr>
              <w:pStyle w:val="51"/>
              <w:spacing w:before="85" w:line="227" w:lineRule="auto"/>
              <w:ind w:left="539"/>
              <w:rPr>
                <w:sz w:val="17"/>
                <w:szCs w:val="17"/>
              </w:rPr>
            </w:pPr>
            <w:r>
              <w:rPr>
                <w:spacing w:val="3"/>
                <w:sz w:val="17"/>
                <w:szCs w:val="17"/>
              </w:rPr>
              <w:t>芝麻油</w:t>
            </w:r>
          </w:p>
        </w:tc>
        <w:tc>
          <w:tcPr>
            <w:tcW w:w="682" w:type="dxa"/>
            <w:vAlign w:val="top"/>
          </w:tcPr>
          <w:p w14:paraId="3242E0A1">
            <w:pPr>
              <w:pStyle w:val="51"/>
              <w:spacing w:before="85" w:line="227" w:lineRule="auto"/>
              <w:ind w:left="267"/>
              <w:rPr>
                <w:sz w:val="17"/>
                <w:szCs w:val="17"/>
              </w:rPr>
            </w:pPr>
            <w:r>
              <w:rPr>
                <w:sz w:val="17"/>
                <w:szCs w:val="17"/>
              </w:rPr>
              <w:t>高</w:t>
            </w:r>
          </w:p>
        </w:tc>
        <w:tc>
          <w:tcPr>
            <w:tcW w:w="8563" w:type="dxa"/>
            <w:vAlign w:val="top"/>
          </w:tcPr>
          <w:p w14:paraId="66AAE064">
            <w:pPr>
              <w:pStyle w:val="51"/>
              <w:spacing w:before="85" w:line="223" w:lineRule="auto"/>
              <w:ind w:left="37"/>
              <w:rPr>
                <w:sz w:val="17"/>
                <w:szCs w:val="17"/>
              </w:rPr>
            </w:pPr>
            <w:r>
              <w:rPr>
                <w:spacing w:val="9"/>
                <w:sz w:val="17"/>
                <w:szCs w:val="17"/>
              </w:rPr>
              <w:t>酸值/酸价、过氧化值、苯并[a]芘、溶剂残留量、乙</w:t>
            </w:r>
            <w:r>
              <w:rPr>
                <w:spacing w:val="8"/>
                <w:sz w:val="17"/>
                <w:szCs w:val="17"/>
              </w:rPr>
              <w:t>基麦芽酚</w:t>
            </w:r>
          </w:p>
        </w:tc>
      </w:tr>
      <w:tr w14:paraId="2497D2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459" w:type="dxa"/>
            <w:vMerge w:val="continue"/>
            <w:tcBorders>
              <w:top w:val="nil"/>
              <w:bottom w:val="nil"/>
            </w:tcBorders>
            <w:vAlign w:val="top"/>
          </w:tcPr>
          <w:p w14:paraId="24ED88DA">
            <w:pPr>
              <w:rPr>
                <w:rFonts w:ascii="Arial"/>
                <w:sz w:val="21"/>
              </w:rPr>
            </w:pPr>
          </w:p>
        </w:tc>
        <w:tc>
          <w:tcPr>
            <w:tcW w:w="942" w:type="dxa"/>
            <w:vMerge w:val="continue"/>
            <w:tcBorders>
              <w:top w:val="nil"/>
              <w:bottom w:val="nil"/>
            </w:tcBorders>
            <w:vAlign w:val="top"/>
          </w:tcPr>
          <w:p w14:paraId="310BA693">
            <w:pPr>
              <w:rPr>
                <w:rFonts w:ascii="Arial"/>
                <w:sz w:val="21"/>
              </w:rPr>
            </w:pPr>
          </w:p>
        </w:tc>
        <w:tc>
          <w:tcPr>
            <w:tcW w:w="1360" w:type="dxa"/>
            <w:vMerge w:val="continue"/>
            <w:tcBorders>
              <w:top w:val="nil"/>
              <w:bottom w:val="nil"/>
            </w:tcBorders>
            <w:vAlign w:val="top"/>
          </w:tcPr>
          <w:p w14:paraId="7433BF4F">
            <w:pPr>
              <w:rPr>
                <w:rFonts w:ascii="Arial"/>
                <w:sz w:val="21"/>
              </w:rPr>
            </w:pPr>
          </w:p>
        </w:tc>
        <w:tc>
          <w:tcPr>
            <w:tcW w:w="1581" w:type="dxa"/>
            <w:vMerge w:val="continue"/>
            <w:tcBorders>
              <w:top w:val="nil"/>
              <w:bottom w:val="nil"/>
            </w:tcBorders>
            <w:vAlign w:val="top"/>
          </w:tcPr>
          <w:p w14:paraId="6337AD22">
            <w:pPr>
              <w:rPr>
                <w:rFonts w:ascii="Arial"/>
                <w:sz w:val="21"/>
              </w:rPr>
            </w:pPr>
          </w:p>
        </w:tc>
        <w:tc>
          <w:tcPr>
            <w:tcW w:w="1586" w:type="dxa"/>
            <w:vAlign w:val="top"/>
          </w:tcPr>
          <w:p w14:paraId="1A8856D3">
            <w:pPr>
              <w:pStyle w:val="51"/>
              <w:spacing w:before="87" w:line="228" w:lineRule="auto"/>
              <w:ind w:left="35"/>
              <w:rPr>
                <w:sz w:val="17"/>
                <w:szCs w:val="17"/>
              </w:rPr>
            </w:pPr>
            <w:r>
              <w:rPr>
                <w:spacing w:val="-2"/>
                <w:sz w:val="17"/>
                <w:szCs w:val="17"/>
              </w:rPr>
              <w:t>橄榄油、油橄榄果渣</w:t>
            </w:r>
          </w:p>
          <w:p w14:paraId="37FDDAA6">
            <w:pPr>
              <w:pStyle w:val="51"/>
              <w:spacing w:before="89" w:line="224" w:lineRule="auto"/>
              <w:ind w:left="716"/>
              <w:rPr>
                <w:sz w:val="17"/>
                <w:szCs w:val="17"/>
              </w:rPr>
            </w:pPr>
            <w:r>
              <w:rPr>
                <w:sz w:val="17"/>
                <w:szCs w:val="17"/>
              </w:rPr>
              <w:t>油</w:t>
            </w:r>
          </w:p>
        </w:tc>
        <w:tc>
          <w:tcPr>
            <w:tcW w:w="682" w:type="dxa"/>
            <w:vAlign w:val="top"/>
          </w:tcPr>
          <w:p w14:paraId="7496367F">
            <w:pPr>
              <w:pStyle w:val="51"/>
              <w:spacing w:before="236" w:line="230" w:lineRule="auto"/>
              <w:ind w:left="267"/>
              <w:rPr>
                <w:sz w:val="17"/>
                <w:szCs w:val="17"/>
              </w:rPr>
            </w:pPr>
            <w:r>
              <w:rPr>
                <w:sz w:val="17"/>
                <w:szCs w:val="17"/>
              </w:rPr>
              <w:t>高</w:t>
            </w:r>
          </w:p>
        </w:tc>
        <w:tc>
          <w:tcPr>
            <w:tcW w:w="8563" w:type="dxa"/>
            <w:vAlign w:val="top"/>
          </w:tcPr>
          <w:p w14:paraId="41D02FFF">
            <w:pPr>
              <w:pStyle w:val="51"/>
              <w:spacing w:before="236" w:line="223" w:lineRule="auto"/>
              <w:ind w:left="37"/>
              <w:rPr>
                <w:sz w:val="17"/>
                <w:szCs w:val="17"/>
              </w:rPr>
            </w:pPr>
            <w:r>
              <w:rPr>
                <w:spacing w:val="9"/>
                <w:sz w:val="17"/>
                <w:szCs w:val="17"/>
              </w:rPr>
              <w:t>酸值/酸价、过氧化值、溶剂残留量、特丁基对苯二酚（</w:t>
            </w:r>
            <w:r>
              <w:rPr>
                <w:sz w:val="17"/>
                <w:szCs w:val="17"/>
              </w:rPr>
              <w:t>TBHQ</w:t>
            </w:r>
            <w:r>
              <w:rPr>
                <w:spacing w:val="9"/>
                <w:sz w:val="17"/>
                <w:szCs w:val="17"/>
              </w:rPr>
              <w:t>）</w:t>
            </w:r>
          </w:p>
        </w:tc>
      </w:tr>
      <w:tr w14:paraId="028EF0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5" w:hRule="atLeast"/>
        </w:trPr>
        <w:tc>
          <w:tcPr>
            <w:tcW w:w="459" w:type="dxa"/>
            <w:vMerge w:val="continue"/>
            <w:tcBorders>
              <w:top w:val="nil"/>
              <w:bottom w:val="nil"/>
            </w:tcBorders>
            <w:vAlign w:val="top"/>
          </w:tcPr>
          <w:p w14:paraId="720F1F18">
            <w:pPr>
              <w:rPr>
                <w:rFonts w:ascii="Arial"/>
                <w:sz w:val="21"/>
              </w:rPr>
            </w:pPr>
          </w:p>
        </w:tc>
        <w:tc>
          <w:tcPr>
            <w:tcW w:w="942" w:type="dxa"/>
            <w:vMerge w:val="continue"/>
            <w:tcBorders>
              <w:top w:val="nil"/>
              <w:bottom w:val="nil"/>
            </w:tcBorders>
            <w:vAlign w:val="top"/>
          </w:tcPr>
          <w:p w14:paraId="07BA9092">
            <w:pPr>
              <w:rPr>
                <w:rFonts w:ascii="Arial"/>
                <w:sz w:val="21"/>
              </w:rPr>
            </w:pPr>
          </w:p>
        </w:tc>
        <w:tc>
          <w:tcPr>
            <w:tcW w:w="1360" w:type="dxa"/>
            <w:vMerge w:val="continue"/>
            <w:tcBorders>
              <w:top w:val="nil"/>
              <w:bottom w:val="nil"/>
            </w:tcBorders>
            <w:vAlign w:val="top"/>
          </w:tcPr>
          <w:p w14:paraId="3A80BBEC">
            <w:pPr>
              <w:rPr>
                <w:rFonts w:ascii="Arial"/>
                <w:sz w:val="21"/>
              </w:rPr>
            </w:pPr>
          </w:p>
        </w:tc>
        <w:tc>
          <w:tcPr>
            <w:tcW w:w="1581" w:type="dxa"/>
            <w:vMerge w:val="continue"/>
            <w:tcBorders>
              <w:top w:val="nil"/>
              <w:bottom w:val="nil"/>
            </w:tcBorders>
            <w:vAlign w:val="top"/>
          </w:tcPr>
          <w:p w14:paraId="15FADB08">
            <w:pPr>
              <w:rPr>
                <w:rFonts w:ascii="Arial"/>
                <w:sz w:val="21"/>
              </w:rPr>
            </w:pPr>
          </w:p>
        </w:tc>
        <w:tc>
          <w:tcPr>
            <w:tcW w:w="1586" w:type="dxa"/>
            <w:vAlign w:val="top"/>
          </w:tcPr>
          <w:p w14:paraId="0024CF59">
            <w:pPr>
              <w:pStyle w:val="51"/>
              <w:spacing w:before="88" w:line="224" w:lineRule="auto"/>
              <w:ind w:left="534"/>
              <w:rPr>
                <w:sz w:val="17"/>
                <w:szCs w:val="17"/>
              </w:rPr>
            </w:pPr>
            <w:r>
              <w:rPr>
                <w:spacing w:val="5"/>
                <w:sz w:val="17"/>
                <w:szCs w:val="17"/>
              </w:rPr>
              <w:t>菜籽油</w:t>
            </w:r>
          </w:p>
        </w:tc>
        <w:tc>
          <w:tcPr>
            <w:tcW w:w="682" w:type="dxa"/>
            <w:vAlign w:val="top"/>
          </w:tcPr>
          <w:p w14:paraId="09460C2C">
            <w:pPr>
              <w:pStyle w:val="51"/>
              <w:spacing w:before="88" w:line="224" w:lineRule="auto"/>
              <w:ind w:left="267"/>
              <w:rPr>
                <w:sz w:val="17"/>
                <w:szCs w:val="17"/>
              </w:rPr>
            </w:pPr>
            <w:r>
              <w:rPr>
                <w:sz w:val="17"/>
                <w:szCs w:val="17"/>
              </w:rPr>
              <w:t>高</w:t>
            </w:r>
          </w:p>
        </w:tc>
        <w:tc>
          <w:tcPr>
            <w:tcW w:w="8563" w:type="dxa"/>
            <w:vAlign w:val="top"/>
          </w:tcPr>
          <w:p w14:paraId="21E7F99D">
            <w:pPr>
              <w:pStyle w:val="51"/>
              <w:spacing w:before="88" w:line="223" w:lineRule="auto"/>
              <w:ind w:left="37"/>
              <w:rPr>
                <w:sz w:val="17"/>
                <w:szCs w:val="17"/>
              </w:rPr>
            </w:pPr>
            <w:r>
              <w:rPr>
                <w:spacing w:val="10"/>
                <w:sz w:val="17"/>
                <w:szCs w:val="17"/>
              </w:rPr>
              <w:t>酸值/酸价、过氧化值、铅（以</w:t>
            </w:r>
            <w:r>
              <w:rPr>
                <w:sz w:val="17"/>
                <w:szCs w:val="17"/>
              </w:rPr>
              <w:t>Pb</w:t>
            </w:r>
            <w:r>
              <w:rPr>
                <w:spacing w:val="10"/>
                <w:sz w:val="17"/>
                <w:szCs w:val="17"/>
              </w:rPr>
              <w:t>计）、苯并[a]芘、溶剂残留</w:t>
            </w:r>
            <w:r>
              <w:rPr>
                <w:spacing w:val="9"/>
                <w:sz w:val="17"/>
                <w:szCs w:val="17"/>
              </w:rPr>
              <w:t>量、特丁基对苯二酚（</w:t>
            </w:r>
            <w:r>
              <w:rPr>
                <w:sz w:val="17"/>
                <w:szCs w:val="17"/>
              </w:rPr>
              <w:t>TBHQ</w:t>
            </w:r>
            <w:r>
              <w:rPr>
                <w:spacing w:val="9"/>
                <w:sz w:val="17"/>
                <w:szCs w:val="17"/>
              </w:rPr>
              <w:t>）、乙基麦芽酚</w:t>
            </w:r>
          </w:p>
        </w:tc>
      </w:tr>
      <w:tr w14:paraId="15C005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5" w:hRule="atLeast"/>
        </w:trPr>
        <w:tc>
          <w:tcPr>
            <w:tcW w:w="459" w:type="dxa"/>
            <w:vMerge w:val="continue"/>
            <w:tcBorders>
              <w:top w:val="nil"/>
            </w:tcBorders>
            <w:vAlign w:val="top"/>
          </w:tcPr>
          <w:p w14:paraId="45BA3B0C">
            <w:pPr>
              <w:rPr>
                <w:rFonts w:ascii="Arial"/>
                <w:sz w:val="21"/>
              </w:rPr>
            </w:pPr>
          </w:p>
        </w:tc>
        <w:tc>
          <w:tcPr>
            <w:tcW w:w="942" w:type="dxa"/>
            <w:vMerge w:val="continue"/>
            <w:tcBorders>
              <w:top w:val="nil"/>
            </w:tcBorders>
            <w:vAlign w:val="top"/>
          </w:tcPr>
          <w:p w14:paraId="0460703D">
            <w:pPr>
              <w:rPr>
                <w:rFonts w:ascii="Arial"/>
                <w:sz w:val="21"/>
              </w:rPr>
            </w:pPr>
          </w:p>
        </w:tc>
        <w:tc>
          <w:tcPr>
            <w:tcW w:w="1360" w:type="dxa"/>
            <w:vMerge w:val="continue"/>
            <w:tcBorders>
              <w:top w:val="nil"/>
            </w:tcBorders>
            <w:vAlign w:val="top"/>
          </w:tcPr>
          <w:p w14:paraId="7BA5951A">
            <w:pPr>
              <w:rPr>
                <w:rFonts w:ascii="Arial"/>
                <w:sz w:val="21"/>
              </w:rPr>
            </w:pPr>
          </w:p>
        </w:tc>
        <w:tc>
          <w:tcPr>
            <w:tcW w:w="1581" w:type="dxa"/>
            <w:vMerge w:val="continue"/>
            <w:tcBorders>
              <w:top w:val="nil"/>
            </w:tcBorders>
            <w:vAlign w:val="top"/>
          </w:tcPr>
          <w:p w14:paraId="30348879">
            <w:pPr>
              <w:rPr>
                <w:rFonts w:ascii="Arial"/>
                <w:sz w:val="21"/>
              </w:rPr>
            </w:pPr>
          </w:p>
        </w:tc>
        <w:tc>
          <w:tcPr>
            <w:tcW w:w="1586" w:type="dxa"/>
            <w:vAlign w:val="top"/>
          </w:tcPr>
          <w:p w14:paraId="6FA9CFD9">
            <w:pPr>
              <w:pStyle w:val="51"/>
              <w:spacing w:before="87" w:line="225" w:lineRule="auto"/>
              <w:ind w:left="534"/>
              <w:rPr>
                <w:sz w:val="17"/>
                <w:szCs w:val="17"/>
              </w:rPr>
            </w:pPr>
            <w:r>
              <w:rPr>
                <w:spacing w:val="5"/>
                <w:sz w:val="17"/>
                <w:szCs w:val="17"/>
              </w:rPr>
              <w:t>大豆油</w:t>
            </w:r>
          </w:p>
        </w:tc>
        <w:tc>
          <w:tcPr>
            <w:tcW w:w="682" w:type="dxa"/>
            <w:vAlign w:val="top"/>
          </w:tcPr>
          <w:p w14:paraId="719007A9">
            <w:pPr>
              <w:pStyle w:val="51"/>
              <w:spacing w:before="87" w:line="225" w:lineRule="auto"/>
              <w:ind w:left="267"/>
              <w:rPr>
                <w:sz w:val="17"/>
                <w:szCs w:val="17"/>
              </w:rPr>
            </w:pPr>
            <w:r>
              <w:rPr>
                <w:sz w:val="17"/>
                <w:szCs w:val="17"/>
              </w:rPr>
              <w:t>高</w:t>
            </w:r>
          </w:p>
        </w:tc>
        <w:tc>
          <w:tcPr>
            <w:tcW w:w="8563" w:type="dxa"/>
            <w:vAlign w:val="top"/>
          </w:tcPr>
          <w:p w14:paraId="0E140AFF">
            <w:pPr>
              <w:pStyle w:val="51"/>
              <w:spacing w:before="87" w:line="223" w:lineRule="auto"/>
              <w:ind w:left="37"/>
              <w:rPr>
                <w:sz w:val="17"/>
                <w:szCs w:val="17"/>
              </w:rPr>
            </w:pPr>
            <w:r>
              <w:rPr>
                <w:spacing w:val="9"/>
                <w:sz w:val="17"/>
                <w:szCs w:val="17"/>
              </w:rPr>
              <w:t>酸值/酸价、过氧化值、苯并[a]芘、溶剂残</w:t>
            </w:r>
            <w:r>
              <w:rPr>
                <w:spacing w:val="8"/>
                <w:sz w:val="17"/>
                <w:szCs w:val="17"/>
              </w:rPr>
              <w:t>留量、特丁基对苯二酚（</w:t>
            </w:r>
            <w:r>
              <w:rPr>
                <w:sz w:val="17"/>
                <w:szCs w:val="17"/>
              </w:rPr>
              <w:t>TBHQ</w:t>
            </w:r>
            <w:r>
              <w:rPr>
                <w:spacing w:val="8"/>
                <w:sz w:val="17"/>
                <w:szCs w:val="17"/>
              </w:rPr>
              <w:t>）</w:t>
            </w:r>
            <w:r>
              <w:rPr>
                <w:spacing w:val="-48"/>
                <w:sz w:val="17"/>
                <w:szCs w:val="17"/>
              </w:rPr>
              <w:t xml:space="preserve"> </w:t>
            </w:r>
            <w:r>
              <w:rPr>
                <w:spacing w:val="8"/>
                <w:sz w:val="17"/>
                <w:szCs w:val="17"/>
              </w:rPr>
              <w:t>、铅（以</w:t>
            </w:r>
            <w:r>
              <w:rPr>
                <w:sz w:val="17"/>
                <w:szCs w:val="17"/>
              </w:rPr>
              <w:t>Pb</w:t>
            </w:r>
            <w:r>
              <w:rPr>
                <w:spacing w:val="8"/>
                <w:sz w:val="17"/>
                <w:szCs w:val="17"/>
              </w:rPr>
              <w:t>计）</w:t>
            </w:r>
          </w:p>
        </w:tc>
      </w:tr>
      <w:tr w14:paraId="5CE93F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5" w:hRule="atLeast"/>
        </w:trPr>
        <w:tc>
          <w:tcPr>
            <w:tcW w:w="459" w:type="dxa"/>
            <w:vMerge w:val="restart"/>
            <w:tcBorders>
              <w:bottom w:val="nil"/>
            </w:tcBorders>
            <w:vAlign w:val="top"/>
          </w:tcPr>
          <w:p w14:paraId="1C34C4E3">
            <w:pPr>
              <w:spacing w:line="323" w:lineRule="auto"/>
              <w:rPr>
                <w:rFonts w:ascii="Arial"/>
                <w:sz w:val="21"/>
              </w:rPr>
            </w:pPr>
          </w:p>
          <w:p w14:paraId="73217F76">
            <w:pPr>
              <w:spacing w:line="324" w:lineRule="auto"/>
              <w:rPr>
                <w:rFonts w:ascii="Arial"/>
                <w:sz w:val="21"/>
              </w:rPr>
            </w:pPr>
          </w:p>
          <w:p w14:paraId="79065110">
            <w:pPr>
              <w:pStyle w:val="51"/>
              <w:spacing w:before="55" w:line="229" w:lineRule="exact"/>
              <w:ind w:left="190"/>
              <w:rPr>
                <w:sz w:val="17"/>
                <w:szCs w:val="17"/>
              </w:rPr>
            </w:pPr>
            <w:r>
              <w:rPr>
                <w:position w:val="1"/>
                <w:sz w:val="17"/>
                <w:szCs w:val="17"/>
              </w:rPr>
              <w:t>2</w:t>
            </w:r>
          </w:p>
        </w:tc>
        <w:tc>
          <w:tcPr>
            <w:tcW w:w="942" w:type="dxa"/>
            <w:vMerge w:val="restart"/>
            <w:tcBorders>
              <w:bottom w:val="nil"/>
            </w:tcBorders>
            <w:vAlign w:val="top"/>
          </w:tcPr>
          <w:p w14:paraId="553B4BEF">
            <w:pPr>
              <w:spacing w:line="349" w:lineRule="auto"/>
              <w:rPr>
                <w:rFonts w:ascii="Arial"/>
                <w:sz w:val="21"/>
              </w:rPr>
            </w:pPr>
          </w:p>
          <w:p w14:paraId="17C9D783">
            <w:pPr>
              <w:pStyle w:val="51"/>
              <w:spacing w:before="56" w:line="229" w:lineRule="auto"/>
              <w:ind w:left="35"/>
              <w:rPr>
                <w:sz w:val="17"/>
                <w:szCs w:val="17"/>
              </w:rPr>
            </w:pPr>
            <w:r>
              <w:rPr>
                <w:spacing w:val="5"/>
                <w:sz w:val="17"/>
                <w:szCs w:val="17"/>
              </w:rPr>
              <w:t>食用油、油</w:t>
            </w:r>
          </w:p>
          <w:p w14:paraId="509A069C">
            <w:pPr>
              <w:pStyle w:val="51"/>
              <w:spacing w:before="88" w:line="227" w:lineRule="auto"/>
              <w:ind w:left="116"/>
              <w:rPr>
                <w:sz w:val="17"/>
                <w:szCs w:val="17"/>
              </w:rPr>
            </w:pPr>
            <w:r>
              <w:rPr>
                <w:spacing w:val="7"/>
                <w:sz w:val="17"/>
                <w:szCs w:val="17"/>
              </w:rPr>
              <w:t>脂及其制</w:t>
            </w:r>
          </w:p>
          <w:p w14:paraId="704427A5">
            <w:pPr>
              <w:pStyle w:val="51"/>
              <w:spacing w:before="90" w:line="241" w:lineRule="auto"/>
              <w:ind w:left="407"/>
              <w:rPr>
                <w:sz w:val="17"/>
                <w:szCs w:val="17"/>
              </w:rPr>
            </w:pPr>
            <w:r>
              <w:rPr>
                <w:sz w:val="17"/>
                <w:szCs w:val="17"/>
              </w:rPr>
              <w:t>品</w:t>
            </w:r>
          </w:p>
        </w:tc>
        <w:tc>
          <w:tcPr>
            <w:tcW w:w="1360" w:type="dxa"/>
            <w:vMerge w:val="restart"/>
            <w:tcBorders>
              <w:bottom w:val="nil"/>
            </w:tcBorders>
            <w:vAlign w:val="top"/>
          </w:tcPr>
          <w:p w14:paraId="5FAABFE2">
            <w:pPr>
              <w:spacing w:line="339" w:lineRule="auto"/>
              <w:rPr>
                <w:rFonts w:ascii="Arial"/>
                <w:sz w:val="21"/>
              </w:rPr>
            </w:pPr>
          </w:p>
          <w:p w14:paraId="2968F7E0">
            <w:pPr>
              <w:pStyle w:val="51"/>
              <w:spacing w:before="55" w:line="227" w:lineRule="auto"/>
              <w:ind w:left="235"/>
              <w:rPr>
                <w:sz w:val="17"/>
                <w:szCs w:val="17"/>
              </w:rPr>
            </w:pPr>
            <w:r>
              <w:rPr>
                <w:spacing w:val="7"/>
                <w:sz w:val="17"/>
                <w:szCs w:val="17"/>
              </w:rPr>
              <w:t>食用植物油</w:t>
            </w:r>
          </w:p>
        </w:tc>
        <w:tc>
          <w:tcPr>
            <w:tcW w:w="1581" w:type="dxa"/>
            <w:vMerge w:val="restart"/>
            <w:tcBorders>
              <w:bottom w:val="nil"/>
            </w:tcBorders>
            <w:vAlign w:val="top"/>
          </w:tcPr>
          <w:p w14:paraId="5334A8CF">
            <w:pPr>
              <w:spacing w:line="339" w:lineRule="auto"/>
              <w:rPr>
                <w:rFonts w:ascii="Arial"/>
                <w:sz w:val="21"/>
              </w:rPr>
            </w:pPr>
          </w:p>
          <w:p w14:paraId="045ECC6A">
            <w:pPr>
              <w:pStyle w:val="51"/>
              <w:spacing w:before="55" w:line="227" w:lineRule="auto"/>
              <w:ind w:left="349"/>
              <w:rPr>
                <w:sz w:val="17"/>
                <w:szCs w:val="17"/>
              </w:rPr>
            </w:pPr>
            <w:r>
              <w:rPr>
                <w:spacing w:val="7"/>
                <w:sz w:val="17"/>
                <w:szCs w:val="17"/>
              </w:rPr>
              <w:t>食用植物油</w:t>
            </w:r>
          </w:p>
        </w:tc>
        <w:tc>
          <w:tcPr>
            <w:tcW w:w="1586" w:type="dxa"/>
            <w:vAlign w:val="top"/>
          </w:tcPr>
          <w:p w14:paraId="07A7D903">
            <w:pPr>
              <w:pStyle w:val="51"/>
              <w:spacing w:before="87" w:line="225" w:lineRule="auto"/>
              <w:ind w:left="172"/>
              <w:rPr>
                <w:sz w:val="17"/>
                <w:szCs w:val="17"/>
              </w:rPr>
            </w:pPr>
            <w:r>
              <w:rPr>
                <w:spacing w:val="8"/>
                <w:sz w:val="17"/>
                <w:szCs w:val="17"/>
              </w:rPr>
              <w:t>食用植物调和油</w:t>
            </w:r>
          </w:p>
        </w:tc>
        <w:tc>
          <w:tcPr>
            <w:tcW w:w="682" w:type="dxa"/>
            <w:vAlign w:val="top"/>
          </w:tcPr>
          <w:p w14:paraId="0326A7CF">
            <w:pPr>
              <w:pStyle w:val="51"/>
              <w:spacing w:before="87" w:line="225" w:lineRule="auto"/>
              <w:ind w:left="267"/>
              <w:rPr>
                <w:sz w:val="17"/>
                <w:szCs w:val="17"/>
              </w:rPr>
            </w:pPr>
            <w:r>
              <w:rPr>
                <w:sz w:val="17"/>
                <w:szCs w:val="17"/>
              </w:rPr>
              <w:t>高</w:t>
            </w:r>
          </w:p>
        </w:tc>
        <w:tc>
          <w:tcPr>
            <w:tcW w:w="8563" w:type="dxa"/>
            <w:vAlign w:val="top"/>
          </w:tcPr>
          <w:p w14:paraId="45CE03F7">
            <w:pPr>
              <w:pStyle w:val="51"/>
              <w:spacing w:before="87" w:line="223" w:lineRule="auto"/>
              <w:ind w:left="37"/>
              <w:rPr>
                <w:sz w:val="17"/>
                <w:szCs w:val="17"/>
              </w:rPr>
            </w:pPr>
            <w:r>
              <w:rPr>
                <w:spacing w:val="9"/>
                <w:sz w:val="17"/>
                <w:szCs w:val="17"/>
              </w:rPr>
              <w:t>酸价、过氧化值、苯并[a]芘、溶剂残留量、特丁基对苯二酚（</w:t>
            </w:r>
            <w:r>
              <w:rPr>
                <w:sz w:val="17"/>
                <w:szCs w:val="17"/>
              </w:rPr>
              <w:t>TBHQ</w:t>
            </w:r>
            <w:r>
              <w:rPr>
                <w:spacing w:val="8"/>
                <w:sz w:val="17"/>
                <w:szCs w:val="17"/>
              </w:rPr>
              <w:t>）、乙基麦芽酚</w:t>
            </w:r>
            <w:r>
              <w:rPr>
                <w:spacing w:val="-47"/>
                <w:sz w:val="17"/>
                <w:szCs w:val="17"/>
              </w:rPr>
              <w:t xml:space="preserve"> </w:t>
            </w:r>
            <w:r>
              <w:rPr>
                <w:spacing w:val="8"/>
                <w:sz w:val="17"/>
                <w:szCs w:val="17"/>
              </w:rPr>
              <w:t>、铅（以</w:t>
            </w:r>
            <w:r>
              <w:rPr>
                <w:sz w:val="17"/>
                <w:szCs w:val="17"/>
              </w:rPr>
              <w:t>Pb</w:t>
            </w:r>
            <w:r>
              <w:rPr>
                <w:spacing w:val="8"/>
                <w:sz w:val="17"/>
                <w:szCs w:val="17"/>
              </w:rPr>
              <w:t>计）</w:t>
            </w:r>
          </w:p>
        </w:tc>
      </w:tr>
      <w:tr w14:paraId="01811B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5" w:hRule="atLeast"/>
        </w:trPr>
        <w:tc>
          <w:tcPr>
            <w:tcW w:w="459" w:type="dxa"/>
            <w:vMerge w:val="continue"/>
            <w:tcBorders>
              <w:top w:val="nil"/>
              <w:bottom w:val="nil"/>
            </w:tcBorders>
            <w:vAlign w:val="top"/>
          </w:tcPr>
          <w:p w14:paraId="6C947D8D">
            <w:pPr>
              <w:rPr>
                <w:rFonts w:ascii="Arial"/>
                <w:sz w:val="21"/>
              </w:rPr>
            </w:pPr>
          </w:p>
        </w:tc>
        <w:tc>
          <w:tcPr>
            <w:tcW w:w="942" w:type="dxa"/>
            <w:vMerge w:val="continue"/>
            <w:tcBorders>
              <w:top w:val="nil"/>
              <w:bottom w:val="nil"/>
            </w:tcBorders>
            <w:vAlign w:val="top"/>
          </w:tcPr>
          <w:p w14:paraId="250B53B9">
            <w:pPr>
              <w:rPr>
                <w:rFonts w:ascii="Arial"/>
                <w:sz w:val="21"/>
              </w:rPr>
            </w:pPr>
          </w:p>
        </w:tc>
        <w:tc>
          <w:tcPr>
            <w:tcW w:w="1360" w:type="dxa"/>
            <w:vMerge w:val="continue"/>
            <w:tcBorders>
              <w:top w:val="nil"/>
              <w:bottom w:val="nil"/>
            </w:tcBorders>
            <w:vAlign w:val="top"/>
          </w:tcPr>
          <w:p w14:paraId="340C89D3">
            <w:pPr>
              <w:rPr>
                <w:rFonts w:ascii="Arial"/>
                <w:sz w:val="21"/>
              </w:rPr>
            </w:pPr>
          </w:p>
        </w:tc>
        <w:tc>
          <w:tcPr>
            <w:tcW w:w="1581" w:type="dxa"/>
            <w:vMerge w:val="continue"/>
            <w:tcBorders>
              <w:top w:val="nil"/>
              <w:bottom w:val="nil"/>
            </w:tcBorders>
            <w:vAlign w:val="top"/>
          </w:tcPr>
          <w:p w14:paraId="30FA1130">
            <w:pPr>
              <w:rPr>
                <w:rFonts w:ascii="Arial"/>
                <w:sz w:val="21"/>
              </w:rPr>
            </w:pPr>
          </w:p>
        </w:tc>
        <w:tc>
          <w:tcPr>
            <w:tcW w:w="1586" w:type="dxa"/>
            <w:vAlign w:val="top"/>
          </w:tcPr>
          <w:p w14:paraId="3EE27866">
            <w:pPr>
              <w:pStyle w:val="51"/>
              <w:spacing w:before="86" w:line="226" w:lineRule="auto"/>
              <w:ind w:left="445"/>
              <w:rPr>
                <w:sz w:val="17"/>
                <w:szCs w:val="17"/>
              </w:rPr>
            </w:pPr>
            <w:r>
              <w:rPr>
                <w:spacing w:val="5"/>
                <w:sz w:val="17"/>
                <w:szCs w:val="17"/>
              </w:rPr>
              <w:t>油茶籽油</w:t>
            </w:r>
          </w:p>
        </w:tc>
        <w:tc>
          <w:tcPr>
            <w:tcW w:w="682" w:type="dxa"/>
            <w:vAlign w:val="top"/>
          </w:tcPr>
          <w:p w14:paraId="04C086F7">
            <w:pPr>
              <w:pStyle w:val="51"/>
              <w:spacing w:before="86" w:line="226" w:lineRule="auto"/>
              <w:ind w:left="267"/>
              <w:rPr>
                <w:sz w:val="17"/>
                <w:szCs w:val="17"/>
              </w:rPr>
            </w:pPr>
            <w:r>
              <w:rPr>
                <w:sz w:val="17"/>
                <w:szCs w:val="17"/>
              </w:rPr>
              <w:t>高</w:t>
            </w:r>
          </w:p>
        </w:tc>
        <w:tc>
          <w:tcPr>
            <w:tcW w:w="8563" w:type="dxa"/>
            <w:vAlign w:val="top"/>
          </w:tcPr>
          <w:p w14:paraId="27C5EC08">
            <w:pPr>
              <w:pStyle w:val="51"/>
              <w:spacing w:before="87" w:line="223" w:lineRule="auto"/>
              <w:ind w:left="37"/>
              <w:rPr>
                <w:sz w:val="17"/>
                <w:szCs w:val="17"/>
              </w:rPr>
            </w:pPr>
            <w:r>
              <w:rPr>
                <w:spacing w:val="10"/>
                <w:sz w:val="17"/>
                <w:szCs w:val="17"/>
              </w:rPr>
              <w:t>酸值/酸价、过氧化值、铅（以</w:t>
            </w:r>
            <w:r>
              <w:rPr>
                <w:sz w:val="17"/>
                <w:szCs w:val="17"/>
              </w:rPr>
              <w:t>Pb</w:t>
            </w:r>
            <w:r>
              <w:rPr>
                <w:spacing w:val="10"/>
                <w:sz w:val="17"/>
                <w:szCs w:val="17"/>
              </w:rPr>
              <w:t>计）、苯并[a]芘、溶</w:t>
            </w:r>
            <w:r>
              <w:rPr>
                <w:spacing w:val="9"/>
                <w:sz w:val="17"/>
                <w:szCs w:val="17"/>
              </w:rPr>
              <w:t>剂残留量、特丁基对苯二酚（</w:t>
            </w:r>
            <w:r>
              <w:rPr>
                <w:sz w:val="17"/>
                <w:szCs w:val="17"/>
              </w:rPr>
              <w:t>TBHQ</w:t>
            </w:r>
            <w:r>
              <w:rPr>
                <w:spacing w:val="9"/>
                <w:sz w:val="17"/>
                <w:szCs w:val="17"/>
              </w:rPr>
              <w:t>）</w:t>
            </w:r>
          </w:p>
        </w:tc>
      </w:tr>
      <w:tr w14:paraId="030F9C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5" w:hRule="atLeast"/>
        </w:trPr>
        <w:tc>
          <w:tcPr>
            <w:tcW w:w="459" w:type="dxa"/>
            <w:vMerge w:val="continue"/>
            <w:tcBorders>
              <w:top w:val="nil"/>
              <w:bottom w:val="nil"/>
            </w:tcBorders>
            <w:vAlign w:val="top"/>
          </w:tcPr>
          <w:p w14:paraId="141B2CC0">
            <w:pPr>
              <w:rPr>
                <w:rFonts w:ascii="Arial"/>
                <w:sz w:val="21"/>
              </w:rPr>
            </w:pPr>
          </w:p>
        </w:tc>
        <w:tc>
          <w:tcPr>
            <w:tcW w:w="942" w:type="dxa"/>
            <w:vMerge w:val="continue"/>
            <w:tcBorders>
              <w:top w:val="nil"/>
              <w:bottom w:val="nil"/>
            </w:tcBorders>
            <w:vAlign w:val="top"/>
          </w:tcPr>
          <w:p w14:paraId="203F6487">
            <w:pPr>
              <w:rPr>
                <w:rFonts w:ascii="Arial"/>
                <w:sz w:val="21"/>
              </w:rPr>
            </w:pPr>
          </w:p>
        </w:tc>
        <w:tc>
          <w:tcPr>
            <w:tcW w:w="1360" w:type="dxa"/>
            <w:vMerge w:val="continue"/>
            <w:tcBorders>
              <w:top w:val="nil"/>
            </w:tcBorders>
            <w:vAlign w:val="top"/>
          </w:tcPr>
          <w:p w14:paraId="6E0A45D3">
            <w:pPr>
              <w:rPr>
                <w:rFonts w:ascii="Arial"/>
                <w:sz w:val="21"/>
              </w:rPr>
            </w:pPr>
          </w:p>
        </w:tc>
        <w:tc>
          <w:tcPr>
            <w:tcW w:w="1581" w:type="dxa"/>
            <w:vMerge w:val="continue"/>
            <w:tcBorders>
              <w:top w:val="nil"/>
            </w:tcBorders>
            <w:vAlign w:val="top"/>
          </w:tcPr>
          <w:p w14:paraId="5B5324EE">
            <w:pPr>
              <w:rPr>
                <w:rFonts w:ascii="Arial"/>
                <w:sz w:val="21"/>
              </w:rPr>
            </w:pPr>
          </w:p>
        </w:tc>
        <w:tc>
          <w:tcPr>
            <w:tcW w:w="1586" w:type="dxa"/>
            <w:vAlign w:val="top"/>
          </w:tcPr>
          <w:p w14:paraId="6FA8F991">
            <w:pPr>
              <w:pStyle w:val="51"/>
              <w:spacing w:before="86" w:line="226" w:lineRule="auto"/>
              <w:ind w:left="173"/>
              <w:rPr>
                <w:sz w:val="17"/>
                <w:szCs w:val="17"/>
              </w:rPr>
            </w:pPr>
            <w:r>
              <w:rPr>
                <w:spacing w:val="8"/>
                <w:sz w:val="17"/>
                <w:szCs w:val="17"/>
              </w:rPr>
              <w:t>其他食用植物油</w:t>
            </w:r>
          </w:p>
        </w:tc>
        <w:tc>
          <w:tcPr>
            <w:tcW w:w="682" w:type="dxa"/>
            <w:vAlign w:val="top"/>
          </w:tcPr>
          <w:p w14:paraId="6BC87160">
            <w:pPr>
              <w:pStyle w:val="51"/>
              <w:spacing w:before="86" w:line="226" w:lineRule="auto"/>
              <w:ind w:left="267"/>
              <w:rPr>
                <w:sz w:val="17"/>
                <w:szCs w:val="17"/>
              </w:rPr>
            </w:pPr>
            <w:r>
              <w:rPr>
                <w:sz w:val="17"/>
                <w:szCs w:val="17"/>
              </w:rPr>
              <w:t>高</w:t>
            </w:r>
          </w:p>
        </w:tc>
        <w:tc>
          <w:tcPr>
            <w:tcW w:w="8563" w:type="dxa"/>
            <w:vAlign w:val="top"/>
          </w:tcPr>
          <w:p w14:paraId="5AC90215">
            <w:pPr>
              <w:pStyle w:val="51"/>
              <w:spacing w:before="86" w:line="223" w:lineRule="auto"/>
              <w:ind w:left="37"/>
              <w:rPr>
                <w:sz w:val="17"/>
                <w:szCs w:val="17"/>
              </w:rPr>
            </w:pPr>
            <w:r>
              <w:rPr>
                <w:spacing w:val="9"/>
                <w:sz w:val="17"/>
                <w:szCs w:val="17"/>
              </w:rPr>
              <w:t>酸值/酸价、过氧化值、苯并[a]芘、溶剂残留量、特丁基对苯二酚（</w:t>
            </w:r>
            <w:r>
              <w:rPr>
                <w:sz w:val="17"/>
                <w:szCs w:val="17"/>
              </w:rPr>
              <w:t>TBHQ</w:t>
            </w:r>
            <w:r>
              <w:rPr>
                <w:spacing w:val="9"/>
                <w:sz w:val="17"/>
                <w:szCs w:val="17"/>
              </w:rPr>
              <w:t>）</w:t>
            </w:r>
          </w:p>
        </w:tc>
      </w:tr>
      <w:tr w14:paraId="5F3600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5" w:hRule="atLeast"/>
        </w:trPr>
        <w:tc>
          <w:tcPr>
            <w:tcW w:w="459" w:type="dxa"/>
            <w:vMerge w:val="continue"/>
            <w:tcBorders>
              <w:top w:val="nil"/>
              <w:bottom w:val="nil"/>
            </w:tcBorders>
            <w:vAlign w:val="top"/>
          </w:tcPr>
          <w:p w14:paraId="05017529">
            <w:pPr>
              <w:rPr>
                <w:rFonts w:ascii="Arial"/>
                <w:sz w:val="21"/>
              </w:rPr>
            </w:pPr>
          </w:p>
        </w:tc>
        <w:tc>
          <w:tcPr>
            <w:tcW w:w="942" w:type="dxa"/>
            <w:vMerge w:val="continue"/>
            <w:tcBorders>
              <w:top w:val="nil"/>
              <w:bottom w:val="nil"/>
            </w:tcBorders>
            <w:vAlign w:val="top"/>
          </w:tcPr>
          <w:p w14:paraId="27A3C76C">
            <w:pPr>
              <w:rPr>
                <w:rFonts w:ascii="Arial"/>
                <w:sz w:val="21"/>
              </w:rPr>
            </w:pPr>
          </w:p>
        </w:tc>
        <w:tc>
          <w:tcPr>
            <w:tcW w:w="1360" w:type="dxa"/>
            <w:vAlign w:val="top"/>
          </w:tcPr>
          <w:p w14:paraId="01F278DC">
            <w:pPr>
              <w:pStyle w:val="51"/>
              <w:spacing w:before="88" w:line="224" w:lineRule="auto"/>
              <w:ind w:left="146"/>
              <w:rPr>
                <w:sz w:val="17"/>
                <w:szCs w:val="17"/>
              </w:rPr>
            </w:pPr>
            <w:r>
              <w:rPr>
                <w:spacing w:val="8"/>
                <w:sz w:val="17"/>
                <w:szCs w:val="17"/>
              </w:rPr>
              <w:t>食用动物油脂</w:t>
            </w:r>
          </w:p>
        </w:tc>
        <w:tc>
          <w:tcPr>
            <w:tcW w:w="1581" w:type="dxa"/>
            <w:vAlign w:val="top"/>
          </w:tcPr>
          <w:p w14:paraId="0B8AB988">
            <w:pPr>
              <w:pStyle w:val="51"/>
              <w:spacing w:before="88" w:line="224" w:lineRule="auto"/>
              <w:ind w:left="258"/>
              <w:rPr>
                <w:sz w:val="17"/>
                <w:szCs w:val="17"/>
              </w:rPr>
            </w:pPr>
            <w:r>
              <w:rPr>
                <w:spacing w:val="8"/>
                <w:sz w:val="17"/>
                <w:szCs w:val="17"/>
              </w:rPr>
              <w:t>食用动物油脂</w:t>
            </w:r>
          </w:p>
        </w:tc>
        <w:tc>
          <w:tcPr>
            <w:tcW w:w="1586" w:type="dxa"/>
            <w:vAlign w:val="top"/>
          </w:tcPr>
          <w:p w14:paraId="39259640">
            <w:pPr>
              <w:pStyle w:val="51"/>
              <w:spacing w:before="88" w:line="224" w:lineRule="auto"/>
              <w:ind w:left="260"/>
              <w:rPr>
                <w:sz w:val="17"/>
                <w:szCs w:val="17"/>
              </w:rPr>
            </w:pPr>
            <w:r>
              <w:rPr>
                <w:spacing w:val="8"/>
                <w:sz w:val="17"/>
                <w:szCs w:val="17"/>
              </w:rPr>
              <w:t>食用动物油脂</w:t>
            </w:r>
          </w:p>
        </w:tc>
        <w:tc>
          <w:tcPr>
            <w:tcW w:w="682" w:type="dxa"/>
            <w:vAlign w:val="top"/>
          </w:tcPr>
          <w:p w14:paraId="63EBEF04">
            <w:pPr>
              <w:pStyle w:val="51"/>
              <w:spacing w:before="88" w:line="224" w:lineRule="auto"/>
              <w:ind w:left="267"/>
              <w:rPr>
                <w:sz w:val="17"/>
                <w:szCs w:val="17"/>
              </w:rPr>
            </w:pPr>
            <w:r>
              <w:rPr>
                <w:sz w:val="17"/>
                <w:szCs w:val="17"/>
              </w:rPr>
              <w:t>高</w:t>
            </w:r>
          </w:p>
        </w:tc>
        <w:tc>
          <w:tcPr>
            <w:tcW w:w="8563" w:type="dxa"/>
            <w:vAlign w:val="top"/>
          </w:tcPr>
          <w:p w14:paraId="4629E76E">
            <w:pPr>
              <w:pStyle w:val="51"/>
              <w:spacing w:before="88" w:line="223" w:lineRule="auto"/>
              <w:ind w:left="37"/>
              <w:rPr>
                <w:sz w:val="17"/>
                <w:szCs w:val="17"/>
              </w:rPr>
            </w:pPr>
            <w:r>
              <w:rPr>
                <w:spacing w:val="8"/>
                <w:sz w:val="17"/>
                <w:szCs w:val="17"/>
              </w:rPr>
              <w:t>酸价、过氧化值、丙二醛、苯并[a]芘、铅（以</w:t>
            </w:r>
            <w:r>
              <w:rPr>
                <w:sz w:val="17"/>
                <w:szCs w:val="17"/>
              </w:rPr>
              <w:t>Pb</w:t>
            </w:r>
            <w:r>
              <w:rPr>
                <w:spacing w:val="8"/>
                <w:sz w:val="17"/>
                <w:szCs w:val="17"/>
              </w:rPr>
              <w:t>计）</w:t>
            </w:r>
          </w:p>
        </w:tc>
      </w:tr>
      <w:tr w14:paraId="10201F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5" w:hRule="atLeast"/>
        </w:trPr>
        <w:tc>
          <w:tcPr>
            <w:tcW w:w="459" w:type="dxa"/>
            <w:vMerge w:val="continue"/>
            <w:tcBorders>
              <w:top w:val="nil"/>
            </w:tcBorders>
            <w:vAlign w:val="top"/>
          </w:tcPr>
          <w:p w14:paraId="726F10F5">
            <w:pPr>
              <w:rPr>
                <w:rFonts w:ascii="Arial"/>
                <w:sz w:val="21"/>
              </w:rPr>
            </w:pPr>
          </w:p>
        </w:tc>
        <w:tc>
          <w:tcPr>
            <w:tcW w:w="942" w:type="dxa"/>
            <w:vMerge w:val="continue"/>
            <w:tcBorders>
              <w:top w:val="nil"/>
            </w:tcBorders>
            <w:vAlign w:val="top"/>
          </w:tcPr>
          <w:p w14:paraId="25F6A5BC">
            <w:pPr>
              <w:rPr>
                <w:rFonts w:ascii="Arial"/>
                <w:sz w:val="21"/>
              </w:rPr>
            </w:pPr>
          </w:p>
        </w:tc>
        <w:tc>
          <w:tcPr>
            <w:tcW w:w="1360" w:type="dxa"/>
            <w:vAlign w:val="top"/>
          </w:tcPr>
          <w:p w14:paraId="4846086E">
            <w:pPr>
              <w:pStyle w:val="51"/>
              <w:spacing w:before="88" w:line="224" w:lineRule="auto"/>
              <w:ind w:left="146"/>
              <w:rPr>
                <w:sz w:val="17"/>
                <w:szCs w:val="17"/>
              </w:rPr>
            </w:pPr>
            <w:r>
              <w:rPr>
                <w:spacing w:val="8"/>
                <w:sz w:val="17"/>
                <w:szCs w:val="17"/>
              </w:rPr>
              <w:t>食用油脂制品</w:t>
            </w:r>
          </w:p>
        </w:tc>
        <w:tc>
          <w:tcPr>
            <w:tcW w:w="1581" w:type="dxa"/>
            <w:vAlign w:val="top"/>
          </w:tcPr>
          <w:p w14:paraId="0993D8C3">
            <w:pPr>
              <w:pStyle w:val="51"/>
              <w:spacing w:before="88" w:line="224" w:lineRule="auto"/>
              <w:ind w:left="258"/>
              <w:rPr>
                <w:sz w:val="17"/>
                <w:szCs w:val="17"/>
              </w:rPr>
            </w:pPr>
            <w:r>
              <w:rPr>
                <w:spacing w:val="8"/>
                <w:sz w:val="17"/>
                <w:szCs w:val="17"/>
              </w:rPr>
              <w:t>食用油脂制品</w:t>
            </w:r>
          </w:p>
        </w:tc>
        <w:tc>
          <w:tcPr>
            <w:tcW w:w="1586" w:type="dxa"/>
            <w:vAlign w:val="top"/>
          </w:tcPr>
          <w:p w14:paraId="4939A34A">
            <w:pPr>
              <w:pStyle w:val="51"/>
              <w:spacing w:before="88" w:line="224" w:lineRule="auto"/>
              <w:ind w:left="260"/>
              <w:rPr>
                <w:sz w:val="17"/>
                <w:szCs w:val="17"/>
              </w:rPr>
            </w:pPr>
            <w:r>
              <w:rPr>
                <w:spacing w:val="8"/>
                <w:sz w:val="17"/>
                <w:szCs w:val="17"/>
              </w:rPr>
              <w:t>食用油脂制品</w:t>
            </w:r>
          </w:p>
        </w:tc>
        <w:tc>
          <w:tcPr>
            <w:tcW w:w="682" w:type="dxa"/>
            <w:vAlign w:val="top"/>
          </w:tcPr>
          <w:p w14:paraId="71AC65B0">
            <w:pPr>
              <w:pStyle w:val="51"/>
              <w:spacing w:before="88" w:line="224" w:lineRule="auto"/>
              <w:ind w:left="170"/>
              <w:rPr>
                <w:sz w:val="17"/>
                <w:szCs w:val="17"/>
              </w:rPr>
            </w:pPr>
            <w:r>
              <w:rPr>
                <w:spacing w:val="3"/>
                <w:sz w:val="17"/>
                <w:szCs w:val="17"/>
              </w:rPr>
              <w:t>较高</w:t>
            </w:r>
          </w:p>
        </w:tc>
        <w:tc>
          <w:tcPr>
            <w:tcW w:w="8563" w:type="dxa"/>
            <w:vAlign w:val="top"/>
          </w:tcPr>
          <w:p w14:paraId="4077C2B5">
            <w:pPr>
              <w:pStyle w:val="51"/>
              <w:spacing w:before="88" w:line="224" w:lineRule="auto"/>
              <w:ind w:left="37"/>
              <w:rPr>
                <w:sz w:val="17"/>
                <w:szCs w:val="17"/>
              </w:rPr>
            </w:pPr>
            <w:r>
              <w:rPr>
                <w:spacing w:val="9"/>
                <w:sz w:val="17"/>
                <w:szCs w:val="17"/>
              </w:rPr>
              <w:t>酸价（以脂肪计）、过氧化值（以脂肪计）、大肠菌群、霉菌</w:t>
            </w:r>
          </w:p>
        </w:tc>
      </w:tr>
      <w:tr w14:paraId="431169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trPr>
        <w:tc>
          <w:tcPr>
            <w:tcW w:w="459" w:type="dxa"/>
            <w:vMerge w:val="restart"/>
            <w:tcBorders>
              <w:bottom w:val="nil"/>
            </w:tcBorders>
            <w:vAlign w:val="top"/>
          </w:tcPr>
          <w:p w14:paraId="31C894EC">
            <w:pPr>
              <w:spacing w:line="262" w:lineRule="auto"/>
              <w:rPr>
                <w:rFonts w:ascii="Arial"/>
                <w:sz w:val="21"/>
              </w:rPr>
            </w:pPr>
          </w:p>
          <w:p w14:paraId="3855795C">
            <w:pPr>
              <w:spacing w:line="262" w:lineRule="auto"/>
              <w:rPr>
                <w:rFonts w:ascii="Arial"/>
                <w:sz w:val="21"/>
              </w:rPr>
            </w:pPr>
          </w:p>
          <w:p w14:paraId="54901D8E">
            <w:pPr>
              <w:spacing w:line="262" w:lineRule="auto"/>
              <w:rPr>
                <w:rFonts w:ascii="Arial"/>
                <w:sz w:val="21"/>
              </w:rPr>
            </w:pPr>
          </w:p>
          <w:p w14:paraId="3A54D7F5">
            <w:pPr>
              <w:spacing w:line="262" w:lineRule="auto"/>
              <w:rPr>
                <w:rFonts w:ascii="Arial"/>
                <w:sz w:val="21"/>
              </w:rPr>
            </w:pPr>
          </w:p>
          <w:p w14:paraId="78B3FA68">
            <w:pPr>
              <w:spacing w:line="262" w:lineRule="auto"/>
              <w:rPr>
                <w:rFonts w:ascii="Arial"/>
                <w:sz w:val="21"/>
              </w:rPr>
            </w:pPr>
          </w:p>
          <w:p w14:paraId="196DAE95">
            <w:pPr>
              <w:spacing w:line="262" w:lineRule="auto"/>
              <w:rPr>
                <w:rFonts w:ascii="Arial"/>
                <w:sz w:val="21"/>
              </w:rPr>
            </w:pPr>
          </w:p>
          <w:p w14:paraId="72D6D354">
            <w:pPr>
              <w:spacing w:line="263" w:lineRule="auto"/>
              <w:rPr>
                <w:rFonts w:ascii="Arial"/>
                <w:sz w:val="21"/>
              </w:rPr>
            </w:pPr>
          </w:p>
          <w:p w14:paraId="546A1F6B">
            <w:pPr>
              <w:pStyle w:val="51"/>
              <w:spacing w:before="56" w:line="227" w:lineRule="exact"/>
              <w:ind w:left="192"/>
              <w:rPr>
                <w:sz w:val="17"/>
                <w:szCs w:val="17"/>
              </w:rPr>
            </w:pPr>
            <w:r>
              <w:rPr>
                <w:position w:val="1"/>
                <w:sz w:val="17"/>
                <w:szCs w:val="17"/>
              </w:rPr>
              <w:t>3</w:t>
            </w:r>
          </w:p>
        </w:tc>
        <w:tc>
          <w:tcPr>
            <w:tcW w:w="942" w:type="dxa"/>
            <w:vMerge w:val="restart"/>
            <w:tcBorders>
              <w:bottom w:val="nil"/>
            </w:tcBorders>
            <w:vAlign w:val="top"/>
          </w:tcPr>
          <w:p w14:paraId="4EBE4E31">
            <w:pPr>
              <w:spacing w:line="262" w:lineRule="auto"/>
              <w:rPr>
                <w:rFonts w:ascii="Arial"/>
                <w:sz w:val="21"/>
              </w:rPr>
            </w:pPr>
          </w:p>
          <w:p w14:paraId="1E7D4A42">
            <w:pPr>
              <w:spacing w:line="262" w:lineRule="auto"/>
              <w:rPr>
                <w:rFonts w:ascii="Arial"/>
                <w:sz w:val="21"/>
              </w:rPr>
            </w:pPr>
          </w:p>
          <w:p w14:paraId="5DB541B3">
            <w:pPr>
              <w:spacing w:line="262" w:lineRule="auto"/>
              <w:rPr>
                <w:rFonts w:ascii="Arial"/>
                <w:sz w:val="21"/>
              </w:rPr>
            </w:pPr>
          </w:p>
          <w:p w14:paraId="68005D9B">
            <w:pPr>
              <w:spacing w:line="262" w:lineRule="auto"/>
              <w:rPr>
                <w:rFonts w:ascii="Arial"/>
                <w:sz w:val="21"/>
              </w:rPr>
            </w:pPr>
          </w:p>
          <w:p w14:paraId="6BEA642A">
            <w:pPr>
              <w:spacing w:line="262" w:lineRule="auto"/>
              <w:rPr>
                <w:rFonts w:ascii="Arial"/>
                <w:sz w:val="21"/>
              </w:rPr>
            </w:pPr>
          </w:p>
          <w:p w14:paraId="1368C382">
            <w:pPr>
              <w:spacing w:line="262" w:lineRule="auto"/>
              <w:rPr>
                <w:rFonts w:ascii="Arial"/>
                <w:sz w:val="21"/>
              </w:rPr>
            </w:pPr>
          </w:p>
          <w:p w14:paraId="25BA24D3">
            <w:pPr>
              <w:spacing w:line="263" w:lineRule="auto"/>
              <w:rPr>
                <w:rFonts w:ascii="Arial"/>
                <w:sz w:val="21"/>
              </w:rPr>
            </w:pPr>
          </w:p>
          <w:p w14:paraId="4BE6743A">
            <w:pPr>
              <w:pStyle w:val="51"/>
              <w:spacing w:before="55" w:line="227" w:lineRule="auto"/>
              <w:ind w:left="208"/>
              <w:rPr>
                <w:sz w:val="17"/>
                <w:szCs w:val="17"/>
              </w:rPr>
            </w:pPr>
            <w:r>
              <w:rPr>
                <w:spacing w:val="6"/>
                <w:sz w:val="17"/>
                <w:szCs w:val="17"/>
              </w:rPr>
              <w:t>调味品</w:t>
            </w:r>
          </w:p>
        </w:tc>
        <w:tc>
          <w:tcPr>
            <w:tcW w:w="1360" w:type="dxa"/>
            <w:vAlign w:val="top"/>
          </w:tcPr>
          <w:p w14:paraId="7181C3FE">
            <w:pPr>
              <w:spacing w:line="478" w:lineRule="auto"/>
              <w:rPr>
                <w:rFonts w:ascii="Arial"/>
                <w:sz w:val="21"/>
              </w:rPr>
            </w:pPr>
          </w:p>
          <w:p w14:paraId="712E7D52">
            <w:pPr>
              <w:pStyle w:val="51"/>
              <w:spacing w:before="55" w:line="229" w:lineRule="auto"/>
              <w:ind w:left="506"/>
              <w:rPr>
                <w:sz w:val="17"/>
                <w:szCs w:val="17"/>
              </w:rPr>
            </w:pPr>
            <w:r>
              <w:rPr>
                <w:spacing w:val="4"/>
                <w:sz w:val="17"/>
                <w:szCs w:val="17"/>
              </w:rPr>
              <w:t>酱油</w:t>
            </w:r>
          </w:p>
        </w:tc>
        <w:tc>
          <w:tcPr>
            <w:tcW w:w="1581" w:type="dxa"/>
            <w:vAlign w:val="top"/>
          </w:tcPr>
          <w:p w14:paraId="46207372">
            <w:pPr>
              <w:spacing w:line="478" w:lineRule="auto"/>
              <w:rPr>
                <w:rFonts w:ascii="Arial"/>
                <w:sz w:val="21"/>
              </w:rPr>
            </w:pPr>
          </w:p>
          <w:p w14:paraId="309AA33D">
            <w:pPr>
              <w:pStyle w:val="51"/>
              <w:spacing w:before="55" w:line="229" w:lineRule="auto"/>
              <w:ind w:left="618"/>
              <w:rPr>
                <w:sz w:val="17"/>
                <w:szCs w:val="17"/>
              </w:rPr>
            </w:pPr>
            <w:r>
              <w:rPr>
                <w:spacing w:val="4"/>
                <w:sz w:val="17"/>
                <w:szCs w:val="17"/>
              </w:rPr>
              <w:t>酱油</w:t>
            </w:r>
          </w:p>
        </w:tc>
        <w:tc>
          <w:tcPr>
            <w:tcW w:w="1586" w:type="dxa"/>
            <w:vAlign w:val="top"/>
          </w:tcPr>
          <w:p w14:paraId="2910CAED">
            <w:pPr>
              <w:spacing w:line="478" w:lineRule="auto"/>
              <w:rPr>
                <w:rFonts w:ascii="Arial"/>
                <w:sz w:val="21"/>
              </w:rPr>
            </w:pPr>
          </w:p>
          <w:p w14:paraId="4B845289">
            <w:pPr>
              <w:pStyle w:val="51"/>
              <w:spacing w:before="55" w:line="229" w:lineRule="auto"/>
              <w:ind w:left="620"/>
              <w:rPr>
                <w:sz w:val="17"/>
                <w:szCs w:val="17"/>
              </w:rPr>
            </w:pPr>
            <w:r>
              <w:rPr>
                <w:spacing w:val="4"/>
                <w:sz w:val="17"/>
                <w:szCs w:val="17"/>
              </w:rPr>
              <w:t>酱油</w:t>
            </w:r>
          </w:p>
        </w:tc>
        <w:tc>
          <w:tcPr>
            <w:tcW w:w="682" w:type="dxa"/>
            <w:vAlign w:val="top"/>
          </w:tcPr>
          <w:p w14:paraId="537ED5FB">
            <w:pPr>
              <w:spacing w:line="478" w:lineRule="auto"/>
              <w:rPr>
                <w:rFonts w:ascii="Arial"/>
                <w:sz w:val="21"/>
              </w:rPr>
            </w:pPr>
          </w:p>
          <w:p w14:paraId="2DF93235">
            <w:pPr>
              <w:pStyle w:val="51"/>
              <w:spacing w:before="55" w:line="230" w:lineRule="auto"/>
              <w:ind w:left="173"/>
              <w:rPr>
                <w:sz w:val="17"/>
                <w:szCs w:val="17"/>
              </w:rPr>
            </w:pPr>
            <w:r>
              <w:rPr>
                <w:spacing w:val="2"/>
                <w:sz w:val="17"/>
                <w:szCs w:val="17"/>
              </w:rPr>
              <w:t>一般</w:t>
            </w:r>
          </w:p>
        </w:tc>
        <w:tc>
          <w:tcPr>
            <w:tcW w:w="8563" w:type="dxa"/>
            <w:vAlign w:val="top"/>
          </w:tcPr>
          <w:p w14:paraId="15575141">
            <w:pPr>
              <w:pStyle w:val="51"/>
              <w:spacing w:before="89" w:line="300" w:lineRule="auto"/>
              <w:ind w:left="37" w:right="24" w:firstLine="6"/>
              <w:jc w:val="both"/>
              <w:rPr>
                <w:sz w:val="17"/>
                <w:szCs w:val="17"/>
              </w:rPr>
            </w:pPr>
            <w:r>
              <w:rPr>
                <w:spacing w:val="11"/>
                <w:sz w:val="17"/>
                <w:szCs w:val="17"/>
              </w:rPr>
              <w:t>氨基酸态氮、全氮（以氮计）、铵盐（以占氨基酸态氮的百分比</w:t>
            </w:r>
            <w:r>
              <w:rPr>
                <w:spacing w:val="10"/>
                <w:sz w:val="17"/>
                <w:szCs w:val="17"/>
              </w:rPr>
              <w:t>计）、苯甲酸及其钠盐（以苯甲酸计）、山</w:t>
            </w:r>
            <w:r>
              <w:rPr>
                <w:spacing w:val="11"/>
                <w:sz w:val="17"/>
                <w:szCs w:val="17"/>
              </w:rPr>
              <w:t>梨酸及其钾盐（以山梨酸计）、脱氢乙酸及其钠盐（以脱氢乙酸计）、对羟基</w:t>
            </w:r>
            <w:r>
              <w:rPr>
                <w:spacing w:val="10"/>
                <w:sz w:val="17"/>
                <w:szCs w:val="17"/>
              </w:rPr>
              <w:t>苯甲酸酯类及其钠盐（以对羟基苯甲酸计）、防腐剂混合使用时各自用量占其最大使用量的比例之和</w:t>
            </w:r>
            <w:r>
              <w:rPr>
                <w:spacing w:val="9"/>
                <w:sz w:val="17"/>
                <w:szCs w:val="17"/>
              </w:rPr>
              <w:t>、糖精钠（以糖精计）</w:t>
            </w:r>
            <w:r>
              <w:rPr>
                <w:spacing w:val="-35"/>
                <w:sz w:val="17"/>
                <w:szCs w:val="17"/>
              </w:rPr>
              <w:t xml:space="preserve"> </w:t>
            </w:r>
            <w:r>
              <w:rPr>
                <w:spacing w:val="9"/>
                <w:sz w:val="17"/>
                <w:szCs w:val="17"/>
              </w:rPr>
              <w:t>、甜蜜素（以环己基氨基磺酸计）、菌落总数、大肠菌群</w:t>
            </w:r>
          </w:p>
        </w:tc>
      </w:tr>
      <w:tr w14:paraId="4AF33D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trPr>
        <w:tc>
          <w:tcPr>
            <w:tcW w:w="459" w:type="dxa"/>
            <w:vMerge w:val="continue"/>
            <w:tcBorders>
              <w:top w:val="nil"/>
              <w:bottom w:val="nil"/>
            </w:tcBorders>
            <w:vAlign w:val="top"/>
          </w:tcPr>
          <w:p w14:paraId="3567F900">
            <w:pPr>
              <w:rPr>
                <w:rFonts w:ascii="Arial"/>
                <w:sz w:val="21"/>
              </w:rPr>
            </w:pPr>
          </w:p>
        </w:tc>
        <w:tc>
          <w:tcPr>
            <w:tcW w:w="942" w:type="dxa"/>
            <w:vMerge w:val="continue"/>
            <w:tcBorders>
              <w:top w:val="nil"/>
              <w:bottom w:val="nil"/>
            </w:tcBorders>
            <w:vAlign w:val="top"/>
          </w:tcPr>
          <w:p w14:paraId="48D7204F">
            <w:pPr>
              <w:rPr>
                <w:rFonts w:ascii="Arial"/>
                <w:sz w:val="21"/>
              </w:rPr>
            </w:pPr>
          </w:p>
        </w:tc>
        <w:tc>
          <w:tcPr>
            <w:tcW w:w="1360" w:type="dxa"/>
            <w:vAlign w:val="top"/>
          </w:tcPr>
          <w:p w14:paraId="754E138D">
            <w:pPr>
              <w:rPr>
                <w:rFonts w:ascii="Arial"/>
                <w:sz w:val="21"/>
              </w:rPr>
            </w:pPr>
          </w:p>
          <w:p w14:paraId="3C59BD8B">
            <w:pPr>
              <w:spacing w:line="241" w:lineRule="auto"/>
              <w:rPr>
                <w:rFonts w:ascii="Arial"/>
                <w:sz w:val="21"/>
              </w:rPr>
            </w:pPr>
          </w:p>
          <w:p w14:paraId="69F9B18A">
            <w:pPr>
              <w:pStyle w:val="51"/>
              <w:spacing w:before="56" w:line="229" w:lineRule="auto"/>
              <w:ind w:left="506"/>
              <w:rPr>
                <w:sz w:val="17"/>
                <w:szCs w:val="17"/>
              </w:rPr>
            </w:pPr>
            <w:r>
              <w:rPr>
                <w:spacing w:val="4"/>
                <w:sz w:val="17"/>
                <w:szCs w:val="17"/>
              </w:rPr>
              <w:t>食醋</w:t>
            </w:r>
          </w:p>
        </w:tc>
        <w:tc>
          <w:tcPr>
            <w:tcW w:w="1581" w:type="dxa"/>
            <w:vAlign w:val="top"/>
          </w:tcPr>
          <w:p w14:paraId="5AC13664">
            <w:pPr>
              <w:rPr>
                <w:rFonts w:ascii="Arial"/>
                <w:sz w:val="21"/>
              </w:rPr>
            </w:pPr>
          </w:p>
          <w:p w14:paraId="41D60B6D">
            <w:pPr>
              <w:spacing w:line="241" w:lineRule="auto"/>
              <w:rPr>
                <w:rFonts w:ascii="Arial"/>
                <w:sz w:val="21"/>
              </w:rPr>
            </w:pPr>
          </w:p>
          <w:p w14:paraId="2643D896">
            <w:pPr>
              <w:pStyle w:val="51"/>
              <w:spacing w:before="56" w:line="229" w:lineRule="auto"/>
              <w:ind w:left="618"/>
              <w:rPr>
                <w:sz w:val="17"/>
                <w:szCs w:val="17"/>
              </w:rPr>
            </w:pPr>
            <w:r>
              <w:rPr>
                <w:spacing w:val="4"/>
                <w:sz w:val="17"/>
                <w:szCs w:val="17"/>
              </w:rPr>
              <w:t>食醋</w:t>
            </w:r>
          </w:p>
        </w:tc>
        <w:tc>
          <w:tcPr>
            <w:tcW w:w="1586" w:type="dxa"/>
            <w:vAlign w:val="top"/>
          </w:tcPr>
          <w:p w14:paraId="0A6BDE7E">
            <w:pPr>
              <w:rPr>
                <w:rFonts w:ascii="Arial"/>
                <w:sz w:val="21"/>
              </w:rPr>
            </w:pPr>
          </w:p>
          <w:p w14:paraId="6E20B95D">
            <w:pPr>
              <w:spacing w:line="241" w:lineRule="auto"/>
              <w:rPr>
                <w:rFonts w:ascii="Arial"/>
                <w:sz w:val="21"/>
              </w:rPr>
            </w:pPr>
          </w:p>
          <w:p w14:paraId="63C3733A">
            <w:pPr>
              <w:pStyle w:val="51"/>
              <w:spacing w:before="56" w:line="229" w:lineRule="auto"/>
              <w:ind w:left="620"/>
              <w:rPr>
                <w:sz w:val="17"/>
                <w:szCs w:val="17"/>
              </w:rPr>
            </w:pPr>
            <w:r>
              <w:rPr>
                <w:spacing w:val="4"/>
                <w:sz w:val="17"/>
                <w:szCs w:val="17"/>
              </w:rPr>
              <w:t>食醋</w:t>
            </w:r>
          </w:p>
        </w:tc>
        <w:tc>
          <w:tcPr>
            <w:tcW w:w="682" w:type="dxa"/>
            <w:vAlign w:val="top"/>
          </w:tcPr>
          <w:p w14:paraId="1A39C29C">
            <w:pPr>
              <w:rPr>
                <w:rFonts w:ascii="Arial"/>
                <w:sz w:val="21"/>
              </w:rPr>
            </w:pPr>
          </w:p>
          <w:p w14:paraId="2669B399">
            <w:pPr>
              <w:spacing w:line="241" w:lineRule="auto"/>
              <w:rPr>
                <w:rFonts w:ascii="Arial"/>
                <w:sz w:val="21"/>
              </w:rPr>
            </w:pPr>
          </w:p>
          <w:p w14:paraId="0A911BC4">
            <w:pPr>
              <w:pStyle w:val="51"/>
              <w:spacing w:before="55" w:line="230" w:lineRule="auto"/>
              <w:ind w:left="173"/>
              <w:rPr>
                <w:sz w:val="17"/>
                <w:szCs w:val="17"/>
              </w:rPr>
            </w:pPr>
            <w:r>
              <w:rPr>
                <w:spacing w:val="2"/>
                <w:sz w:val="17"/>
                <w:szCs w:val="17"/>
              </w:rPr>
              <w:t>一般</w:t>
            </w:r>
          </w:p>
        </w:tc>
        <w:tc>
          <w:tcPr>
            <w:tcW w:w="8563" w:type="dxa"/>
            <w:vAlign w:val="top"/>
          </w:tcPr>
          <w:p w14:paraId="490809D7">
            <w:pPr>
              <w:pStyle w:val="51"/>
              <w:spacing w:before="89" w:line="300" w:lineRule="auto"/>
              <w:ind w:left="37" w:right="24" w:firstLine="7"/>
              <w:jc w:val="both"/>
              <w:rPr>
                <w:sz w:val="17"/>
                <w:szCs w:val="17"/>
              </w:rPr>
            </w:pPr>
            <w:r>
              <w:rPr>
                <w:spacing w:val="9"/>
                <w:sz w:val="17"/>
                <w:szCs w:val="17"/>
              </w:rPr>
              <w:t>总酸（以乙酸计）、不挥发酸（以乳酸计）</w:t>
            </w:r>
            <w:r>
              <w:rPr>
                <w:spacing w:val="-25"/>
                <w:sz w:val="17"/>
                <w:szCs w:val="17"/>
              </w:rPr>
              <w:t xml:space="preserve"> </w:t>
            </w:r>
            <w:r>
              <w:rPr>
                <w:spacing w:val="9"/>
                <w:sz w:val="17"/>
                <w:szCs w:val="17"/>
              </w:rPr>
              <w:t>、苯甲酸及</w:t>
            </w:r>
            <w:r>
              <w:rPr>
                <w:spacing w:val="8"/>
                <w:sz w:val="17"/>
                <w:szCs w:val="17"/>
              </w:rPr>
              <w:t>其钠盐（以苯甲酸计）</w:t>
            </w:r>
            <w:r>
              <w:rPr>
                <w:spacing w:val="-48"/>
                <w:sz w:val="17"/>
                <w:szCs w:val="17"/>
              </w:rPr>
              <w:t xml:space="preserve"> </w:t>
            </w:r>
            <w:r>
              <w:rPr>
                <w:spacing w:val="8"/>
                <w:sz w:val="17"/>
                <w:szCs w:val="17"/>
              </w:rPr>
              <w:t>、山梨酸及其钾盐（以山梨酸</w:t>
            </w:r>
            <w:r>
              <w:rPr>
                <w:spacing w:val="9"/>
                <w:sz w:val="17"/>
                <w:szCs w:val="17"/>
              </w:rPr>
              <w:t>计）</w:t>
            </w:r>
            <w:r>
              <w:rPr>
                <w:spacing w:val="-49"/>
                <w:sz w:val="17"/>
                <w:szCs w:val="17"/>
              </w:rPr>
              <w:t xml:space="preserve"> </w:t>
            </w:r>
            <w:r>
              <w:rPr>
                <w:spacing w:val="9"/>
                <w:sz w:val="17"/>
                <w:szCs w:val="17"/>
              </w:rPr>
              <w:t>、脱氢乙酸及其钠盐（以脱氢乙酸计）</w:t>
            </w:r>
            <w:r>
              <w:rPr>
                <w:spacing w:val="-25"/>
                <w:sz w:val="17"/>
                <w:szCs w:val="17"/>
              </w:rPr>
              <w:t xml:space="preserve"> </w:t>
            </w:r>
            <w:r>
              <w:rPr>
                <w:spacing w:val="9"/>
                <w:sz w:val="17"/>
                <w:szCs w:val="17"/>
              </w:rPr>
              <w:t>、对羟基苯甲酸酯类及其钠盐</w:t>
            </w:r>
            <w:r>
              <w:rPr>
                <w:spacing w:val="8"/>
                <w:sz w:val="17"/>
                <w:szCs w:val="17"/>
              </w:rPr>
              <w:t>（以对羟基苯甲酸计）、防腐剂混</w:t>
            </w:r>
            <w:r>
              <w:rPr>
                <w:spacing w:val="11"/>
                <w:sz w:val="17"/>
                <w:szCs w:val="17"/>
              </w:rPr>
              <w:t>合使用时各自用量占其最大使用量的比例之和、糖精钠（以糖精计）、三氯蔗</w:t>
            </w:r>
            <w:r>
              <w:rPr>
                <w:spacing w:val="10"/>
                <w:sz w:val="17"/>
                <w:szCs w:val="17"/>
              </w:rPr>
              <w:t>糖、甜蜜素（以环己基氨基磺</w:t>
            </w:r>
            <w:r>
              <w:rPr>
                <w:spacing w:val="8"/>
                <w:sz w:val="17"/>
                <w:szCs w:val="17"/>
              </w:rPr>
              <w:t>酸计）、菌落总数</w:t>
            </w:r>
          </w:p>
        </w:tc>
      </w:tr>
      <w:tr w14:paraId="564019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4" w:hRule="atLeast"/>
        </w:trPr>
        <w:tc>
          <w:tcPr>
            <w:tcW w:w="459" w:type="dxa"/>
            <w:vMerge w:val="continue"/>
            <w:tcBorders>
              <w:top w:val="nil"/>
              <w:bottom w:val="nil"/>
            </w:tcBorders>
            <w:vAlign w:val="top"/>
          </w:tcPr>
          <w:p w14:paraId="4549CB2B">
            <w:pPr>
              <w:rPr>
                <w:rFonts w:ascii="Arial"/>
                <w:sz w:val="21"/>
              </w:rPr>
            </w:pPr>
          </w:p>
        </w:tc>
        <w:tc>
          <w:tcPr>
            <w:tcW w:w="942" w:type="dxa"/>
            <w:vMerge w:val="continue"/>
            <w:tcBorders>
              <w:top w:val="nil"/>
              <w:bottom w:val="nil"/>
            </w:tcBorders>
            <w:vAlign w:val="top"/>
          </w:tcPr>
          <w:p w14:paraId="64E83DC0">
            <w:pPr>
              <w:rPr>
                <w:rFonts w:ascii="Arial"/>
                <w:sz w:val="21"/>
              </w:rPr>
            </w:pPr>
          </w:p>
        </w:tc>
        <w:tc>
          <w:tcPr>
            <w:tcW w:w="1360" w:type="dxa"/>
            <w:vAlign w:val="top"/>
          </w:tcPr>
          <w:p w14:paraId="0C200218">
            <w:pPr>
              <w:spacing w:line="331" w:lineRule="auto"/>
              <w:rPr>
                <w:rFonts w:ascii="Arial"/>
                <w:sz w:val="21"/>
              </w:rPr>
            </w:pPr>
          </w:p>
          <w:p w14:paraId="7390B5D8">
            <w:pPr>
              <w:pStyle w:val="51"/>
              <w:spacing w:before="55" w:line="229" w:lineRule="auto"/>
              <w:ind w:left="506"/>
              <w:rPr>
                <w:sz w:val="17"/>
                <w:szCs w:val="17"/>
              </w:rPr>
            </w:pPr>
            <w:r>
              <w:rPr>
                <w:spacing w:val="4"/>
                <w:sz w:val="17"/>
                <w:szCs w:val="17"/>
              </w:rPr>
              <w:t>酱类</w:t>
            </w:r>
          </w:p>
        </w:tc>
        <w:tc>
          <w:tcPr>
            <w:tcW w:w="1581" w:type="dxa"/>
            <w:vAlign w:val="top"/>
          </w:tcPr>
          <w:p w14:paraId="102C096F">
            <w:pPr>
              <w:spacing w:line="331" w:lineRule="auto"/>
              <w:rPr>
                <w:rFonts w:ascii="Arial"/>
                <w:sz w:val="21"/>
              </w:rPr>
            </w:pPr>
          </w:p>
          <w:p w14:paraId="71A8ECA3">
            <w:pPr>
              <w:pStyle w:val="51"/>
              <w:spacing w:before="55" w:line="229" w:lineRule="auto"/>
              <w:ind w:left="529"/>
              <w:rPr>
                <w:sz w:val="17"/>
                <w:szCs w:val="17"/>
              </w:rPr>
            </w:pPr>
            <w:r>
              <w:rPr>
                <w:spacing w:val="5"/>
                <w:sz w:val="17"/>
                <w:szCs w:val="17"/>
              </w:rPr>
              <w:t>酿造酱</w:t>
            </w:r>
          </w:p>
        </w:tc>
        <w:tc>
          <w:tcPr>
            <w:tcW w:w="1586" w:type="dxa"/>
            <w:vAlign w:val="top"/>
          </w:tcPr>
          <w:p w14:paraId="142539A4">
            <w:pPr>
              <w:spacing w:line="331" w:lineRule="auto"/>
              <w:rPr>
                <w:rFonts w:ascii="Arial"/>
                <w:sz w:val="21"/>
              </w:rPr>
            </w:pPr>
          </w:p>
          <w:p w14:paraId="7A636872">
            <w:pPr>
              <w:pStyle w:val="51"/>
              <w:spacing w:before="55" w:line="229" w:lineRule="auto"/>
              <w:ind w:left="80"/>
              <w:rPr>
                <w:sz w:val="17"/>
                <w:szCs w:val="17"/>
              </w:rPr>
            </w:pPr>
            <w:r>
              <w:rPr>
                <w:spacing w:val="8"/>
                <w:sz w:val="17"/>
                <w:szCs w:val="17"/>
              </w:rPr>
              <w:t>黄豆酱、甜面酱等</w:t>
            </w:r>
          </w:p>
        </w:tc>
        <w:tc>
          <w:tcPr>
            <w:tcW w:w="682" w:type="dxa"/>
            <w:vAlign w:val="top"/>
          </w:tcPr>
          <w:p w14:paraId="31423117">
            <w:pPr>
              <w:spacing w:line="331" w:lineRule="auto"/>
              <w:rPr>
                <w:rFonts w:ascii="Arial"/>
                <w:sz w:val="21"/>
              </w:rPr>
            </w:pPr>
          </w:p>
          <w:p w14:paraId="4BA5A2DD">
            <w:pPr>
              <w:pStyle w:val="51"/>
              <w:spacing w:before="56" w:line="230" w:lineRule="auto"/>
              <w:ind w:left="173"/>
              <w:rPr>
                <w:sz w:val="17"/>
                <w:szCs w:val="17"/>
              </w:rPr>
            </w:pPr>
            <w:r>
              <w:rPr>
                <w:spacing w:val="2"/>
                <w:sz w:val="17"/>
                <w:szCs w:val="17"/>
              </w:rPr>
              <w:t>一般</w:t>
            </w:r>
          </w:p>
        </w:tc>
        <w:tc>
          <w:tcPr>
            <w:tcW w:w="8563" w:type="dxa"/>
            <w:vAlign w:val="top"/>
          </w:tcPr>
          <w:p w14:paraId="5067AE2B">
            <w:pPr>
              <w:pStyle w:val="51"/>
              <w:spacing w:before="90" w:line="291" w:lineRule="auto"/>
              <w:ind w:left="38" w:right="21" w:firstLine="5"/>
              <w:rPr>
                <w:sz w:val="17"/>
                <w:szCs w:val="17"/>
              </w:rPr>
            </w:pPr>
            <w:r>
              <w:rPr>
                <w:spacing w:val="7"/>
                <w:sz w:val="17"/>
                <w:szCs w:val="17"/>
              </w:rPr>
              <w:t>氨基酸态氮、黄曲霉毒素B</w:t>
            </w:r>
            <w:r>
              <w:rPr>
                <w:spacing w:val="7"/>
                <w:position w:val="-2"/>
                <w:sz w:val="8"/>
                <w:szCs w:val="8"/>
              </w:rPr>
              <w:t>1</w:t>
            </w:r>
            <w:r>
              <w:rPr>
                <w:spacing w:val="-8"/>
                <w:position w:val="-2"/>
                <w:sz w:val="8"/>
                <w:szCs w:val="8"/>
              </w:rPr>
              <w:t xml:space="preserve"> </w:t>
            </w:r>
            <w:r>
              <w:rPr>
                <w:spacing w:val="7"/>
                <w:sz w:val="17"/>
                <w:szCs w:val="17"/>
              </w:rPr>
              <w:t>、苯甲酸及其钠盐（以苯甲酸计）、山梨酸及其钾盐（以山梨酸计）、脱氢乙酸及</w:t>
            </w:r>
            <w:r>
              <w:rPr>
                <w:spacing w:val="10"/>
                <w:sz w:val="17"/>
                <w:szCs w:val="17"/>
              </w:rPr>
              <w:t>其钠盐（以脱氢乙酸计）、防腐剂混合使用时各自用</w:t>
            </w:r>
            <w:r>
              <w:rPr>
                <w:spacing w:val="9"/>
                <w:sz w:val="17"/>
                <w:szCs w:val="17"/>
              </w:rPr>
              <w:t>量占其最大使用量的比例之和、糖精钠（以糖精计）</w:t>
            </w:r>
            <w:r>
              <w:rPr>
                <w:spacing w:val="-25"/>
                <w:sz w:val="17"/>
                <w:szCs w:val="17"/>
              </w:rPr>
              <w:t xml:space="preserve"> </w:t>
            </w:r>
            <w:r>
              <w:rPr>
                <w:spacing w:val="9"/>
                <w:sz w:val="17"/>
                <w:szCs w:val="17"/>
              </w:rPr>
              <w:t>、甜蜜素（以环己基氨基磺酸计）、安赛蜜、大肠菌群</w:t>
            </w:r>
          </w:p>
        </w:tc>
      </w:tr>
      <w:tr w14:paraId="576FF3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7" w:hRule="atLeast"/>
        </w:trPr>
        <w:tc>
          <w:tcPr>
            <w:tcW w:w="459" w:type="dxa"/>
            <w:vMerge w:val="continue"/>
            <w:tcBorders>
              <w:top w:val="nil"/>
            </w:tcBorders>
            <w:vAlign w:val="top"/>
          </w:tcPr>
          <w:p w14:paraId="1B080C47">
            <w:pPr>
              <w:rPr>
                <w:rFonts w:ascii="Arial"/>
                <w:sz w:val="21"/>
              </w:rPr>
            </w:pPr>
          </w:p>
        </w:tc>
        <w:tc>
          <w:tcPr>
            <w:tcW w:w="942" w:type="dxa"/>
            <w:vMerge w:val="continue"/>
            <w:tcBorders>
              <w:top w:val="nil"/>
            </w:tcBorders>
            <w:vAlign w:val="top"/>
          </w:tcPr>
          <w:p w14:paraId="466704D7">
            <w:pPr>
              <w:rPr>
                <w:rFonts w:ascii="Arial"/>
                <w:sz w:val="21"/>
              </w:rPr>
            </w:pPr>
          </w:p>
        </w:tc>
        <w:tc>
          <w:tcPr>
            <w:tcW w:w="1360" w:type="dxa"/>
            <w:vAlign w:val="top"/>
          </w:tcPr>
          <w:p w14:paraId="18F47044">
            <w:pPr>
              <w:pStyle w:val="51"/>
              <w:spacing w:before="240" w:line="226" w:lineRule="auto"/>
              <w:ind w:left="326"/>
              <w:rPr>
                <w:sz w:val="17"/>
                <w:szCs w:val="17"/>
              </w:rPr>
            </w:pPr>
            <w:r>
              <w:rPr>
                <w:spacing w:val="7"/>
                <w:sz w:val="17"/>
                <w:szCs w:val="17"/>
              </w:rPr>
              <w:t>调味料酒</w:t>
            </w:r>
          </w:p>
        </w:tc>
        <w:tc>
          <w:tcPr>
            <w:tcW w:w="1581" w:type="dxa"/>
            <w:vAlign w:val="top"/>
          </w:tcPr>
          <w:p w14:paraId="253B7E3C">
            <w:pPr>
              <w:pStyle w:val="51"/>
              <w:spacing w:before="240" w:line="226" w:lineRule="auto"/>
              <w:ind w:left="438"/>
              <w:rPr>
                <w:sz w:val="17"/>
                <w:szCs w:val="17"/>
              </w:rPr>
            </w:pPr>
            <w:r>
              <w:rPr>
                <w:spacing w:val="7"/>
                <w:sz w:val="17"/>
                <w:szCs w:val="17"/>
              </w:rPr>
              <w:t>调味料酒</w:t>
            </w:r>
          </w:p>
        </w:tc>
        <w:tc>
          <w:tcPr>
            <w:tcW w:w="1586" w:type="dxa"/>
            <w:vAlign w:val="top"/>
          </w:tcPr>
          <w:p w14:paraId="1B01850E">
            <w:pPr>
              <w:pStyle w:val="51"/>
              <w:spacing w:before="240" w:line="226" w:lineRule="auto"/>
              <w:ind w:left="620"/>
              <w:rPr>
                <w:sz w:val="17"/>
                <w:szCs w:val="17"/>
              </w:rPr>
            </w:pPr>
            <w:r>
              <w:rPr>
                <w:spacing w:val="4"/>
                <w:sz w:val="17"/>
                <w:szCs w:val="17"/>
              </w:rPr>
              <w:t>料酒</w:t>
            </w:r>
          </w:p>
        </w:tc>
        <w:tc>
          <w:tcPr>
            <w:tcW w:w="682" w:type="dxa"/>
            <w:vAlign w:val="top"/>
          </w:tcPr>
          <w:p w14:paraId="66401511">
            <w:pPr>
              <w:pStyle w:val="51"/>
              <w:spacing w:before="241" w:line="230" w:lineRule="auto"/>
              <w:ind w:left="173"/>
              <w:rPr>
                <w:sz w:val="17"/>
                <w:szCs w:val="17"/>
              </w:rPr>
            </w:pPr>
            <w:r>
              <w:rPr>
                <w:spacing w:val="2"/>
                <w:sz w:val="17"/>
                <w:szCs w:val="17"/>
              </w:rPr>
              <w:t>一般</w:t>
            </w:r>
          </w:p>
        </w:tc>
        <w:tc>
          <w:tcPr>
            <w:tcW w:w="8563" w:type="dxa"/>
            <w:vAlign w:val="top"/>
          </w:tcPr>
          <w:p w14:paraId="7ADD3451">
            <w:pPr>
              <w:pStyle w:val="51"/>
              <w:spacing w:before="90" w:line="275" w:lineRule="auto"/>
              <w:ind w:left="37" w:right="24" w:firstLine="6"/>
              <w:rPr>
                <w:sz w:val="17"/>
                <w:szCs w:val="17"/>
              </w:rPr>
            </w:pPr>
            <w:r>
              <w:rPr>
                <w:spacing w:val="11"/>
                <w:sz w:val="17"/>
                <w:szCs w:val="17"/>
              </w:rPr>
              <w:t>氨基酸态氮（以氮计）、苯甲酸及其钠盐（以苯甲酸计）、山梨</w:t>
            </w:r>
            <w:r>
              <w:rPr>
                <w:spacing w:val="10"/>
                <w:sz w:val="17"/>
                <w:szCs w:val="17"/>
              </w:rPr>
              <w:t>酸及其钾盐（以山梨酸计）、脱氢乙酸及其</w:t>
            </w:r>
            <w:r>
              <w:rPr>
                <w:spacing w:val="9"/>
                <w:sz w:val="17"/>
                <w:szCs w:val="17"/>
              </w:rPr>
              <w:t>钠盐（以脱氢乙酸计）、甜蜜素（以环己基氨基磺酸计）、三氯蔗糖</w:t>
            </w:r>
          </w:p>
        </w:tc>
      </w:tr>
    </w:tbl>
    <w:p w14:paraId="5DEBA18B">
      <w:pPr>
        <w:rPr>
          <w:rFonts w:ascii="Arial" w:hAnsi="Arial" w:eastAsia="Arial" w:cs="Arial"/>
          <w:sz w:val="21"/>
          <w:szCs w:val="21"/>
        </w:rPr>
        <w:sectPr>
          <w:footerReference r:id="rId9" w:type="default"/>
          <w:pgSz w:w="16838" w:h="11906"/>
          <w:pgMar w:top="1011" w:right="829" w:bottom="400" w:left="363" w:header="567" w:footer="567" w:gutter="0"/>
          <w:pgNumType w:fmt="decimal"/>
          <w:cols w:space="720" w:num="1"/>
        </w:sectPr>
      </w:pPr>
    </w:p>
    <w:p w14:paraId="1E653C9A">
      <w:pPr>
        <w:spacing w:before="18"/>
      </w:pPr>
    </w:p>
    <w:p w14:paraId="454B2880">
      <w:pPr>
        <w:spacing w:before="18"/>
      </w:pPr>
    </w:p>
    <w:tbl>
      <w:tblPr>
        <w:tblStyle w:val="50"/>
        <w:tblW w:w="15173" w:type="dxa"/>
        <w:tblInd w:w="46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59"/>
        <w:gridCol w:w="942"/>
        <w:gridCol w:w="1360"/>
        <w:gridCol w:w="1581"/>
        <w:gridCol w:w="1586"/>
        <w:gridCol w:w="682"/>
        <w:gridCol w:w="8563"/>
      </w:tblGrid>
      <w:tr w14:paraId="355DE5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459" w:type="dxa"/>
            <w:vAlign w:val="top"/>
          </w:tcPr>
          <w:p w14:paraId="107DAB36">
            <w:pPr>
              <w:spacing w:before="241" w:line="234" w:lineRule="auto"/>
              <w:ind w:left="52"/>
              <w:rPr>
                <w:rFonts w:ascii="黑体" w:hAnsi="黑体" w:eastAsia="黑体" w:cs="黑体"/>
                <w:sz w:val="17"/>
                <w:szCs w:val="17"/>
              </w:rPr>
            </w:pPr>
            <w:r>
              <w:rPr>
                <w:rFonts w:ascii="黑体" w:hAnsi="黑体" w:eastAsia="黑体" w:cs="黑体"/>
                <w:spacing w:val="6"/>
                <w:sz w:val="17"/>
                <w:szCs w:val="17"/>
              </w:rPr>
              <w:t>序号</w:t>
            </w:r>
          </w:p>
        </w:tc>
        <w:tc>
          <w:tcPr>
            <w:tcW w:w="942" w:type="dxa"/>
            <w:vAlign w:val="top"/>
          </w:tcPr>
          <w:p w14:paraId="506E3645">
            <w:pPr>
              <w:spacing w:before="90" w:line="232" w:lineRule="auto"/>
              <w:ind w:left="111"/>
              <w:rPr>
                <w:rFonts w:ascii="黑体" w:hAnsi="黑体" w:eastAsia="黑体" w:cs="黑体"/>
                <w:sz w:val="17"/>
                <w:szCs w:val="17"/>
              </w:rPr>
            </w:pPr>
            <w:r>
              <w:rPr>
                <w:rFonts w:ascii="黑体" w:hAnsi="黑体" w:eastAsia="黑体" w:cs="黑体"/>
                <w:spacing w:val="8"/>
                <w:sz w:val="17"/>
                <w:szCs w:val="17"/>
              </w:rPr>
              <w:t>食品大类</w:t>
            </w:r>
          </w:p>
          <w:p w14:paraId="430E634C">
            <w:pPr>
              <w:spacing w:before="86" w:line="227" w:lineRule="auto"/>
              <w:ind w:left="237"/>
              <w:rPr>
                <w:rFonts w:ascii="黑体" w:hAnsi="黑体" w:eastAsia="黑体" w:cs="黑体"/>
                <w:sz w:val="17"/>
                <w:szCs w:val="17"/>
              </w:rPr>
            </w:pPr>
            <w:r>
              <w:rPr>
                <w:rFonts w:ascii="黑体" w:hAnsi="黑体" w:eastAsia="黑体" w:cs="黑体"/>
                <w:spacing w:val="-4"/>
                <w:sz w:val="17"/>
                <w:szCs w:val="17"/>
              </w:rPr>
              <w:t>(一级)</w:t>
            </w:r>
          </w:p>
        </w:tc>
        <w:tc>
          <w:tcPr>
            <w:tcW w:w="1360" w:type="dxa"/>
            <w:vAlign w:val="top"/>
          </w:tcPr>
          <w:p w14:paraId="2DE93AB1">
            <w:pPr>
              <w:spacing w:before="90" w:line="232" w:lineRule="auto"/>
              <w:ind w:left="321"/>
              <w:rPr>
                <w:rFonts w:ascii="黑体" w:hAnsi="黑体" w:eastAsia="黑体" w:cs="黑体"/>
                <w:sz w:val="17"/>
                <w:szCs w:val="17"/>
              </w:rPr>
            </w:pPr>
            <w:r>
              <w:rPr>
                <w:rFonts w:ascii="黑体" w:hAnsi="黑体" w:eastAsia="黑体" w:cs="黑体"/>
                <w:spacing w:val="8"/>
                <w:sz w:val="17"/>
                <w:szCs w:val="17"/>
              </w:rPr>
              <w:t>食品亚类</w:t>
            </w:r>
          </w:p>
          <w:p w14:paraId="66B3A96B">
            <w:pPr>
              <w:spacing w:before="86" w:line="227" w:lineRule="auto"/>
              <w:ind w:left="444"/>
              <w:rPr>
                <w:rFonts w:ascii="黑体" w:hAnsi="黑体" w:eastAsia="黑体" w:cs="黑体"/>
                <w:sz w:val="17"/>
                <w:szCs w:val="17"/>
              </w:rPr>
            </w:pPr>
            <w:r>
              <w:rPr>
                <w:rFonts w:ascii="黑体" w:hAnsi="黑体" w:eastAsia="黑体" w:cs="黑体"/>
                <w:spacing w:val="-3"/>
                <w:sz w:val="17"/>
                <w:szCs w:val="17"/>
              </w:rPr>
              <w:t>(二级)</w:t>
            </w:r>
          </w:p>
        </w:tc>
        <w:tc>
          <w:tcPr>
            <w:tcW w:w="1581" w:type="dxa"/>
            <w:vAlign w:val="top"/>
          </w:tcPr>
          <w:p w14:paraId="484E8E23">
            <w:pPr>
              <w:spacing w:before="90" w:line="232" w:lineRule="auto"/>
              <w:ind w:left="433"/>
              <w:rPr>
                <w:rFonts w:ascii="黑体" w:hAnsi="黑体" w:eastAsia="黑体" w:cs="黑体"/>
                <w:sz w:val="17"/>
                <w:szCs w:val="17"/>
              </w:rPr>
            </w:pPr>
            <w:r>
              <w:rPr>
                <w:rFonts w:ascii="黑体" w:hAnsi="黑体" w:eastAsia="黑体" w:cs="黑体"/>
                <w:spacing w:val="8"/>
                <w:sz w:val="17"/>
                <w:szCs w:val="17"/>
              </w:rPr>
              <w:t>食品品种</w:t>
            </w:r>
          </w:p>
          <w:p w14:paraId="34871249">
            <w:pPr>
              <w:spacing w:before="86" w:line="227" w:lineRule="auto"/>
              <w:ind w:left="558"/>
              <w:rPr>
                <w:rFonts w:ascii="黑体" w:hAnsi="黑体" w:eastAsia="黑体" w:cs="黑体"/>
                <w:sz w:val="17"/>
                <w:szCs w:val="17"/>
              </w:rPr>
            </w:pPr>
            <w:r>
              <w:rPr>
                <w:rFonts w:ascii="黑体" w:hAnsi="黑体" w:eastAsia="黑体" w:cs="黑体"/>
                <w:spacing w:val="-4"/>
                <w:sz w:val="17"/>
                <w:szCs w:val="17"/>
              </w:rPr>
              <w:t>(三级)</w:t>
            </w:r>
          </w:p>
        </w:tc>
        <w:tc>
          <w:tcPr>
            <w:tcW w:w="1586" w:type="dxa"/>
            <w:vAlign w:val="top"/>
          </w:tcPr>
          <w:p w14:paraId="6102132F">
            <w:pPr>
              <w:spacing w:before="90" w:line="232" w:lineRule="auto"/>
              <w:ind w:left="436"/>
              <w:rPr>
                <w:rFonts w:ascii="黑体" w:hAnsi="黑体" w:eastAsia="黑体" w:cs="黑体"/>
                <w:sz w:val="17"/>
                <w:szCs w:val="17"/>
              </w:rPr>
            </w:pPr>
            <w:r>
              <w:rPr>
                <w:rFonts w:ascii="黑体" w:hAnsi="黑体" w:eastAsia="黑体" w:cs="黑体"/>
                <w:spacing w:val="8"/>
                <w:sz w:val="17"/>
                <w:szCs w:val="17"/>
              </w:rPr>
              <w:t>食品细类</w:t>
            </w:r>
          </w:p>
          <w:p w14:paraId="4E1EC877">
            <w:pPr>
              <w:spacing w:before="86" w:line="227" w:lineRule="auto"/>
              <w:ind w:left="561"/>
              <w:rPr>
                <w:rFonts w:ascii="黑体" w:hAnsi="黑体" w:eastAsia="黑体" w:cs="黑体"/>
                <w:sz w:val="17"/>
                <w:szCs w:val="17"/>
              </w:rPr>
            </w:pPr>
            <w:r>
              <w:rPr>
                <w:rFonts w:ascii="黑体" w:hAnsi="黑体" w:eastAsia="黑体" w:cs="黑体"/>
                <w:spacing w:val="-4"/>
                <w:sz w:val="17"/>
                <w:szCs w:val="17"/>
              </w:rPr>
              <w:t>(四级)</w:t>
            </w:r>
          </w:p>
        </w:tc>
        <w:tc>
          <w:tcPr>
            <w:tcW w:w="682" w:type="dxa"/>
            <w:vAlign w:val="top"/>
          </w:tcPr>
          <w:p w14:paraId="4E84AFF7">
            <w:pPr>
              <w:spacing w:before="89" w:line="233" w:lineRule="auto"/>
              <w:ind w:left="166"/>
              <w:rPr>
                <w:rFonts w:ascii="黑体" w:hAnsi="黑体" w:eastAsia="黑体" w:cs="黑体"/>
                <w:sz w:val="17"/>
                <w:szCs w:val="17"/>
              </w:rPr>
            </w:pPr>
            <w:r>
              <w:rPr>
                <w:rFonts w:ascii="黑体" w:hAnsi="黑体" w:eastAsia="黑体" w:cs="黑体"/>
                <w:spacing w:val="6"/>
                <w:sz w:val="17"/>
                <w:szCs w:val="17"/>
              </w:rPr>
              <w:t>风险</w:t>
            </w:r>
          </w:p>
          <w:p w14:paraId="61DE1C3B">
            <w:pPr>
              <w:spacing w:before="85" w:line="227" w:lineRule="auto"/>
              <w:ind w:left="163"/>
              <w:rPr>
                <w:rFonts w:ascii="黑体" w:hAnsi="黑体" w:eastAsia="黑体" w:cs="黑体"/>
                <w:sz w:val="17"/>
                <w:szCs w:val="17"/>
              </w:rPr>
            </w:pPr>
            <w:r>
              <w:rPr>
                <w:rFonts w:ascii="黑体" w:hAnsi="黑体" w:eastAsia="黑体" w:cs="黑体"/>
                <w:spacing w:val="7"/>
                <w:sz w:val="17"/>
                <w:szCs w:val="17"/>
              </w:rPr>
              <w:t>等级</w:t>
            </w:r>
          </w:p>
        </w:tc>
        <w:tc>
          <w:tcPr>
            <w:tcW w:w="8563" w:type="dxa"/>
            <w:vAlign w:val="top"/>
          </w:tcPr>
          <w:p w14:paraId="21CC5A85">
            <w:pPr>
              <w:spacing w:before="241" w:line="232" w:lineRule="auto"/>
              <w:ind w:left="3744"/>
              <w:rPr>
                <w:rFonts w:ascii="黑体" w:hAnsi="黑体" w:eastAsia="黑体" w:cs="黑体"/>
                <w:sz w:val="17"/>
                <w:szCs w:val="17"/>
              </w:rPr>
            </w:pPr>
            <w:r>
              <w:rPr>
                <w:rFonts w:ascii="黑体" w:hAnsi="黑体" w:eastAsia="黑体" w:cs="黑体"/>
                <w:spacing w:val="8"/>
                <w:sz w:val="17"/>
                <w:szCs w:val="17"/>
              </w:rPr>
              <w:t>监督抽检项目</w:t>
            </w:r>
          </w:p>
        </w:tc>
      </w:tr>
      <w:tr w14:paraId="62E57D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5" w:hRule="atLeast"/>
        </w:trPr>
        <w:tc>
          <w:tcPr>
            <w:tcW w:w="459" w:type="dxa"/>
            <w:vMerge w:val="restart"/>
            <w:tcBorders>
              <w:bottom w:val="nil"/>
            </w:tcBorders>
            <w:vAlign w:val="top"/>
          </w:tcPr>
          <w:p w14:paraId="35F607F2">
            <w:pPr>
              <w:rPr>
                <w:rFonts w:ascii="Arial"/>
                <w:sz w:val="21"/>
              </w:rPr>
            </w:pPr>
          </w:p>
        </w:tc>
        <w:tc>
          <w:tcPr>
            <w:tcW w:w="942" w:type="dxa"/>
            <w:vMerge w:val="restart"/>
            <w:tcBorders>
              <w:bottom w:val="nil"/>
            </w:tcBorders>
            <w:vAlign w:val="top"/>
          </w:tcPr>
          <w:p w14:paraId="7A054991">
            <w:pPr>
              <w:rPr>
                <w:rFonts w:ascii="Arial"/>
                <w:sz w:val="21"/>
              </w:rPr>
            </w:pPr>
          </w:p>
        </w:tc>
        <w:tc>
          <w:tcPr>
            <w:tcW w:w="1360" w:type="dxa"/>
            <w:vMerge w:val="restart"/>
            <w:tcBorders>
              <w:bottom w:val="nil"/>
            </w:tcBorders>
            <w:vAlign w:val="top"/>
          </w:tcPr>
          <w:p w14:paraId="73465F52">
            <w:pPr>
              <w:spacing w:line="293" w:lineRule="auto"/>
              <w:rPr>
                <w:rFonts w:ascii="Arial"/>
                <w:sz w:val="21"/>
              </w:rPr>
            </w:pPr>
          </w:p>
          <w:p w14:paraId="21FD03C7">
            <w:pPr>
              <w:spacing w:line="293" w:lineRule="auto"/>
              <w:rPr>
                <w:rFonts w:ascii="Arial"/>
                <w:sz w:val="21"/>
              </w:rPr>
            </w:pPr>
          </w:p>
          <w:p w14:paraId="223397E7">
            <w:pPr>
              <w:spacing w:line="294" w:lineRule="auto"/>
              <w:rPr>
                <w:rFonts w:ascii="Arial"/>
                <w:sz w:val="21"/>
              </w:rPr>
            </w:pPr>
          </w:p>
          <w:p w14:paraId="1E891704">
            <w:pPr>
              <w:pStyle w:val="51"/>
              <w:spacing w:before="55" w:line="226" w:lineRule="auto"/>
              <w:ind w:left="328"/>
              <w:rPr>
                <w:sz w:val="17"/>
                <w:szCs w:val="17"/>
              </w:rPr>
            </w:pPr>
            <w:r>
              <w:rPr>
                <w:spacing w:val="6"/>
                <w:sz w:val="17"/>
                <w:szCs w:val="17"/>
              </w:rPr>
              <w:t>香辛料类</w:t>
            </w:r>
          </w:p>
        </w:tc>
        <w:tc>
          <w:tcPr>
            <w:tcW w:w="1581" w:type="dxa"/>
            <w:vMerge w:val="restart"/>
            <w:tcBorders>
              <w:bottom w:val="nil"/>
            </w:tcBorders>
            <w:vAlign w:val="top"/>
          </w:tcPr>
          <w:p w14:paraId="76B73AD7">
            <w:pPr>
              <w:spacing w:line="293" w:lineRule="auto"/>
              <w:rPr>
                <w:rFonts w:ascii="Arial"/>
                <w:sz w:val="21"/>
              </w:rPr>
            </w:pPr>
          </w:p>
          <w:p w14:paraId="27B14011">
            <w:pPr>
              <w:spacing w:line="293" w:lineRule="auto"/>
              <w:rPr>
                <w:rFonts w:ascii="Arial"/>
                <w:sz w:val="21"/>
              </w:rPr>
            </w:pPr>
          </w:p>
          <w:p w14:paraId="42E1C0C2">
            <w:pPr>
              <w:spacing w:line="294" w:lineRule="auto"/>
              <w:rPr>
                <w:rFonts w:ascii="Arial"/>
                <w:sz w:val="21"/>
              </w:rPr>
            </w:pPr>
          </w:p>
          <w:p w14:paraId="278CB0B8">
            <w:pPr>
              <w:pStyle w:val="51"/>
              <w:spacing w:before="55" w:line="226" w:lineRule="auto"/>
              <w:ind w:left="439"/>
              <w:rPr>
                <w:sz w:val="17"/>
                <w:szCs w:val="17"/>
              </w:rPr>
            </w:pPr>
            <w:r>
              <w:rPr>
                <w:spacing w:val="6"/>
                <w:sz w:val="17"/>
                <w:szCs w:val="17"/>
              </w:rPr>
              <w:t>香辛料类</w:t>
            </w:r>
          </w:p>
        </w:tc>
        <w:tc>
          <w:tcPr>
            <w:tcW w:w="1586" w:type="dxa"/>
            <w:vAlign w:val="top"/>
          </w:tcPr>
          <w:p w14:paraId="59BE25E1">
            <w:pPr>
              <w:pStyle w:val="51"/>
              <w:spacing w:before="182" w:line="226" w:lineRule="auto"/>
              <w:ind w:left="262"/>
              <w:rPr>
                <w:sz w:val="17"/>
                <w:szCs w:val="17"/>
              </w:rPr>
            </w:pPr>
            <w:r>
              <w:rPr>
                <w:spacing w:val="7"/>
                <w:sz w:val="17"/>
                <w:szCs w:val="17"/>
              </w:rPr>
              <w:t>香辛料调味油</w:t>
            </w:r>
          </w:p>
        </w:tc>
        <w:tc>
          <w:tcPr>
            <w:tcW w:w="682" w:type="dxa"/>
            <w:vAlign w:val="top"/>
          </w:tcPr>
          <w:p w14:paraId="68BC1A05">
            <w:pPr>
              <w:pStyle w:val="51"/>
              <w:spacing w:before="182" w:line="230" w:lineRule="auto"/>
              <w:ind w:left="173"/>
              <w:rPr>
                <w:sz w:val="17"/>
                <w:szCs w:val="17"/>
              </w:rPr>
            </w:pPr>
            <w:r>
              <w:rPr>
                <w:spacing w:val="2"/>
                <w:sz w:val="17"/>
                <w:szCs w:val="17"/>
              </w:rPr>
              <w:t>一般</w:t>
            </w:r>
          </w:p>
        </w:tc>
        <w:tc>
          <w:tcPr>
            <w:tcW w:w="8563" w:type="dxa"/>
            <w:vAlign w:val="top"/>
          </w:tcPr>
          <w:p w14:paraId="30F815F6">
            <w:pPr>
              <w:pStyle w:val="51"/>
              <w:spacing w:before="182" w:line="228" w:lineRule="auto"/>
              <w:ind w:left="37"/>
              <w:rPr>
                <w:sz w:val="17"/>
                <w:szCs w:val="17"/>
              </w:rPr>
            </w:pPr>
            <w:r>
              <w:rPr>
                <w:spacing w:val="8"/>
                <w:sz w:val="17"/>
                <w:szCs w:val="17"/>
              </w:rPr>
              <w:t>酸价/酸值、过氧化值</w:t>
            </w:r>
          </w:p>
        </w:tc>
      </w:tr>
      <w:tr w14:paraId="5D351C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459" w:type="dxa"/>
            <w:vMerge w:val="continue"/>
            <w:tcBorders>
              <w:top w:val="nil"/>
              <w:bottom w:val="nil"/>
            </w:tcBorders>
            <w:vAlign w:val="top"/>
          </w:tcPr>
          <w:p w14:paraId="14DE19CC">
            <w:pPr>
              <w:rPr>
                <w:rFonts w:ascii="Arial"/>
                <w:sz w:val="21"/>
              </w:rPr>
            </w:pPr>
          </w:p>
        </w:tc>
        <w:tc>
          <w:tcPr>
            <w:tcW w:w="942" w:type="dxa"/>
            <w:vMerge w:val="continue"/>
            <w:tcBorders>
              <w:top w:val="nil"/>
              <w:bottom w:val="nil"/>
            </w:tcBorders>
            <w:vAlign w:val="top"/>
          </w:tcPr>
          <w:p w14:paraId="2250B4BC">
            <w:pPr>
              <w:rPr>
                <w:rFonts w:ascii="Arial"/>
                <w:sz w:val="21"/>
              </w:rPr>
            </w:pPr>
          </w:p>
        </w:tc>
        <w:tc>
          <w:tcPr>
            <w:tcW w:w="1360" w:type="dxa"/>
            <w:vMerge w:val="continue"/>
            <w:tcBorders>
              <w:top w:val="nil"/>
              <w:bottom w:val="nil"/>
            </w:tcBorders>
            <w:vAlign w:val="top"/>
          </w:tcPr>
          <w:p w14:paraId="37A90F00">
            <w:pPr>
              <w:rPr>
                <w:rFonts w:ascii="Arial"/>
                <w:sz w:val="21"/>
              </w:rPr>
            </w:pPr>
          </w:p>
        </w:tc>
        <w:tc>
          <w:tcPr>
            <w:tcW w:w="1581" w:type="dxa"/>
            <w:vMerge w:val="continue"/>
            <w:tcBorders>
              <w:top w:val="nil"/>
              <w:bottom w:val="nil"/>
            </w:tcBorders>
            <w:vAlign w:val="top"/>
          </w:tcPr>
          <w:p w14:paraId="0222F062">
            <w:pPr>
              <w:rPr>
                <w:rFonts w:ascii="Arial"/>
                <w:sz w:val="21"/>
              </w:rPr>
            </w:pPr>
          </w:p>
        </w:tc>
        <w:tc>
          <w:tcPr>
            <w:tcW w:w="1586" w:type="dxa"/>
            <w:vAlign w:val="top"/>
          </w:tcPr>
          <w:p w14:paraId="59B7AC5D">
            <w:pPr>
              <w:pStyle w:val="51"/>
              <w:spacing w:before="87" w:line="275" w:lineRule="auto"/>
              <w:ind w:left="523" w:hanging="487"/>
              <w:rPr>
                <w:sz w:val="17"/>
                <w:szCs w:val="17"/>
              </w:rPr>
            </w:pPr>
            <w:r>
              <w:rPr>
                <w:spacing w:val="-16"/>
                <w:sz w:val="17"/>
                <w:szCs w:val="17"/>
              </w:rPr>
              <w:t>辣椒、花椒、辣椒粉、</w:t>
            </w:r>
            <w:r>
              <w:rPr>
                <w:spacing w:val="2"/>
                <w:sz w:val="17"/>
                <w:szCs w:val="17"/>
              </w:rPr>
              <w:t>花椒粉</w:t>
            </w:r>
          </w:p>
        </w:tc>
        <w:tc>
          <w:tcPr>
            <w:tcW w:w="682" w:type="dxa"/>
            <w:vAlign w:val="top"/>
          </w:tcPr>
          <w:p w14:paraId="2BA9CA37">
            <w:pPr>
              <w:pStyle w:val="51"/>
              <w:spacing w:before="237" w:line="227" w:lineRule="auto"/>
              <w:ind w:left="170"/>
              <w:rPr>
                <w:sz w:val="17"/>
                <w:szCs w:val="17"/>
              </w:rPr>
            </w:pPr>
            <w:r>
              <w:rPr>
                <w:spacing w:val="3"/>
                <w:sz w:val="17"/>
                <w:szCs w:val="17"/>
              </w:rPr>
              <w:t>较高</w:t>
            </w:r>
          </w:p>
        </w:tc>
        <w:tc>
          <w:tcPr>
            <w:tcW w:w="8563" w:type="dxa"/>
            <w:vAlign w:val="top"/>
          </w:tcPr>
          <w:p w14:paraId="26EBAB5C">
            <w:pPr>
              <w:pStyle w:val="51"/>
              <w:spacing w:before="87" w:line="275" w:lineRule="auto"/>
              <w:ind w:left="43" w:hanging="6"/>
              <w:rPr>
                <w:sz w:val="17"/>
                <w:szCs w:val="17"/>
              </w:rPr>
            </w:pPr>
            <w:r>
              <w:rPr>
                <w:spacing w:val="6"/>
                <w:sz w:val="17"/>
                <w:szCs w:val="17"/>
              </w:rPr>
              <w:t>铅（以</w:t>
            </w:r>
            <w:r>
              <w:rPr>
                <w:sz w:val="17"/>
                <w:szCs w:val="17"/>
              </w:rPr>
              <w:t>Pb</w:t>
            </w:r>
            <w:r>
              <w:rPr>
                <w:spacing w:val="6"/>
                <w:sz w:val="17"/>
                <w:szCs w:val="17"/>
              </w:rPr>
              <w:t>计）、罗丹明B、苏丹红I、苏丹红</w:t>
            </w:r>
            <w:r>
              <w:rPr>
                <w:sz w:val="17"/>
                <w:szCs w:val="17"/>
              </w:rPr>
              <w:t>II</w:t>
            </w:r>
            <w:r>
              <w:rPr>
                <w:spacing w:val="6"/>
                <w:sz w:val="17"/>
                <w:szCs w:val="17"/>
              </w:rPr>
              <w:t>、苏丹红</w:t>
            </w:r>
            <w:r>
              <w:rPr>
                <w:sz w:val="17"/>
                <w:szCs w:val="17"/>
              </w:rPr>
              <w:t>III</w:t>
            </w:r>
            <w:r>
              <w:rPr>
                <w:spacing w:val="6"/>
                <w:sz w:val="17"/>
                <w:szCs w:val="17"/>
              </w:rPr>
              <w:t>、苏丹红</w:t>
            </w:r>
            <w:r>
              <w:rPr>
                <w:sz w:val="17"/>
                <w:szCs w:val="17"/>
              </w:rPr>
              <w:t>IV</w:t>
            </w:r>
            <w:r>
              <w:rPr>
                <w:spacing w:val="6"/>
                <w:sz w:val="17"/>
                <w:szCs w:val="17"/>
              </w:rPr>
              <w:t>、脱氢乙酸及其钠盐（以脱氢乙酸计）、</w:t>
            </w:r>
            <w:r>
              <w:rPr>
                <w:spacing w:val="5"/>
                <w:sz w:val="17"/>
                <w:szCs w:val="17"/>
              </w:rPr>
              <w:t>二氧化硫残留量、合成着色剂（柠檬黄、日落黄、胭脂红）</w:t>
            </w:r>
            <w:r>
              <w:rPr>
                <w:spacing w:val="41"/>
                <w:sz w:val="17"/>
                <w:szCs w:val="17"/>
              </w:rPr>
              <w:t xml:space="preserve"> </w:t>
            </w:r>
            <w:r>
              <w:rPr>
                <w:spacing w:val="5"/>
                <w:sz w:val="17"/>
                <w:szCs w:val="17"/>
              </w:rPr>
              <w:t>、山</w:t>
            </w:r>
            <w:r>
              <w:rPr>
                <w:spacing w:val="4"/>
                <w:sz w:val="17"/>
                <w:szCs w:val="17"/>
              </w:rPr>
              <w:t>梨酸及其钾盐(以山梨酸计)</w:t>
            </w:r>
          </w:p>
        </w:tc>
      </w:tr>
      <w:tr w14:paraId="12B271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4" w:hRule="atLeast"/>
        </w:trPr>
        <w:tc>
          <w:tcPr>
            <w:tcW w:w="459" w:type="dxa"/>
            <w:vMerge w:val="continue"/>
            <w:tcBorders>
              <w:top w:val="nil"/>
              <w:bottom w:val="nil"/>
            </w:tcBorders>
            <w:vAlign w:val="top"/>
          </w:tcPr>
          <w:p w14:paraId="35EA9B5D">
            <w:pPr>
              <w:rPr>
                <w:rFonts w:ascii="Arial"/>
                <w:sz w:val="21"/>
              </w:rPr>
            </w:pPr>
          </w:p>
        </w:tc>
        <w:tc>
          <w:tcPr>
            <w:tcW w:w="942" w:type="dxa"/>
            <w:vMerge w:val="continue"/>
            <w:tcBorders>
              <w:top w:val="nil"/>
              <w:bottom w:val="nil"/>
            </w:tcBorders>
            <w:vAlign w:val="top"/>
          </w:tcPr>
          <w:p w14:paraId="4509E7B4">
            <w:pPr>
              <w:rPr>
                <w:rFonts w:ascii="Arial"/>
                <w:sz w:val="21"/>
              </w:rPr>
            </w:pPr>
          </w:p>
        </w:tc>
        <w:tc>
          <w:tcPr>
            <w:tcW w:w="1360" w:type="dxa"/>
            <w:vMerge w:val="continue"/>
            <w:tcBorders>
              <w:top w:val="nil"/>
            </w:tcBorders>
            <w:vAlign w:val="top"/>
          </w:tcPr>
          <w:p w14:paraId="73A24F03">
            <w:pPr>
              <w:rPr>
                <w:rFonts w:ascii="Arial"/>
                <w:sz w:val="21"/>
              </w:rPr>
            </w:pPr>
          </w:p>
        </w:tc>
        <w:tc>
          <w:tcPr>
            <w:tcW w:w="1581" w:type="dxa"/>
            <w:vMerge w:val="continue"/>
            <w:tcBorders>
              <w:top w:val="nil"/>
            </w:tcBorders>
            <w:vAlign w:val="top"/>
          </w:tcPr>
          <w:p w14:paraId="2901068E">
            <w:pPr>
              <w:rPr>
                <w:rFonts w:ascii="Arial"/>
                <w:sz w:val="21"/>
              </w:rPr>
            </w:pPr>
          </w:p>
        </w:tc>
        <w:tc>
          <w:tcPr>
            <w:tcW w:w="1586" w:type="dxa"/>
            <w:vAlign w:val="top"/>
          </w:tcPr>
          <w:p w14:paraId="17153B81">
            <w:pPr>
              <w:spacing w:line="331" w:lineRule="auto"/>
              <w:rPr>
                <w:rFonts w:ascii="Arial"/>
                <w:sz w:val="21"/>
              </w:rPr>
            </w:pPr>
          </w:p>
          <w:p w14:paraId="6EA38E43">
            <w:pPr>
              <w:pStyle w:val="51"/>
              <w:spacing w:before="55" w:line="226" w:lineRule="auto"/>
              <w:ind w:left="82"/>
              <w:rPr>
                <w:sz w:val="17"/>
                <w:szCs w:val="17"/>
              </w:rPr>
            </w:pPr>
            <w:r>
              <w:rPr>
                <w:spacing w:val="8"/>
                <w:sz w:val="17"/>
                <w:szCs w:val="17"/>
              </w:rPr>
              <w:t>其他香辛料调味品</w:t>
            </w:r>
          </w:p>
        </w:tc>
        <w:tc>
          <w:tcPr>
            <w:tcW w:w="682" w:type="dxa"/>
            <w:vAlign w:val="top"/>
          </w:tcPr>
          <w:p w14:paraId="6E3710A2">
            <w:pPr>
              <w:spacing w:line="331" w:lineRule="auto"/>
              <w:rPr>
                <w:rFonts w:ascii="Arial"/>
                <w:sz w:val="21"/>
              </w:rPr>
            </w:pPr>
          </w:p>
          <w:p w14:paraId="2AC3A38C">
            <w:pPr>
              <w:pStyle w:val="51"/>
              <w:spacing w:before="55" w:line="227" w:lineRule="auto"/>
              <w:ind w:left="170"/>
              <w:rPr>
                <w:sz w:val="17"/>
                <w:szCs w:val="17"/>
              </w:rPr>
            </w:pPr>
            <w:r>
              <w:rPr>
                <w:spacing w:val="3"/>
                <w:sz w:val="17"/>
                <w:szCs w:val="17"/>
              </w:rPr>
              <w:t>较高</w:t>
            </w:r>
          </w:p>
        </w:tc>
        <w:tc>
          <w:tcPr>
            <w:tcW w:w="8563" w:type="dxa"/>
            <w:vAlign w:val="top"/>
          </w:tcPr>
          <w:p w14:paraId="0ACD81EE">
            <w:pPr>
              <w:pStyle w:val="51"/>
              <w:spacing w:before="87" w:line="292" w:lineRule="auto"/>
              <w:ind w:left="39" w:right="26" w:hanging="2"/>
              <w:rPr>
                <w:sz w:val="17"/>
                <w:szCs w:val="17"/>
              </w:rPr>
            </w:pPr>
            <w:r>
              <w:rPr>
                <w:spacing w:val="8"/>
                <w:sz w:val="17"/>
                <w:szCs w:val="17"/>
              </w:rPr>
              <w:t>铅（以</w:t>
            </w:r>
            <w:r>
              <w:rPr>
                <w:sz w:val="17"/>
                <w:szCs w:val="17"/>
              </w:rPr>
              <w:t>Pb</w:t>
            </w:r>
            <w:r>
              <w:rPr>
                <w:spacing w:val="8"/>
                <w:sz w:val="17"/>
                <w:szCs w:val="17"/>
              </w:rPr>
              <w:t>计）</w:t>
            </w:r>
            <w:r>
              <w:rPr>
                <w:spacing w:val="-36"/>
                <w:sz w:val="17"/>
                <w:szCs w:val="17"/>
              </w:rPr>
              <w:t xml:space="preserve"> </w:t>
            </w:r>
            <w:r>
              <w:rPr>
                <w:spacing w:val="8"/>
                <w:sz w:val="17"/>
                <w:szCs w:val="17"/>
              </w:rPr>
              <w:t>、脱氢乙酸及其钠盐（以脱氢乙酸计）</w:t>
            </w:r>
            <w:r>
              <w:rPr>
                <w:spacing w:val="-25"/>
                <w:sz w:val="17"/>
                <w:szCs w:val="17"/>
              </w:rPr>
              <w:t xml:space="preserve"> </w:t>
            </w:r>
            <w:r>
              <w:rPr>
                <w:spacing w:val="8"/>
                <w:sz w:val="17"/>
                <w:szCs w:val="17"/>
              </w:rPr>
              <w:t>、二氧化硫残留量、甜蜜素（以环</w:t>
            </w:r>
            <w:r>
              <w:rPr>
                <w:spacing w:val="7"/>
                <w:sz w:val="17"/>
                <w:szCs w:val="17"/>
              </w:rPr>
              <w:t>己基氨基磺酸计）、</w:t>
            </w:r>
            <w:r>
              <w:rPr>
                <w:spacing w:val="9"/>
                <w:sz w:val="17"/>
                <w:szCs w:val="17"/>
              </w:rPr>
              <w:t>合成着色剂（柠檬黄、日落黄、苋菜红、胭脂红、亮蓝）、丙溴磷、氯</w:t>
            </w:r>
            <w:r>
              <w:rPr>
                <w:spacing w:val="8"/>
                <w:sz w:val="17"/>
                <w:szCs w:val="17"/>
              </w:rPr>
              <w:t>氰菊酯和高效氯氰菊酯、多菌灵、 毒</w:t>
            </w:r>
            <w:r>
              <w:rPr>
                <w:spacing w:val="2"/>
                <w:sz w:val="17"/>
                <w:szCs w:val="17"/>
              </w:rPr>
              <w:t>死蜱、克百威、</w:t>
            </w:r>
            <w:r>
              <w:rPr>
                <w:spacing w:val="-13"/>
                <w:sz w:val="17"/>
                <w:szCs w:val="17"/>
              </w:rPr>
              <w:t xml:space="preserve"> </w:t>
            </w:r>
            <w:r>
              <w:rPr>
                <w:spacing w:val="2"/>
                <w:sz w:val="17"/>
                <w:szCs w:val="17"/>
              </w:rPr>
              <w:t>沙门氏菌</w:t>
            </w:r>
          </w:p>
        </w:tc>
      </w:tr>
      <w:tr w14:paraId="2F0975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459" w:type="dxa"/>
            <w:vMerge w:val="continue"/>
            <w:tcBorders>
              <w:top w:val="nil"/>
              <w:bottom w:val="nil"/>
            </w:tcBorders>
            <w:vAlign w:val="top"/>
          </w:tcPr>
          <w:p w14:paraId="364EBB58">
            <w:pPr>
              <w:rPr>
                <w:rFonts w:ascii="Arial"/>
                <w:sz w:val="21"/>
              </w:rPr>
            </w:pPr>
          </w:p>
        </w:tc>
        <w:tc>
          <w:tcPr>
            <w:tcW w:w="942" w:type="dxa"/>
            <w:vMerge w:val="continue"/>
            <w:tcBorders>
              <w:top w:val="nil"/>
              <w:bottom w:val="nil"/>
            </w:tcBorders>
            <w:vAlign w:val="top"/>
          </w:tcPr>
          <w:p w14:paraId="47B629C7">
            <w:pPr>
              <w:rPr>
                <w:rFonts w:ascii="Arial"/>
                <w:sz w:val="21"/>
              </w:rPr>
            </w:pPr>
          </w:p>
        </w:tc>
        <w:tc>
          <w:tcPr>
            <w:tcW w:w="1360" w:type="dxa"/>
            <w:vMerge w:val="restart"/>
            <w:tcBorders>
              <w:bottom w:val="nil"/>
            </w:tcBorders>
            <w:vAlign w:val="top"/>
          </w:tcPr>
          <w:p w14:paraId="140846DB">
            <w:pPr>
              <w:spacing w:line="248" w:lineRule="auto"/>
              <w:rPr>
                <w:rFonts w:ascii="Arial"/>
                <w:sz w:val="21"/>
              </w:rPr>
            </w:pPr>
          </w:p>
          <w:p w14:paraId="3B720B04">
            <w:pPr>
              <w:spacing w:line="248" w:lineRule="auto"/>
              <w:rPr>
                <w:rFonts w:ascii="Arial"/>
                <w:sz w:val="21"/>
              </w:rPr>
            </w:pPr>
          </w:p>
          <w:p w14:paraId="60748CB0">
            <w:pPr>
              <w:spacing w:line="248" w:lineRule="auto"/>
              <w:rPr>
                <w:rFonts w:ascii="Arial"/>
                <w:sz w:val="21"/>
              </w:rPr>
            </w:pPr>
          </w:p>
          <w:p w14:paraId="15F275BF">
            <w:pPr>
              <w:spacing w:line="248" w:lineRule="auto"/>
              <w:rPr>
                <w:rFonts w:ascii="Arial"/>
                <w:sz w:val="21"/>
              </w:rPr>
            </w:pPr>
          </w:p>
          <w:p w14:paraId="5F39311D">
            <w:pPr>
              <w:spacing w:line="248" w:lineRule="auto"/>
              <w:rPr>
                <w:rFonts w:ascii="Arial"/>
                <w:sz w:val="21"/>
              </w:rPr>
            </w:pPr>
          </w:p>
          <w:p w14:paraId="7B1626B3">
            <w:pPr>
              <w:pStyle w:val="51"/>
              <w:spacing w:before="55" w:line="226" w:lineRule="auto"/>
              <w:ind w:left="415"/>
              <w:rPr>
                <w:sz w:val="17"/>
                <w:szCs w:val="17"/>
              </w:rPr>
            </w:pPr>
            <w:r>
              <w:rPr>
                <w:spacing w:val="6"/>
                <w:sz w:val="17"/>
                <w:szCs w:val="17"/>
              </w:rPr>
              <w:t>调味料</w:t>
            </w:r>
          </w:p>
        </w:tc>
        <w:tc>
          <w:tcPr>
            <w:tcW w:w="1581" w:type="dxa"/>
            <w:vMerge w:val="restart"/>
            <w:tcBorders>
              <w:bottom w:val="nil"/>
            </w:tcBorders>
            <w:vAlign w:val="top"/>
          </w:tcPr>
          <w:p w14:paraId="6D3E3E87">
            <w:pPr>
              <w:spacing w:line="260" w:lineRule="auto"/>
              <w:rPr>
                <w:rFonts w:ascii="Arial"/>
                <w:sz w:val="21"/>
              </w:rPr>
            </w:pPr>
          </w:p>
          <w:p w14:paraId="6F693128">
            <w:pPr>
              <w:spacing w:line="261" w:lineRule="auto"/>
              <w:rPr>
                <w:rFonts w:ascii="Arial"/>
                <w:sz w:val="21"/>
              </w:rPr>
            </w:pPr>
          </w:p>
          <w:p w14:paraId="0E3050CC">
            <w:pPr>
              <w:spacing w:line="261" w:lineRule="auto"/>
              <w:rPr>
                <w:rFonts w:ascii="Arial"/>
                <w:sz w:val="21"/>
              </w:rPr>
            </w:pPr>
          </w:p>
          <w:p w14:paraId="03D99C3E">
            <w:pPr>
              <w:pStyle w:val="51"/>
              <w:spacing w:before="55" w:line="226" w:lineRule="auto"/>
              <w:ind w:left="188"/>
              <w:rPr>
                <w:sz w:val="17"/>
                <w:szCs w:val="17"/>
              </w:rPr>
            </w:pPr>
            <w:r>
              <w:rPr>
                <w:spacing w:val="5"/>
                <w:sz w:val="17"/>
                <w:szCs w:val="17"/>
              </w:rPr>
              <w:t>固体复合调味料</w:t>
            </w:r>
          </w:p>
        </w:tc>
        <w:tc>
          <w:tcPr>
            <w:tcW w:w="1586" w:type="dxa"/>
            <w:vAlign w:val="top"/>
          </w:tcPr>
          <w:p w14:paraId="621C5210">
            <w:pPr>
              <w:pStyle w:val="51"/>
              <w:spacing w:before="237" w:line="226" w:lineRule="auto"/>
              <w:ind w:left="80"/>
              <w:rPr>
                <w:sz w:val="17"/>
                <w:szCs w:val="17"/>
              </w:rPr>
            </w:pPr>
            <w:r>
              <w:rPr>
                <w:spacing w:val="8"/>
                <w:sz w:val="17"/>
                <w:szCs w:val="17"/>
              </w:rPr>
              <w:t>鸡粉、鸡精调味料</w:t>
            </w:r>
          </w:p>
        </w:tc>
        <w:tc>
          <w:tcPr>
            <w:tcW w:w="682" w:type="dxa"/>
            <w:vAlign w:val="top"/>
          </w:tcPr>
          <w:p w14:paraId="2738C617">
            <w:pPr>
              <w:pStyle w:val="51"/>
              <w:spacing w:before="238" w:line="230" w:lineRule="auto"/>
              <w:ind w:left="173"/>
              <w:rPr>
                <w:sz w:val="17"/>
                <w:szCs w:val="17"/>
              </w:rPr>
            </w:pPr>
            <w:r>
              <w:rPr>
                <w:spacing w:val="2"/>
                <w:sz w:val="17"/>
                <w:szCs w:val="17"/>
              </w:rPr>
              <w:t>一般</w:t>
            </w:r>
          </w:p>
        </w:tc>
        <w:tc>
          <w:tcPr>
            <w:tcW w:w="8563" w:type="dxa"/>
            <w:vAlign w:val="top"/>
          </w:tcPr>
          <w:p w14:paraId="72C3CD91">
            <w:pPr>
              <w:pStyle w:val="51"/>
              <w:spacing w:before="88" w:line="275" w:lineRule="auto"/>
              <w:ind w:left="43" w:right="29" w:hanging="5"/>
              <w:rPr>
                <w:sz w:val="17"/>
                <w:szCs w:val="17"/>
              </w:rPr>
            </w:pPr>
            <w:r>
              <w:rPr>
                <w:spacing w:val="8"/>
                <w:sz w:val="17"/>
                <w:szCs w:val="17"/>
              </w:rPr>
              <w:t>谷氨酸钠、呈味核苷酸二钠、铅（以</w:t>
            </w:r>
            <w:r>
              <w:rPr>
                <w:sz w:val="17"/>
                <w:szCs w:val="17"/>
              </w:rPr>
              <w:t>Pb</w:t>
            </w:r>
            <w:r>
              <w:rPr>
                <w:spacing w:val="8"/>
                <w:sz w:val="17"/>
                <w:szCs w:val="17"/>
              </w:rPr>
              <w:t>计）</w:t>
            </w:r>
            <w:r>
              <w:rPr>
                <w:spacing w:val="-34"/>
                <w:sz w:val="17"/>
                <w:szCs w:val="17"/>
              </w:rPr>
              <w:t xml:space="preserve"> </w:t>
            </w:r>
            <w:r>
              <w:rPr>
                <w:spacing w:val="8"/>
                <w:sz w:val="17"/>
                <w:szCs w:val="17"/>
              </w:rPr>
              <w:t>、糖精钠（以糖精计）</w:t>
            </w:r>
            <w:r>
              <w:rPr>
                <w:spacing w:val="-24"/>
                <w:sz w:val="17"/>
                <w:szCs w:val="17"/>
              </w:rPr>
              <w:t xml:space="preserve"> </w:t>
            </w:r>
            <w:r>
              <w:rPr>
                <w:spacing w:val="8"/>
                <w:sz w:val="17"/>
                <w:szCs w:val="17"/>
              </w:rPr>
              <w:t>、甜</w:t>
            </w:r>
            <w:r>
              <w:rPr>
                <w:spacing w:val="7"/>
                <w:sz w:val="17"/>
                <w:szCs w:val="17"/>
              </w:rPr>
              <w:t>蜜素（以环己基氨基磺酸计）、</w:t>
            </w:r>
            <w:r>
              <w:rPr>
                <w:spacing w:val="-50"/>
                <w:sz w:val="17"/>
                <w:szCs w:val="17"/>
              </w:rPr>
              <w:t xml:space="preserve"> </w:t>
            </w:r>
            <w:r>
              <w:rPr>
                <w:spacing w:val="7"/>
                <w:sz w:val="17"/>
                <w:szCs w:val="17"/>
              </w:rPr>
              <w:t>安赛</w:t>
            </w:r>
            <w:r>
              <w:rPr>
                <w:spacing w:val="8"/>
                <w:sz w:val="17"/>
                <w:szCs w:val="17"/>
              </w:rPr>
              <w:t>蜜、菌落总数、大肠菌群、总氮(以N计)</w:t>
            </w:r>
          </w:p>
        </w:tc>
      </w:tr>
      <w:tr w14:paraId="5EA65C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trPr>
        <w:tc>
          <w:tcPr>
            <w:tcW w:w="459" w:type="dxa"/>
            <w:vMerge w:val="continue"/>
            <w:tcBorders>
              <w:top w:val="nil"/>
              <w:bottom w:val="nil"/>
            </w:tcBorders>
            <w:vAlign w:val="top"/>
          </w:tcPr>
          <w:p w14:paraId="227FD7B1">
            <w:pPr>
              <w:rPr>
                <w:rFonts w:ascii="Arial"/>
                <w:sz w:val="21"/>
              </w:rPr>
            </w:pPr>
          </w:p>
        </w:tc>
        <w:tc>
          <w:tcPr>
            <w:tcW w:w="942" w:type="dxa"/>
            <w:vMerge w:val="continue"/>
            <w:tcBorders>
              <w:top w:val="nil"/>
              <w:bottom w:val="nil"/>
            </w:tcBorders>
            <w:vAlign w:val="top"/>
          </w:tcPr>
          <w:p w14:paraId="09B93D9D">
            <w:pPr>
              <w:rPr>
                <w:rFonts w:ascii="Arial"/>
                <w:sz w:val="21"/>
              </w:rPr>
            </w:pPr>
          </w:p>
        </w:tc>
        <w:tc>
          <w:tcPr>
            <w:tcW w:w="1360" w:type="dxa"/>
            <w:vMerge w:val="continue"/>
            <w:tcBorders>
              <w:top w:val="nil"/>
              <w:bottom w:val="nil"/>
            </w:tcBorders>
            <w:vAlign w:val="top"/>
          </w:tcPr>
          <w:p w14:paraId="33E2374D">
            <w:pPr>
              <w:rPr>
                <w:rFonts w:ascii="Arial"/>
                <w:sz w:val="21"/>
              </w:rPr>
            </w:pPr>
          </w:p>
        </w:tc>
        <w:tc>
          <w:tcPr>
            <w:tcW w:w="1581" w:type="dxa"/>
            <w:vMerge w:val="continue"/>
            <w:tcBorders>
              <w:top w:val="nil"/>
            </w:tcBorders>
            <w:vAlign w:val="top"/>
          </w:tcPr>
          <w:p w14:paraId="7BD11CAA">
            <w:pPr>
              <w:rPr>
                <w:rFonts w:ascii="Arial"/>
                <w:sz w:val="21"/>
              </w:rPr>
            </w:pPr>
          </w:p>
        </w:tc>
        <w:tc>
          <w:tcPr>
            <w:tcW w:w="1586" w:type="dxa"/>
            <w:vAlign w:val="top"/>
          </w:tcPr>
          <w:p w14:paraId="51770164">
            <w:pPr>
              <w:rPr>
                <w:rFonts w:ascii="Arial"/>
                <w:sz w:val="21"/>
              </w:rPr>
            </w:pPr>
          </w:p>
          <w:p w14:paraId="70108E53">
            <w:pPr>
              <w:spacing w:line="241" w:lineRule="auto"/>
              <w:rPr>
                <w:rFonts w:ascii="Arial"/>
                <w:sz w:val="21"/>
              </w:rPr>
            </w:pPr>
          </w:p>
          <w:p w14:paraId="4043E2C5">
            <w:pPr>
              <w:pStyle w:val="51"/>
              <w:spacing w:before="55" w:line="226" w:lineRule="auto"/>
              <w:ind w:left="173"/>
              <w:rPr>
                <w:sz w:val="17"/>
                <w:szCs w:val="17"/>
              </w:rPr>
            </w:pPr>
            <w:r>
              <w:rPr>
                <w:spacing w:val="8"/>
                <w:sz w:val="17"/>
                <w:szCs w:val="17"/>
              </w:rPr>
              <w:t>其他固体调味料</w:t>
            </w:r>
          </w:p>
        </w:tc>
        <w:tc>
          <w:tcPr>
            <w:tcW w:w="682" w:type="dxa"/>
            <w:vAlign w:val="top"/>
          </w:tcPr>
          <w:p w14:paraId="7CA244CF">
            <w:pPr>
              <w:rPr>
                <w:rFonts w:ascii="Arial"/>
                <w:sz w:val="21"/>
              </w:rPr>
            </w:pPr>
          </w:p>
          <w:p w14:paraId="6F435A36">
            <w:pPr>
              <w:spacing w:line="241" w:lineRule="auto"/>
              <w:rPr>
                <w:rFonts w:ascii="Arial"/>
                <w:sz w:val="21"/>
              </w:rPr>
            </w:pPr>
          </w:p>
          <w:p w14:paraId="4726AE96">
            <w:pPr>
              <w:pStyle w:val="51"/>
              <w:spacing w:before="56" w:line="230" w:lineRule="auto"/>
              <w:ind w:left="173"/>
              <w:rPr>
                <w:sz w:val="17"/>
                <w:szCs w:val="17"/>
              </w:rPr>
            </w:pPr>
            <w:r>
              <w:rPr>
                <w:spacing w:val="2"/>
                <w:sz w:val="17"/>
                <w:szCs w:val="17"/>
              </w:rPr>
              <w:t>一般</w:t>
            </w:r>
          </w:p>
        </w:tc>
        <w:tc>
          <w:tcPr>
            <w:tcW w:w="8563" w:type="dxa"/>
            <w:vAlign w:val="top"/>
          </w:tcPr>
          <w:p w14:paraId="52FDDAF0">
            <w:pPr>
              <w:pStyle w:val="51"/>
              <w:spacing w:before="89" w:line="300" w:lineRule="auto"/>
              <w:ind w:left="37" w:right="24"/>
              <w:jc w:val="both"/>
              <w:rPr>
                <w:sz w:val="17"/>
                <w:szCs w:val="17"/>
              </w:rPr>
            </w:pPr>
            <w:r>
              <w:rPr>
                <w:spacing w:val="11"/>
                <w:sz w:val="17"/>
                <w:szCs w:val="17"/>
              </w:rPr>
              <w:t>铅（以</w:t>
            </w:r>
            <w:r>
              <w:rPr>
                <w:sz w:val="17"/>
                <w:szCs w:val="17"/>
              </w:rPr>
              <w:t>Pb</w:t>
            </w:r>
            <w:r>
              <w:rPr>
                <w:spacing w:val="11"/>
                <w:sz w:val="17"/>
                <w:szCs w:val="17"/>
              </w:rPr>
              <w:t>计）</w:t>
            </w:r>
            <w:r>
              <w:rPr>
                <w:spacing w:val="-36"/>
                <w:sz w:val="17"/>
                <w:szCs w:val="17"/>
              </w:rPr>
              <w:t xml:space="preserve"> </w:t>
            </w:r>
            <w:r>
              <w:rPr>
                <w:spacing w:val="11"/>
                <w:sz w:val="17"/>
                <w:szCs w:val="17"/>
              </w:rPr>
              <w:t>、苏丹红I、苏丹红</w:t>
            </w:r>
            <w:r>
              <w:rPr>
                <w:sz w:val="17"/>
                <w:szCs w:val="17"/>
              </w:rPr>
              <w:t>II</w:t>
            </w:r>
            <w:r>
              <w:rPr>
                <w:spacing w:val="11"/>
                <w:sz w:val="17"/>
                <w:szCs w:val="17"/>
              </w:rPr>
              <w:t>、苏丹红</w:t>
            </w:r>
            <w:r>
              <w:rPr>
                <w:sz w:val="17"/>
                <w:szCs w:val="17"/>
              </w:rPr>
              <w:t>III</w:t>
            </w:r>
            <w:r>
              <w:rPr>
                <w:spacing w:val="11"/>
                <w:sz w:val="17"/>
                <w:szCs w:val="17"/>
              </w:rPr>
              <w:t>、苏丹红</w:t>
            </w:r>
            <w:r>
              <w:rPr>
                <w:sz w:val="17"/>
                <w:szCs w:val="17"/>
              </w:rPr>
              <w:t>IV</w:t>
            </w:r>
            <w:r>
              <w:rPr>
                <w:spacing w:val="10"/>
                <w:sz w:val="17"/>
                <w:szCs w:val="17"/>
              </w:rPr>
              <w:t>、罂粟碱、吗啡、可待因、那可丁、苯甲酸及其</w:t>
            </w:r>
            <w:r>
              <w:rPr>
                <w:spacing w:val="7"/>
                <w:sz w:val="17"/>
                <w:szCs w:val="17"/>
              </w:rPr>
              <w:t>钠盐（以苯甲酸计）</w:t>
            </w:r>
            <w:r>
              <w:rPr>
                <w:spacing w:val="-20"/>
                <w:sz w:val="17"/>
                <w:szCs w:val="17"/>
              </w:rPr>
              <w:t xml:space="preserve"> </w:t>
            </w:r>
            <w:r>
              <w:rPr>
                <w:spacing w:val="7"/>
                <w:sz w:val="17"/>
                <w:szCs w:val="17"/>
              </w:rPr>
              <w:t>、山梨酸及其钾盐（以山梨酸计）</w:t>
            </w:r>
            <w:r>
              <w:rPr>
                <w:spacing w:val="-25"/>
                <w:sz w:val="17"/>
                <w:szCs w:val="17"/>
              </w:rPr>
              <w:t xml:space="preserve"> </w:t>
            </w:r>
            <w:r>
              <w:rPr>
                <w:spacing w:val="7"/>
                <w:sz w:val="17"/>
                <w:szCs w:val="17"/>
              </w:rPr>
              <w:t>、脱氢乙酸及其钠盐（以脱氢乙酸计）</w:t>
            </w:r>
            <w:r>
              <w:rPr>
                <w:spacing w:val="-35"/>
                <w:sz w:val="17"/>
                <w:szCs w:val="17"/>
              </w:rPr>
              <w:t xml:space="preserve"> </w:t>
            </w:r>
            <w:r>
              <w:rPr>
                <w:spacing w:val="7"/>
                <w:sz w:val="17"/>
                <w:szCs w:val="17"/>
              </w:rPr>
              <w:t>、防腐剂混合</w:t>
            </w:r>
            <w:r>
              <w:rPr>
                <w:spacing w:val="10"/>
                <w:sz w:val="17"/>
                <w:szCs w:val="17"/>
              </w:rPr>
              <w:t>使用时各自用量占其最大使用量的比例之和、糖</w:t>
            </w:r>
            <w:r>
              <w:rPr>
                <w:spacing w:val="9"/>
                <w:sz w:val="17"/>
                <w:szCs w:val="17"/>
              </w:rPr>
              <w:t>精钠（以糖精计）</w:t>
            </w:r>
            <w:r>
              <w:rPr>
                <w:spacing w:val="-25"/>
                <w:sz w:val="17"/>
                <w:szCs w:val="17"/>
              </w:rPr>
              <w:t xml:space="preserve"> </w:t>
            </w:r>
            <w:r>
              <w:rPr>
                <w:spacing w:val="9"/>
                <w:sz w:val="17"/>
                <w:szCs w:val="17"/>
              </w:rPr>
              <w:t>、甜蜜素（以环己基氨基磺酸计）、安赛蜜、阿斯巴甜、二氧化硫残留量</w:t>
            </w:r>
          </w:p>
        </w:tc>
      </w:tr>
      <w:tr w14:paraId="77585C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5" w:hRule="atLeast"/>
        </w:trPr>
        <w:tc>
          <w:tcPr>
            <w:tcW w:w="459" w:type="dxa"/>
            <w:vMerge w:val="continue"/>
            <w:tcBorders>
              <w:top w:val="nil"/>
              <w:bottom w:val="nil"/>
            </w:tcBorders>
            <w:vAlign w:val="top"/>
          </w:tcPr>
          <w:p w14:paraId="3D197C94">
            <w:pPr>
              <w:rPr>
                <w:rFonts w:ascii="Arial"/>
                <w:sz w:val="21"/>
              </w:rPr>
            </w:pPr>
          </w:p>
        </w:tc>
        <w:tc>
          <w:tcPr>
            <w:tcW w:w="942" w:type="dxa"/>
            <w:vMerge w:val="continue"/>
            <w:tcBorders>
              <w:top w:val="nil"/>
              <w:bottom w:val="nil"/>
            </w:tcBorders>
            <w:vAlign w:val="top"/>
          </w:tcPr>
          <w:p w14:paraId="6A68354D">
            <w:pPr>
              <w:rPr>
                <w:rFonts w:ascii="Arial"/>
                <w:sz w:val="21"/>
              </w:rPr>
            </w:pPr>
          </w:p>
        </w:tc>
        <w:tc>
          <w:tcPr>
            <w:tcW w:w="1360" w:type="dxa"/>
            <w:vMerge w:val="continue"/>
            <w:tcBorders>
              <w:top w:val="nil"/>
              <w:bottom w:val="nil"/>
            </w:tcBorders>
            <w:vAlign w:val="top"/>
          </w:tcPr>
          <w:p w14:paraId="7890946C">
            <w:pPr>
              <w:rPr>
                <w:rFonts w:ascii="Arial"/>
                <w:sz w:val="21"/>
              </w:rPr>
            </w:pPr>
          </w:p>
        </w:tc>
        <w:tc>
          <w:tcPr>
            <w:tcW w:w="1581" w:type="dxa"/>
            <w:vMerge w:val="restart"/>
            <w:tcBorders>
              <w:bottom w:val="nil"/>
            </w:tcBorders>
            <w:vAlign w:val="top"/>
          </w:tcPr>
          <w:p w14:paraId="50588825">
            <w:pPr>
              <w:spacing w:line="336" w:lineRule="auto"/>
              <w:rPr>
                <w:rFonts w:ascii="Arial"/>
                <w:sz w:val="21"/>
              </w:rPr>
            </w:pPr>
          </w:p>
          <w:p w14:paraId="5FD38438">
            <w:pPr>
              <w:pStyle w:val="51"/>
              <w:spacing w:before="55" w:line="226" w:lineRule="auto"/>
              <w:ind w:left="78"/>
              <w:rPr>
                <w:sz w:val="17"/>
                <w:szCs w:val="17"/>
              </w:rPr>
            </w:pPr>
            <w:r>
              <w:rPr>
                <w:spacing w:val="8"/>
                <w:sz w:val="17"/>
                <w:szCs w:val="17"/>
              </w:rPr>
              <w:t>半固体复合调味料</w:t>
            </w:r>
          </w:p>
        </w:tc>
        <w:tc>
          <w:tcPr>
            <w:tcW w:w="1586" w:type="dxa"/>
            <w:vAlign w:val="top"/>
          </w:tcPr>
          <w:p w14:paraId="6B1C2816">
            <w:pPr>
              <w:pStyle w:val="51"/>
              <w:spacing w:before="89" w:line="223" w:lineRule="auto"/>
              <w:ind w:left="174"/>
              <w:rPr>
                <w:sz w:val="17"/>
                <w:szCs w:val="17"/>
              </w:rPr>
            </w:pPr>
            <w:r>
              <w:rPr>
                <w:spacing w:val="7"/>
                <w:sz w:val="17"/>
                <w:szCs w:val="17"/>
              </w:rPr>
              <w:t>蛋黄酱、沙拉酱</w:t>
            </w:r>
          </w:p>
        </w:tc>
        <w:tc>
          <w:tcPr>
            <w:tcW w:w="682" w:type="dxa"/>
            <w:vAlign w:val="top"/>
          </w:tcPr>
          <w:p w14:paraId="5943E5BC">
            <w:pPr>
              <w:pStyle w:val="51"/>
              <w:spacing w:before="89" w:line="223" w:lineRule="auto"/>
              <w:ind w:left="173"/>
              <w:rPr>
                <w:sz w:val="17"/>
                <w:szCs w:val="17"/>
              </w:rPr>
            </w:pPr>
            <w:r>
              <w:rPr>
                <w:spacing w:val="2"/>
                <w:sz w:val="17"/>
                <w:szCs w:val="17"/>
              </w:rPr>
              <w:t>一般</w:t>
            </w:r>
          </w:p>
        </w:tc>
        <w:tc>
          <w:tcPr>
            <w:tcW w:w="8563" w:type="dxa"/>
            <w:vAlign w:val="top"/>
          </w:tcPr>
          <w:p w14:paraId="34005C1A">
            <w:pPr>
              <w:pStyle w:val="51"/>
              <w:spacing w:before="89" w:line="223" w:lineRule="auto"/>
              <w:ind w:left="43"/>
              <w:rPr>
                <w:sz w:val="17"/>
                <w:szCs w:val="17"/>
              </w:rPr>
            </w:pPr>
            <w:r>
              <w:rPr>
                <w:spacing w:val="5"/>
                <w:sz w:val="17"/>
                <w:szCs w:val="17"/>
              </w:rPr>
              <w:t>二氧化钛</w:t>
            </w:r>
          </w:p>
        </w:tc>
      </w:tr>
      <w:tr w14:paraId="4295D4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459" w:type="dxa"/>
            <w:vMerge w:val="continue"/>
            <w:tcBorders>
              <w:top w:val="nil"/>
            </w:tcBorders>
            <w:vAlign w:val="top"/>
          </w:tcPr>
          <w:p w14:paraId="4128240C">
            <w:pPr>
              <w:rPr>
                <w:rFonts w:ascii="Arial"/>
                <w:sz w:val="21"/>
              </w:rPr>
            </w:pPr>
          </w:p>
        </w:tc>
        <w:tc>
          <w:tcPr>
            <w:tcW w:w="942" w:type="dxa"/>
            <w:vMerge w:val="continue"/>
            <w:tcBorders>
              <w:top w:val="nil"/>
            </w:tcBorders>
            <w:vAlign w:val="top"/>
          </w:tcPr>
          <w:p w14:paraId="41AA3D0E">
            <w:pPr>
              <w:rPr>
                <w:rFonts w:ascii="Arial"/>
                <w:sz w:val="21"/>
              </w:rPr>
            </w:pPr>
          </w:p>
        </w:tc>
        <w:tc>
          <w:tcPr>
            <w:tcW w:w="1360" w:type="dxa"/>
            <w:vMerge w:val="continue"/>
            <w:tcBorders>
              <w:top w:val="nil"/>
            </w:tcBorders>
            <w:vAlign w:val="top"/>
          </w:tcPr>
          <w:p w14:paraId="2D3DBA1B">
            <w:pPr>
              <w:rPr>
                <w:rFonts w:ascii="Arial"/>
                <w:sz w:val="21"/>
              </w:rPr>
            </w:pPr>
          </w:p>
        </w:tc>
        <w:tc>
          <w:tcPr>
            <w:tcW w:w="1581" w:type="dxa"/>
            <w:vMerge w:val="continue"/>
            <w:tcBorders>
              <w:top w:val="nil"/>
            </w:tcBorders>
            <w:vAlign w:val="top"/>
          </w:tcPr>
          <w:p w14:paraId="1E9C7EAD">
            <w:pPr>
              <w:rPr>
                <w:rFonts w:ascii="Arial"/>
                <w:sz w:val="21"/>
              </w:rPr>
            </w:pPr>
          </w:p>
        </w:tc>
        <w:tc>
          <w:tcPr>
            <w:tcW w:w="1586" w:type="dxa"/>
            <w:vAlign w:val="top"/>
          </w:tcPr>
          <w:p w14:paraId="1D3B890F">
            <w:pPr>
              <w:pStyle w:val="51"/>
              <w:spacing w:before="88" w:line="227" w:lineRule="auto"/>
              <w:ind w:left="175"/>
              <w:rPr>
                <w:sz w:val="17"/>
                <w:szCs w:val="17"/>
              </w:rPr>
            </w:pPr>
            <w:r>
              <w:rPr>
                <w:spacing w:val="7"/>
                <w:sz w:val="17"/>
                <w:szCs w:val="17"/>
              </w:rPr>
              <w:t>坚果与籽类的泥</w:t>
            </w:r>
          </w:p>
          <w:p w14:paraId="143FC165">
            <w:pPr>
              <w:pStyle w:val="51"/>
              <w:spacing w:before="91" w:line="224" w:lineRule="auto"/>
              <w:ind w:left="647"/>
              <w:rPr>
                <w:sz w:val="17"/>
                <w:szCs w:val="17"/>
              </w:rPr>
            </w:pPr>
            <w:r>
              <w:rPr>
                <w:spacing w:val="-6"/>
                <w:sz w:val="17"/>
                <w:szCs w:val="17"/>
              </w:rPr>
              <w:t>(酱)</w:t>
            </w:r>
          </w:p>
        </w:tc>
        <w:tc>
          <w:tcPr>
            <w:tcW w:w="682" w:type="dxa"/>
            <w:vAlign w:val="top"/>
          </w:tcPr>
          <w:p w14:paraId="219D19B8">
            <w:pPr>
              <w:pStyle w:val="51"/>
              <w:spacing w:before="240" w:line="230" w:lineRule="auto"/>
              <w:ind w:left="173"/>
              <w:rPr>
                <w:sz w:val="17"/>
                <w:szCs w:val="17"/>
              </w:rPr>
            </w:pPr>
            <w:r>
              <w:rPr>
                <w:spacing w:val="2"/>
                <w:sz w:val="17"/>
                <w:szCs w:val="17"/>
              </w:rPr>
              <w:t>一般</w:t>
            </w:r>
          </w:p>
        </w:tc>
        <w:tc>
          <w:tcPr>
            <w:tcW w:w="8563" w:type="dxa"/>
            <w:vAlign w:val="top"/>
          </w:tcPr>
          <w:p w14:paraId="5F096D74">
            <w:pPr>
              <w:pStyle w:val="51"/>
              <w:spacing w:before="240" w:line="241" w:lineRule="auto"/>
              <w:ind w:left="37"/>
              <w:rPr>
                <w:sz w:val="8"/>
                <w:szCs w:val="8"/>
              </w:rPr>
            </w:pPr>
            <w:r>
              <w:rPr>
                <w:spacing w:val="9"/>
                <w:sz w:val="17"/>
                <w:szCs w:val="17"/>
              </w:rPr>
              <w:t>酸价/酸值、过氧化值、铅（以</w:t>
            </w:r>
            <w:r>
              <w:rPr>
                <w:sz w:val="17"/>
                <w:szCs w:val="17"/>
              </w:rPr>
              <w:t>Pb</w:t>
            </w:r>
            <w:r>
              <w:rPr>
                <w:spacing w:val="9"/>
                <w:sz w:val="17"/>
                <w:szCs w:val="17"/>
              </w:rPr>
              <w:t>计）、黄曲霉毒素B</w:t>
            </w:r>
            <w:r>
              <w:rPr>
                <w:spacing w:val="9"/>
                <w:position w:val="-2"/>
                <w:sz w:val="8"/>
                <w:szCs w:val="8"/>
              </w:rPr>
              <w:t>1</w:t>
            </w:r>
          </w:p>
        </w:tc>
      </w:tr>
      <w:tr w14:paraId="49F90D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459" w:type="dxa"/>
            <w:vMerge w:val="restart"/>
            <w:tcBorders>
              <w:bottom w:val="nil"/>
            </w:tcBorders>
            <w:vAlign w:val="top"/>
          </w:tcPr>
          <w:p w14:paraId="0C49AC2A">
            <w:pPr>
              <w:spacing w:line="249" w:lineRule="auto"/>
              <w:rPr>
                <w:rFonts w:ascii="Arial"/>
                <w:sz w:val="21"/>
              </w:rPr>
            </w:pPr>
          </w:p>
          <w:p w14:paraId="0EF44F82">
            <w:pPr>
              <w:spacing w:line="249" w:lineRule="auto"/>
              <w:rPr>
                <w:rFonts w:ascii="Arial"/>
                <w:sz w:val="21"/>
              </w:rPr>
            </w:pPr>
          </w:p>
          <w:p w14:paraId="4F0D2CB0">
            <w:pPr>
              <w:spacing w:line="249" w:lineRule="auto"/>
              <w:rPr>
                <w:rFonts w:ascii="Arial"/>
                <w:sz w:val="21"/>
              </w:rPr>
            </w:pPr>
          </w:p>
          <w:p w14:paraId="55DDB920">
            <w:pPr>
              <w:spacing w:line="250" w:lineRule="auto"/>
              <w:rPr>
                <w:rFonts w:ascii="Arial"/>
                <w:sz w:val="21"/>
              </w:rPr>
            </w:pPr>
          </w:p>
          <w:p w14:paraId="2681C7A7">
            <w:pPr>
              <w:spacing w:line="250" w:lineRule="auto"/>
              <w:rPr>
                <w:rFonts w:ascii="Arial"/>
                <w:sz w:val="21"/>
              </w:rPr>
            </w:pPr>
          </w:p>
          <w:p w14:paraId="6FD2D9E0">
            <w:pPr>
              <w:pStyle w:val="51"/>
              <w:spacing w:before="55" w:line="227" w:lineRule="exact"/>
              <w:ind w:left="192"/>
              <w:rPr>
                <w:sz w:val="17"/>
                <w:szCs w:val="17"/>
              </w:rPr>
            </w:pPr>
            <w:r>
              <w:rPr>
                <w:position w:val="1"/>
                <w:sz w:val="17"/>
                <w:szCs w:val="17"/>
              </w:rPr>
              <w:t>3</w:t>
            </w:r>
          </w:p>
        </w:tc>
        <w:tc>
          <w:tcPr>
            <w:tcW w:w="942" w:type="dxa"/>
            <w:vMerge w:val="restart"/>
            <w:tcBorders>
              <w:bottom w:val="nil"/>
            </w:tcBorders>
            <w:vAlign w:val="top"/>
          </w:tcPr>
          <w:p w14:paraId="7B7880C7">
            <w:pPr>
              <w:spacing w:line="249" w:lineRule="auto"/>
              <w:rPr>
                <w:rFonts w:ascii="Arial"/>
                <w:sz w:val="21"/>
              </w:rPr>
            </w:pPr>
          </w:p>
          <w:p w14:paraId="23AFDFB2">
            <w:pPr>
              <w:spacing w:line="249" w:lineRule="auto"/>
              <w:rPr>
                <w:rFonts w:ascii="Arial"/>
                <w:sz w:val="21"/>
              </w:rPr>
            </w:pPr>
          </w:p>
          <w:p w14:paraId="0E572211">
            <w:pPr>
              <w:spacing w:line="249" w:lineRule="auto"/>
              <w:rPr>
                <w:rFonts w:ascii="Arial"/>
                <w:sz w:val="21"/>
              </w:rPr>
            </w:pPr>
          </w:p>
          <w:p w14:paraId="1253F287">
            <w:pPr>
              <w:spacing w:line="249" w:lineRule="auto"/>
              <w:rPr>
                <w:rFonts w:ascii="Arial"/>
                <w:sz w:val="21"/>
              </w:rPr>
            </w:pPr>
          </w:p>
          <w:p w14:paraId="08B155B4">
            <w:pPr>
              <w:spacing w:line="250" w:lineRule="auto"/>
              <w:rPr>
                <w:rFonts w:ascii="Arial"/>
                <w:sz w:val="21"/>
              </w:rPr>
            </w:pPr>
          </w:p>
          <w:p w14:paraId="55FD3237">
            <w:pPr>
              <w:pStyle w:val="51"/>
              <w:spacing w:before="56" w:line="227" w:lineRule="auto"/>
              <w:ind w:left="208"/>
              <w:rPr>
                <w:sz w:val="17"/>
                <w:szCs w:val="17"/>
              </w:rPr>
            </w:pPr>
            <w:r>
              <w:rPr>
                <w:spacing w:val="6"/>
                <w:sz w:val="17"/>
                <w:szCs w:val="17"/>
              </w:rPr>
              <w:t>调味品</w:t>
            </w:r>
          </w:p>
        </w:tc>
        <w:tc>
          <w:tcPr>
            <w:tcW w:w="1360" w:type="dxa"/>
            <w:vMerge w:val="restart"/>
            <w:tcBorders>
              <w:bottom w:val="nil"/>
            </w:tcBorders>
            <w:vAlign w:val="top"/>
          </w:tcPr>
          <w:p w14:paraId="52470577">
            <w:pPr>
              <w:spacing w:line="249" w:lineRule="auto"/>
              <w:rPr>
                <w:rFonts w:ascii="Arial"/>
                <w:sz w:val="21"/>
              </w:rPr>
            </w:pPr>
          </w:p>
          <w:p w14:paraId="61A0C5DF">
            <w:pPr>
              <w:spacing w:line="249" w:lineRule="auto"/>
              <w:rPr>
                <w:rFonts w:ascii="Arial"/>
                <w:sz w:val="21"/>
              </w:rPr>
            </w:pPr>
          </w:p>
          <w:p w14:paraId="451A6A5F">
            <w:pPr>
              <w:spacing w:line="249" w:lineRule="auto"/>
              <w:rPr>
                <w:rFonts w:ascii="Arial"/>
                <w:sz w:val="21"/>
              </w:rPr>
            </w:pPr>
          </w:p>
          <w:p w14:paraId="061EFA49">
            <w:pPr>
              <w:spacing w:line="250" w:lineRule="auto"/>
              <w:rPr>
                <w:rFonts w:ascii="Arial"/>
                <w:sz w:val="21"/>
              </w:rPr>
            </w:pPr>
          </w:p>
          <w:p w14:paraId="1AE67133">
            <w:pPr>
              <w:spacing w:line="250" w:lineRule="auto"/>
              <w:rPr>
                <w:rFonts w:ascii="Arial"/>
                <w:sz w:val="21"/>
              </w:rPr>
            </w:pPr>
          </w:p>
          <w:p w14:paraId="739C060B">
            <w:pPr>
              <w:pStyle w:val="51"/>
              <w:spacing w:before="55" w:line="226" w:lineRule="auto"/>
              <w:ind w:left="415"/>
              <w:rPr>
                <w:sz w:val="17"/>
                <w:szCs w:val="17"/>
              </w:rPr>
            </w:pPr>
            <w:r>
              <w:rPr>
                <w:spacing w:val="6"/>
                <w:sz w:val="17"/>
                <w:szCs w:val="17"/>
              </w:rPr>
              <w:t>调味料</w:t>
            </w:r>
          </w:p>
        </w:tc>
        <w:tc>
          <w:tcPr>
            <w:tcW w:w="1581" w:type="dxa"/>
            <w:vMerge w:val="restart"/>
            <w:tcBorders>
              <w:bottom w:val="nil"/>
            </w:tcBorders>
            <w:vAlign w:val="top"/>
          </w:tcPr>
          <w:p w14:paraId="60010EE2">
            <w:pPr>
              <w:spacing w:line="249" w:lineRule="auto"/>
              <w:rPr>
                <w:rFonts w:ascii="Arial"/>
                <w:sz w:val="21"/>
              </w:rPr>
            </w:pPr>
          </w:p>
          <w:p w14:paraId="1302CC40">
            <w:pPr>
              <w:spacing w:line="249" w:lineRule="auto"/>
              <w:rPr>
                <w:rFonts w:ascii="Arial"/>
                <w:sz w:val="21"/>
              </w:rPr>
            </w:pPr>
          </w:p>
          <w:p w14:paraId="59142ED8">
            <w:pPr>
              <w:spacing w:line="249" w:lineRule="auto"/>
              <w:rPr>
                <w:rFonts w:ascii="Arial"/>
                <w:sz w:val="21"/>
              </w:rPr>
            </w:pPr>
          </w:p>
          <w:p w14:paraId="5A2D76AF">
            <w:pPr>
              <w:spacing w:line="250" w:lineRule="auto"/>
              <w:rPr>
                <w:rFonts w:ascii="Arial"/>
                <w:sz w:val="21"/>
              </w:rPr>
            </w:pPr>
          </w:p>
          <w:p w14:paraId="45F76C30">
            <w:pPr>
              <w:spacing w:line="250" w:lineRule="auto"/>
              <w:rPr>
                <w:rFonts w:ascii="Arial"/>
                <w:sz w:val="21"/>
              </w:rPr>
            </w:pPr>
          </w:p>
          <w:p w14:paraId="6F8BDA77">
            <w:pPr>
              <w:pStyle w:val="51"/>
              <w:spacing w:before="55" w:line="226" w:lineRule="auto"/>
              <w:ind w:left="78"/>
              <w:rPr>
                <w:sz w:val="17"/>
                <w:szCs w:val="17"/>
              </w:rPr>
            </w:pPr>
            <w:r>
              <w:rPr>
                <w:spacing w:val="8"/>
                <w:sz w:val="17"/>
                <w:szCs w:val="17"/>
              </w:rPr>
              <w:t>半固体复合调味料</w:t>
            </w:r>
          </w:p>
        </w:tc>
        <w:tc>
          <w:tcPr>
            <w:tcW w:w="1586" w:type="dxa"/>
            <w:vAlign w:val="top"/>
          </w:tcPr>
          <w:p w14:paraId="1E022938">
            <w:pPr>
              <w:pStyle w:val="51"/>
              <w:spacing w:before="240" w:line="227" w:lineRule="auto"/>
              <w:ind w:left="532"/>
              <w:rPr>
                <w:sz w:val="17"/>
                <w:szCs w:val="17"/>
              </w:rPr>
            </w:pPr>
            <w:r>
              <w:rPr>
                <w:spacing w:val="5"/>
                <w:sz w:val="17"/>
                <w:szCs w:val="17"/>
              </w:rPr>
              <w:t>辣椒酱</w:t>
            </w:r>
          </w:p>
        </w:tc>
        <w:tc>
          <w:tcPr>
            <w:tcW w:w="682" w:type="dxa"/>
            <w:vAlign w:val="top"/>
          </w:tcPr>
          <w:p w14:paraId="7F0E64FD">
            <w:pPr>
              <w:pStyle w:val="51"/>
              <w:spacing w:before="239" w:line="230" w:lineRule="auto"/>
              <w:ind w:left="173"/>
              <w:rPr>
                <w:sz w:val="17"/>
                <w:szCs w:val="17"/>
              </w:rPr>
            </w:pPr>
            <w:r>
              <w:rPr>
                <w:spacing w:val="2"/>
                <w:sz w:val="17"/>
                <w:szCs w:val="17"/>
              </w:rPr>
              <w:t>一般</w:t>
            </w:r>
          </w:p>
        </w:tc>
        <w:tc>
          <w:tcPr>
            <w:tcW w:w="8563" w:type="dxa"/>
            <w:vAlign w:val="top"/>
          </w:tcPr>
          <w:p w14:paraId="5B773B53">
            <w:pPr>
              <w:pStyle w:val="51"/>
              <w:spacing w:before="91" w:line="273" w:lineRule="auto"/>
              <w:ind w:left="48" w:right="58" w:hanging="9"/>
              <w:rPr>
                <w:sz w:val="17"/>
                <w:szCs w:val="17"/>
              </w:rPr>
            </w:pPr>
            <w:r>
              <w:rPr>
                <w:spacing w:val="8"/>
                <w:sz w:val="17"/>
                <w:szCs w:val="17"/>
              </w:rPr>
              <w:t>苯甲酸及其钠盐（以苯甲酸计）、山梨酸及其钾盐（以山梨酸计）</w:t>
            </w:r>
            <w:r>
              <w:rPr>
                <w:spacing w:val="-24"/>
                <w:sz w:val="17"/>
                <w:szCs w:val="17"/>
              </w:rPr>
              <w:t xml:space="preserve"> </w:t>
            </w:r>
            <w:r>
              <w:rPr>
                <w:spacing w:val="8"/>
                <w:sz w:val="17"/>
                <w:szCs w:val="17"/>
              </w:rPr>
              <w:t>、脱氢乙酸及其钠盐（以脱氢</w:t>
            </w:r>
            <w:r>
              <w:rPr>
                <w:spacing w:val="7"/>
                <w:sz w:val="17"/>
                <w:szCs w:val="17"/>
              </w:rPr>
              <w:t>乙酸计）</w:t>
            </w:r>
            <w:r>
              <w:rPr>
                <w:spacing w:val="-49"/>
                <w:sz w:val="17"/>
                <w:szCs w:val="17"/>
              </w:rPr>
              <w:t xml:space="preserve"> </w:t>
            </w:r>
            <w:r>
              <w:rPr>
                <w:spacing w:val="7"/>
                <w:sz w:val="17"/>
                <w:szCs w:val="17"/>
              </w:rPr>
              <w:t>、</w:t>
            </w:r>
            <w:r>
              <w:rPr>
                <w:spacing w:val="10"/>
                <w:sz w:val="17"/>
                <w:szCs w:val="17"/>
              </w:rPr>
              <w:t>防腐剂混合使用时各自用量占其最大使用量的比</w:t>
            </w:r>
            <w:r>
              <w:rPr>
                <w:spacing w:val="9"/>
                <w:sz w:val="17"/>
                <w:szCs w:val="17"/>
              </w:rPr>
              <w:t>例之和、甜蜜素（以环己基氨基磺酸计）、二氧化硫残留量</w:t>
            </w:r>
          </w:p>
        </w:tc>
      </w:tr>
      <w:tr w14:paraId="0E3809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459" w:type="dxa"/>
            <w:vMerge w:val="continue"/>
            <w:tcBorders>
              <w:top w:val="nil"/>
              <w:bottom w:val="nil"/>
            </w:tcBorders>
            <w:vAlign w:val="top"/>
          </w:tcPr>
          <w:p w14:paraId="07ABB53D">
            <w:pPr>
              <w:rPr>
                <w:rFonts w:ascii="Arial"/>
                <w:sz w:val="21"/>
              </w:rPr>
            </w:pPr>
          </w:p>
        </w:tc>
        <w:tc>
          <w:tcPr>
            <w:tcW w:w="942" w:type="dxa"/>
            <w:vMerge w:val="continue"/>
            <w:tcBorders>
              <w:top w:val="nil"/>
              <w:bottom w:val="nil"/>
            </w:tcBorders>
            <w:vAlign w:val="top"/>
          </w:tcPr>
          <w:p w14:paraId="2201CB58">
            <w:pPr>
              <w:rPr>
                <w:rFonts w:ascii="Arial"/>
                <w:sz w:val="21"/>
              </w:rPr>
            </w:pPr>
          </w:p>
        </w:tc>
        <w:tc>
          <w:tcPr>
            <w:tcW w:w="1360" w:type="dxa"/>
            <w:vMerge w:val="continue"/>
            <w:tcBorders>
              <w:top w:val="nil"/>
              <w:bottom w:val="nil"/>
            </w:tcBorders>
            <w:vAlign w:val="top"/>
          </w:tcPr>
          <w:p w14:paraId="541FCA54">
            <w:pPr>
              <w:rPr>
                <w:rFonts w:ascii="Arial"/>
                <w:sz w:val="21"/>
              </w:rPr>
            </w:pPr>
          </w:p>
        </w:tc>
        <w:tc>
          <w:tcPr>
            <w:tcW w:w="1581" w:type="dxa"/>
            <w:vMerge w:val="continue"/>
            <w:tcBorders>
              <w:top w:val="nil"/>
              <w:bottom w:val="nil"/>
            </w:tcBorders>
            <w:vAlign w:val="top"/>
          </w:tcPr>
          <w:p w14:paraId="2A8D8D84">
            <w:pPr>
              <w:rPr>
                <w:rFonts w:ascii="Arial"/>
                <w:sz w:val="21"/>
              </w:rPr>
            </w:pPr>
          </w:p>
        </w:tc>
        <w:tc>
          <w:tcPr>
            <w:tcW w:w="1586" w:type="dxa"/>
            <w:vAlign w:val="top"/>
          </w:tcPr>
          <w:p w14:paraId="70B9424F">
            <w:pPr>
              <w:pStyle w:val="51"/>
              <w:spacing w:before="91" w:line="226" w:lineRule="auto"/>
              <w:ind w:left="41"/>
              <w:rPr>
                <w:sz w:val="17"/>
                <w:szCs w:val="17"/>
              </w:rPr>
            </w:pPr>
            <w:r>
              <w:rPr>
                <w:spacing w:val="-2"/>
                <w:sz w:val="17"/>
                <w:szCs w:val="17"/>
              </w:rPr>
              <w:t>火锅底料、麻辣烫底</w:t>
            </w:r>
          </w:p>
          <w:p w14:paraId="1130EB60">
            <w:pPr>
              <w:pStyle w:val="51"/>
              <w:spacing w:before="91" w:line="221" w:lineRule="auto"/>
              <w:ind w:left="711"/>
              <w:rPr>
                <w:sz w:val="17"/>
                <w:szCs w:val="17"/>
              </w:rPr>
            </w:pPr>
            <w:r>
              <w:rPr>
                <w:sz w:val="17"/>
                <w:szCs w:val="17"/>
              </w:rPr>
              <w:t>料</w:t>
            </w:r>
          </w:p>
        </w:tc>
        <w:tc>
          <w:tcPr>
            <w:tcW w:w="682" w:type="dxa"/>
            <w:vAlign w:val="top"/>
          </w:tcPr>
          <w:p w14:paraId="46065D55">
            <w:pPr>
              <w:pStyle w:val="51"/>
              <w:spacing w:before="240" w:line="230" w:lineRule="auto"/>
              <w:ind w:left="173"/>
              <w:rPr>
                <w:sz w:val="17"/>
                <w:szCs w:val="17"/>
              </w:rPr>
            </w:pPr>
            <w:r>
              <w:rPr>
                <w:spacing w:val="2"/>
                <w:sz w:val="17"/>
                <w:szCs w:val="17"/>
              </w:rPr>
              <w:t>一般</w:t>
            </w:r>
          </w:p>
        </w:tc>
        <w:tc>
          <w:tcPr>
            <w:tcW w:w="8563" w:type="dxa"/>
            <w:vAlign w:val="top"/>
          </w:tcPr>
          <w:p w14:paraId="0921024F">
            <w:pPr>
              <w:pStyle w:val="51"/>
              <w:spacing w:before="92" w:line="273" w:lineRule="auto"/>
              <w:ind w:left="49" w:right="24" w:hanging="9"/>
              <w:rPr>
                <w:sz w:val="17"/>
                <w:szCs w:val="17"/>
              </w:rPr>
            </w:pPr>
            <w:r>
              <w:rPr>
                <w:spacing w:val="10"/>
                <w:sz w:val="17"/>
                <w:szCs w:val="17"/>
              </w:rPr>
              <w:t>罂粟碱、吗啡、可待因、那可丁、苯甲酸及其钠盐（以苯甲酸计）</w:t>
            </w:r>
            <w:r>
              <w:rPr>
                <w:spacing w:val="-49"/>
                <w:sz w:val="17"/>
                <w:szCs w:val="17"/>
              </w:rPr>
              <w:t xml:space="preserve"> </w:t>
            </w:r>
            <w:r>
              <w:rPr>
                <w:spacing w:val="10"/>
                <w:sz w:val="17"/>
                <w:szCs w:val="17"/>
              </w:rPr>
              <w:t>、山梨酸及其钾盐（以山梨酸</w:t>
            </w:r>
            <w:r>
              <w:rPr>
                <w:spacing w:val="9"/>
                <w:sz w:val="17"/>
                <w:szCs w:val="17"/>
              </w:rPr>
              <w:t>计）、脱氢乙酸及其钠盐（以脱氢乙酸计）、防腐剂混合使用时各自用量占其最大使用量的比例之和</w:t>
            </w:r>
          </w:p>
        </w:tc>
      </w:tr>
      <w:tr w14:paraId="05D252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28" w:hRule="atLeast"/>
        </w:trPr>
        <w:tc>
          <w:tcPr>
            <w:tcW w:w="459" w:type="dxa"/>
            <w:vMerge w:val="continue"/>
            <w:tcBorders>
              <w:top w:val="nil"/>
            </w:tcBorders>
            <w:vAlign w:val="top"/>
          </w:tcPr>
          <w:p w14:paraId="0C507CC1">
            <w:pPr>
              <w:rPr>
                <w:rFonts w:ascii="Arial"/>
                <w:sz w:val="21"/>
              </w:rPr>
            </w:pPr>
          </w:p>
        </w:tc>
        <w:tc>
          <w:tcPr>
            <w:tcW w:w="942" w:type="dxa"/>
            <w:vMerge w:val="continue"/>
            <w:tcBorders>
              <w:top w:val="nil"/>
            </w:tcBorders>
            <w:vAlign w:val="top"/>
          </w:tcPr>
          <w:p w14:paraId="2CFD4D1F">
            <w:pPr>
              <w:rPr>
                <w:rFonts w:ascii="Arial"/>
                <w:sz w:val="21"/>
              </w:rPr>
            </w:pPr>
          </w:p>
        </w:tc>
        <w:tc>
          <w:tcPr>
            <w:tcW w:w="1360" w:type="dxa"/>
            <w:vMerge w:val="continue"/>
            <w:tcBorders>
              <w:top w:val="nil"/>
            </w:tcBorders>
            <w:vAlign w:val="top"/>
          </w:tcPr>
          <w:p w14:paraId="7AAF0E86">
            <w:pPr>
              <w:rPr>
                <w:rFonts w:ascii="Arial"/>
                <w:sz w:val="21"/>
              </w:rPr>
            </w:pPr>
          </w:p>
        </w:tc>
        <w:tc>
          <w:tcPr>
            <w:tcW w:w="1581" w:type="dxa"/>
            <w:vMerge w:val="continue"/>
            <w:tcBorders>
              <w:top w:val="nil"/>
            </w:tcBorders>
            <w:vAlign w:val="top"/>
          </w:tcPr>
          <w:p w14:paraId="58D3278F">
            <w:pPr>
              <w:rPr>
                <w:rFonts w:ascii="Arial"/>
                <w:sz w:val="21"/>
              </w:rPr>
            </w:pPr>
          </w:p>
        </w:tc>
        <w:tc>
          <w:tcPr>
            <w:tcW w:w="1586" w:type="dxa"/>
            <w:vAlign w:val="top"/>
          </w:tcPr>
          <w:p w14:paraId="61274EBE">
            <w:pPr>
              <w:spacing w:line="320" w:lineRule="auto"/>
              <w:rPr>
                <w:rFonts w:ascii="Arial"/>
                <w:sz w:val="21"/>
              </w:rPr>
            </w:pPr>
          </w:p>
          <w:p w14:paraId="68708E65">
            <w:pPr>
              <w:spacing w:line="321" w:lineRule="auto"/>
              <w:rPr>
                <w:rFonts w:ascii="Arial"/>
                <w:sz w:val="21"/>
              </w:rPr>
            </w:pPr>
          </w:p>
          <w:p w14:paraId="334D0694">
            <w:pPr>
              <w:pStyle w:val="51"/>
              <w:spacing w:before="55" w:line="226" w:lineRule="auto"/>
              <w:ind w:left="82"/>
              <w:rPr>
                <w:sz w:val="17"/>
                <w:szCs w:val="17"/>
              </w:rPr>
            </w:pPr>
            <w:r>
              <w:rPr>
                <w:spacing w:val="8"/>
                <w:sz w:val="17"/>
                <w:szCs w:val="17"/>
              </w:rPr>
              <w:t>其他半固体调味料</w:t>
            </w:r>
          </w:p>
        </w:tc>
        <w:tc>
          <w:tcPr>
            <w:tcW w:w="682" w:type="dxa"/>
            <w:vAlign w:val="top"/>
          </w:tcPr>
          <w:p w14:paraId="79B11760">
            <w:pPr>
              <w:spacing w:line="320" w:lineRule="auto"/>
              <w:rPr>
                <w:rFonts w:ascii="Arial"/>
                <w:sz w:val="21"/>
              </w:rPr>
            </w:pPr>
          </w:p>
          <w:p w14:paraId="5F13D4DE">
            <w:pPr>
              <w:spacing w:line="321" w:lineRule="auto"/>
              <w:rPr>
                <w:rFonts w:ascii="Arial"/>
                <w:sz w:val="21"/>
              </w:rPr>
            </w:pPr>
          </w:p>
          <w:p w14:paraId="7EDCB5D5">
            <w:pPr>
              <w:pStyle w:val="51"/>
              <w:spacing w:before="55" w:line="230" w:lineRule="auto"/>
              <w:ind w:left="173"/>
              <w:rPr>
                <w:sz w:val="17"/>
                <w:szCs w:val="17"/>
              </w:rPr>
            </w:pPr>
            <w:r>
              <w:rPr>
                <w:spacing w:val="2"/>
                <w:sz w:val="17"/>
                <w:szCs w:val="17"/>
              </w:rPr>
              <w:t>一般</w:t>
            </w:r>
          </w:p>
        </w:tc>
        <w:tc>
          <w:tcPr>
            <w:tcW w:w="8563" w:type="dxa"/>
            <w:vAlign w:val="top"/>
          </w:tcPr>
          <w:p w14:paraId="5C816445">
            <w:pPr>
              <w:spacing w:line="343" w:lineRule="auto"/>
              <w:rPr>
                <w:rFonts w:ascii="Arial"/>
                <w:sz w:val="21"/>
              </w:rPr>
            </w:pPr>
          </w:p>
          <w:p w14:paraId="00A01C78">
            <w:pPr>
              <w:pStyle w:val="51"/>
              <w:spacing w:before="56" w:line="326" w:lineRule="auto"/>
              <w:ind w:left="37" w:right="19"/>
              <w:jc w:val="both"/>
              <w:rPr>
                <w:sz w:val="17"/>
                <w:szCs w:val="17"/>
              </w:rPr>
            </w:pPr>
            <w:r>
              <w:rPr>
                <w:spacing w:val="9"/>
                <w:sz w:val="17"/>
                <w:szCs w:val="17"/>
              </w:rPr>
              <w:t>铅（以</w:t>
            </w:r>
            <w:r>
              <w:rPr>
                <w:sz w:val="17"/>
                <w:szCs w:val="17"/>
              </w:rPr>
              <w:t>Pb</w:t>
            </w:r>
            <w:r>
              <w:rPr>
                <w:spacing w:val="9"/>
                <w:sz w:val="17"/>
                <w:szCs w:val="17"/>
              </w:rPr>
              <w:t>计）、罗丹明B、罂粟碱、吗啡、可待因、那可丁、苯甲酸及其钠盐（以苯甲酸计）、山梨酸及其钾</w:t>
            </w:r>
            <w:r>
              <w:rPr>
                <w:spacing w:val="11"/>
                <w:sz w:val="17"/>
                <w:szCs w:val="17"/>
              </w:rPr>
              <w:t>盐（以山梨酸计）、脱氢乙酸及其钠盐（以脱氢乙酸计）、防腐剂混合使用时各</w:t>
            </w:r>
            <w:r>
              <w:rPr>
                <w:spacing w:val="10"/>
                <w:sz w:val="17"/>
                <w:szCs w:val="17"/>
              </w:rPr>
              <w:t>自用量占其最大使用量的比</w:t>
            </w:r>
            <w:r>
              <w:rPr>
                <w:spacing w:val="9"/>
                <w:sz w:val="17"/>
                <w:szCs w:val="17"/>
              </w:rPr>
              <w:t>例之和、甜蜜素（以环己基氨基磺酸计）、安赛蜜</w:t>
            </w:r>
          </w:p>
        </w:tc>
      </w:tr>
    </w:tbl>
    <w:p w14:paraId="7069E3B9">
      <w:pPr>
        <w:rPr>
          <w:rFonts w:ascii="Arial"/>
          <w:sz w:val="21"/>
        </w:rPr>
      </w:pPr>
    </w:p>
    <w:p w14:paraId="2A898DF6">
      <w:pPr>
        <w:rPr>
          <w:rFonts w:ascii="Arial" w:hAnsi="Arial" w:eastAsia="Arial" w:cs="Arial"/>
          <w:sz w:val="21"/>
          <w:szCs w:val="21"/>
        </w:rPr>
        <w:sectPr>
          <w:pgSz w:w="16838" w:h="11906"/>
          <w:pgMar w:top="1011" w:right="829" w:bottom="400" w:left="366" w:header="567" w:footer="567" w:gutter="0"/>
          <w:pgNumType w:fmt="decimal"/>
          <w:cols w:space="720" w:num="1"/>
        </w:sectPr>
      </w:pPr>
    </w:p>
    <w:p w14:paraId="34650C28">
      <w:pPr>
        <w:spacing w:before="18"/>
      </w:pPr>
    </w:p>
    <w:p w14:paraId="1C6E9382">
      <w:pPr>
        <w:spacing w:before="18"/>
      </w:pPr>
    </w:p>
    <w:tbl>
      <w:tblPr>
        <w:tblStyle w:val="50"/>
        <w:tblW w:w="15173" w:type="dxa"/>
        <w:tblInd w:w="46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59"/>
        <w:gridCol w:w="942"/>
        <w:gridCol w:w="1360"/>
        <w:gridCol w:w="1581"/>
        <w:gridCol w:w="1586"/>
        <w:gridCol w:w="682"/>
        <w:gridCol w:w="8563"/>
      </w:tblGrid>
      <w:tr w14:paraId="387E93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459" w:type="dxa"/>
            <w:vAlign w:val="top"/>
          </w:tcPr>
          <w:p w14:paraId="1EBD4D46">
            <w:pPr>
              <w:spacing w:before="241" w:line="234" w:lineRule="auto"/>
              <w:ind w:left="52"/>
              <w:rPr>
                <w:rFonts w:ascii="黑体" w:hAnsi="黑体" w:eastAsia="黑体" w:cs="黑体"/>
                <w:sz w:val="17"/>
                <w:szCs w:val="17"/>
              </w:rPr>
            </w:pPr>
            <w:r>
              <w:rPr>
                <w:rFonts w:ascii="黑体" w:hAnsi="黑体" w:eastAsia="黑体" w:cs="黑体"/>
                <w:spacing w:val="6"/>
                <w:sz w:val="17"/>
                <w:szCs w:val="17"/>
              </w:rPr>
              <w:t>序号</w:t>
            </w:r>
          </w:p>
        </w:tc>
        <w:tc>
          <w:tcPr>
            <w:tcW w:w="942" w:type="dxa"/>
            <w:vAlign w:val="top"/>
          </w:tcPr>
          <w:p w14:paraId="1F6389AA">
            <w:pPr>
              <w:spacing w:before="90" w:line="232" w:lineRule="auto"/>
              <w:ind w:left="111"/>
              <w:rPr>
                <w:rFonts w:ascii="黑体" w:hAnsi="黑体" w:eastAsia="黑体" w:cs="黑体"/>
                <w:sz w:val="17"/>
                <w:szCs w:val="17"/>
              </w:rPr>
            </w:pPr>
            <w:r>
              <w:rPr>
                <w:rFonts w:ascii="黑体" w:hAnsi="黑体" w:eastAsia="黑体" w:cs="黑体"/>
                <w:spacing w:val="8"/>
                <w:sz w:val="17"/>
                <w:szCs w:val="17"/>
              </w:rPr>
              <w:t>食品大类</w:t>
            </w:r>
          </w:p>
          <w:p w14:paraId="32699B63">
            <w:pPr>
              <w:spacing w:before="86" w:line="227" w:lineRule="auto"/>
              <w:ind w:left="237"/>
              <w:rPr>
                <w:rFonts w:ascii="黑体" w:hAnsi="黑体" w:eastAsia="黑体" w:cs="黑体"/>
                <w:sz w:val="17"/>
                <w:szCs w:val="17"/>
              </w:rPr>
            </w:pPr>
            <w:r>
              <w:rPr>
                <w:rFonts w:ascii="黑体" w:hAnsi="黑体" w:eastAsia="黑体" w:cs="黑体"/>
                <w:spacing w:val="-4"/>
                <w:sz w:val="17"/>
                <w:szCs w:val="17"/>
              </w:rPr>
              <w:t>(一级)</w:t>
            </w:r>
          </w:p>
        </w:tc>
        <w:tc>
          <w:tcPr>
            <w:tcW w:w="1360" w:type="dxa"/>
            <w:vAlign w:val="top"/>
          </w:tcPr>
          <w:p w14:paraId="454E3E80">
            <w:pPr>
              <w:spacing w:before="90" w:line="232" w:lineRule="auto"/>
              <w:ind w:left="321"/>
              <w:rPr>
                <w:rFonts w:ascii="黑体" w:hAnsi="黑体" w:eastAsia="黑体" w:cs="黑体"/>
                <w:sz w:val="17"/>
                <w:szCs w:val="17"/>
              </w:rPr>
            </w:pPr>
            <w:r>
              <w:rPr>
                <w:rFonts w:ascii="黑体" w:hAnsi="黑体" w:eastAsia="黑体" w:cs="黑体"/>
                <w:spacing w:val="8"/>
                <w:sz w:val="17"/>
                <w:szCs w:val="17"/>
              </w:rPr>
              <w:t>食品亚类</w:t>
            </w:r>
          </w:p>
          <w:p w14:paraId="4D52B0A1">
            <w:pPr>
              <w:spacing w:before="86" w:line="227" w:lineRule="auto"/>
              <w:ind w:left="444"/>
              <w:rPr>
                <w:rFonts w:ascii="黑体" w:hAnsi="黑体" w:eastAsia="黑体" w:cs="黑体"/>
                <w:sz w:val="17"/>
                <w:szCs w:val="17"/>
              </w:rPr>
            </w:pPr>
            <w:r>
              <w:rPr>
                <w:rFonts w:ascii="黑体" w:hAnsi="黑体" w:eastAsia="黑体" w:cs="黑体"/>
                <w:spacing w:val="-3"/>
                <w:sz w:val="17"/>
                <w:szCs w:val="17"/>
              </w:rPr>
              <w:t>(二级)</w:t>
            </w:r>
          </w:p>
        </w:tc>
        <w:tc>
          <w:tcPr>
            <w:tcW w:w="1581" w:type="dxa"/>
            <w:vAlign w:val="top"/>
          </w:tcPr>
          <w:p w14:paraId="51F8AC33">
            <w:pPr>
              <w:spacing w:before="90" w:line="232" w:lineRule="auto"/>
              <w:ind w:left="433"/>
              <w:rPr>
                <w:rFonts w:ascii="黑体" w:hAnsi="黑体" w:eastAsia="黑体" w:cs="黑体"/>
                <w:sz w:val="17"/>
                <w:szCs w:val="17"/>
              </w:rPr>
            </w:pPr>
            <w:r>
              <w:rPr>
                <w:rFonts w:ascii="黑体" w:hAnsi="黑体" w:eastAsia="黑体" w:cs="黑体"/>
                <w:spacing w:val="8"/>
                <w:sz w:val="17"/>
                <w:szCs w:val="17"/>
              </w:rPr>
              <w:t>食品品种</w:t>
            </w:r>
          </w:p>
          <w:p w14:paraId="7E808129">
            <w:pPr>
              <w:spacing w:before="86" w:line="227" w:lineRule="auto"/>
              <w:ind w:left="558"/>
              <w:rPr>
                <w:rFonts w:ascii="黑体" w:hAnsi="黑体" w:eastAsia="黑体" w:cs="黑体"/>
                <w:sz w:val="17"/>
                <w:szCs w:val="17"/>
              </w:rPr>
            </w:pPr>
            <w:r>
              <w:rPr>
                <w:rFonts w:ascii="黑体" w:hAnsi="黑体" w:eastAsia="黑体" w:cs="黑体"/>
                <w:spacing w:val="-4"/>
                <w:sz w:val="17"/>
                <w:szCs w:val="17"/>
              </w:rPr>
              <w:t>(三级)</w:t>
            </w:r>
          </w:p>
        </w:tc>
        <w:tc>
          <w:tcPr>
            <w:tcW w:w="1586" w:type="dxa"/>
            <w:vAlign w:val="top"/>
          </w:tcPr>
          <w:p w14:paraId="5A4BBDDF">
            <w:pPr>
              <w:spacing w:before="90" w:line="232" w:lineRule="auto"/>
              <w:ind w:left="436"/>
              <w:rPr>
                <w:rFonts w:ascii="黑体" w:hAnsi="黑体" w:eastAsia="黑体" w:cs="黑体"/>
                <w:sz w:val="17"/>
                <w:szCs w:val="17"/>
              </w:rPr>
            </w:pPr>
            <w:r>
              <w:rPr>
                <w:rFonts w:ascii="黑体" w:hAnsi="黑体" w:eastAsia="黑体" w:cs="黑体"/>
                <w:spacing w:val="8"/>
                <w:sz w:val="17"/>
                <w:szCs w:val="17"/>
              </w:rPr>
              <w:t>食品细类</w:t>
            </w:r>
          </w:p>
          <w:p w14:paraId="4D0A3EC9">
            <w:pPr>
              <w:spacing w:before="86" w:line="227" w:lineRule="auto"/>
              <w:ind w:left="561"/>
              <w:rPr>
                <w:rFonts w:ascii="黑体" w:hAnsi="黑体" w:eastAsia="黑体" w:cs="黑体"/>
                <w:sz w:val="17"/>
                <w:szCs w:val="17"/>
              </w:rPr>
            </w:pPr>
            <w:r>
              <w:rPr>
                <w:rFonts w:ascii="黑体" w:hAnsi="黑体" w:eastAsia="黑体" w:cs="黑体"/>
                <w:spacing w:val="-4"/>
                <w:sz w:val="17"/>
                <w:szCs w:val="17"/>
              </w:rPr>
              <w:t>(四级)</w:t>
            </w:r>
          </w:p>
        </w:tc>
        <w:tc>
          <w:tcPr>
            <w:tcW w:w="682" w:type="dxa"/>
            <w:vAlign w:val="top"/>
          </w:tcPr>
          <w:p w14:paraId="2DAC9879">
            <w:pPr>
              <w:spacing w:before="89" w:line="233" w:lineRule="auto"/>
              <w:ind w:left="166"/>
              <w:rPr>
                <w:rFonts w:ascii="黑体" w:hAnsi="黑体" w:eastAsia="黑体" w:cs="黑体"/>
                <w:sz w:val="17"/>
                <w:szCs w:val="17"/>
              </w:rPr>
            </w:pPr>
            <w:r>
              <w:rPr>
                <w:rFonts w:ascii="黑体" w:hAnsi="黑体" w:eastAsia="黑体" w:cs="黑体"/>
                <w:spacing w:val="6"/>
                <w:sz w:val="17"/>
                <w:szCs w:val="17"/>
              </w:rPr>
              <w:t>风险</w:t>
            </w:r>
          </w:p>
          <w:p w14:paraId="09838FB9">
            <w:pPr>
              <w:spacing w:before="85" w:line="227" w:lineRule="auto"/>
              <w:ind w:left="163"/>
              <w:rPr>
                <w:rFonts w:ascii="黑体" w:hAnsi="黑体" w:eastAsia="黑体" w:cs="黑体"/>
                <w:sz w:val="17"/>
                <w:szCs w:val="17"/>
              </w:rPr>
            </w:pPr>
            <w:r>
              <w:rPr>
                <w:rFonts w:ascii="黑体" w:hAnsi="黑体" w:eastAsia="黑体" w:cs="黑体"/>
                <w:spacing w:val="7"/>
                <w:sz w:val="17"/>
                <w:szCs w:val="17"/>
              </w:rPr>
              <w:t>等级</w:t>
            </w:r>
          </w:p>
        </w:tc>
        <w:tc>
          <w:tcPr>
            <w:tcW w:w="8563" w:type="dxa"/>
            <w:vAlign w:val="top"/>
          </w:tcPr>
          <w:p w14:paraId="586CC707">
            <w:pPr>
              <w:spacing w:before="241" w:line="232" w:lineRule="auto"/>
              <w:ind w:left="3744"/>
              <w:rPr>
                <w:rFonts w:ascii="黑体" w:hAnsi="黑体" w:eastAsia="黑体" w:cs="黑体"/>
                <w:sz w:val="17"/>
                <w:szCs w:val="17"/>
              </w:rPr>
            </w:pPr>
            <w:r>
              <w:rPr>
                <w:rFonts w:ascii="黑体" w:hAnsi="黑体" w:eastAsia="黑体" w:cs="黑体"/>
                <w:spacing w:val="8"/>
                <w:sz w:val="17"/>
                <w:szCs w:val="17"/>
              </w:rPr>
              <w:t>监督抽检项目</w:t>
            </w:r>
          </w:p>
        </w:tc>
      </w:tr>
      <w:tr w14:paraId="267C06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2" w:hRule="atLeast"/>
        </w:trPr>
        <w:tc>
          <w:tcPr>
            <w:tcW w:w="459" w:type="dxa"/>
            <w:vMerge w:val="restart"/>
            <w:tcBorders>
              <w:bottom w:val="nil"/>
            </w:tcBorders>
            <w:vAlign w:val="top"/>
          </w:tcPr>
          <w:p w14:paraId="1B263D0F">
            <w:pPr>
              <w:rPr>
                <w:rFonts w:ascii="Arial"/>
                <w:sz w:val="21"/>
              </w:rPr>
            </w:pPr>
          </w:p>
        </w:tc>
        <w:tc>
          <w:tcPr>
            <w:tcW w:w="942" w:type="dxa"/>
            <w:vMerge w:val="restart"/>
            <w:tcBorders>
              <w:bottom w:val="nil"/>
            </w:tcBorders>
            <w:vAlign w:val="top"/>
          </w:tcPr>
          <w:p w14:paraId="3D768B0A">
            <w:pPr>
              <w:rPr>
                <w:rFonts w:ascii="Arial"/>
                <w:sz w:val="21"/>
              </w:rPr>
            </w:pPr>
          </w:p>
        </w:tc>
        <w:tc>
          <w:tcPr>
            <w:tcW w:w="1360" w:type="dxa"/>
            <w:vMerge w:val="restart"/>
            <w:tcBorders>
              <w:bottom w:val="nil"/>
            </w:tcBorders>
            <w:vAlign w:val="top"/>
          </w:tcPr>
          <w:p w14:paraId="1CBAEBA5">
            <w:pPr>
              <w:rPr>
                <w:rFonts w:ascii="Arial"/>
                <w:sz w:val="21"/>
              </w:rPr>
            </w:pPr>
          </w:p>
        </w:tc>
        <w:tc>
          <w:tcPr>
            <w:tcW w:w="1581" w:type="dxa"/>
            <w:vMerge w:val="restart"/>
            <w:tcBorders>
              <w:bottom w:val="nil"/>
            </w:tcBorders>
            <w:vAlign w:val="top"/>
          </w:tcPr>
          <w:p w14:paraId="6C3547F3">
            <w:pPr>
              <w:spacing w:line="278" w:lineRule="auto"/>
              <w:rPr>
                <w:rFonts w:ascii="Arial"/>
                <w:sz w:val="21"/>
              </w:rPr>
            </w:pPr>
          </w:p>
          <w:p w14:paraId="656E1007">
            <w:pPr>
              <w:spacing w:line="278" w:lineRule="auto"/>
              <w:rPr>
                <w:rFonts w:ascii="Arial"/>
                <w:sz w:val="21"/>
              </w:rPr>
            </w:pPr>
          </w:p>
          <w:p w14:paraId="35C6E034">
            <w:pPr>
              <w:spacing w:line="278" w:lineRule="auto"/>
              <w:rPr>
                <w:rFonts w:ascii="Arial"/>
                <w:sz w:val="21"/>
              </w:rPr>
            </w:pPr>
          </w:p>
          <w:p w14:paraId="07FD2ACB">
            <w:pPr>
              <w:pStyle w:val="51"/>
              <w:spacing w:before="55" w:line="226" w:lineRule="auto"/>
              <w:ind w:left="169"/>
              <w:rPr>
                <w:sz w:val="17"/>
                <w:szCs w:val="17"/>
              </w:rPr>
            </w:pPr>
            <w:r>
              <w:rPr>
                <w:spacing w:val="8"/>
                <w:sz w:val="17"/>
                <w:szCs w:val="17"/>
              </w:rPr>
              <w:t>液体复合调味料</w:t>
            </w:r>
          </w:p>
        </w:tc>
        <w:tc>
          <w:tcPr>
            <w:tcW w:w="1586" w:type="dxa"/>
            <w:vAlign w:val="top"/>
          </w:tcPr>
          <w:p w14:paraId="79E356BB">
            <w:pPr>
              <w:pStyle w:val="51"/>
              <w:spacing w:before="290" w:line="227" w:lineRule="auto"/>
              <w:ind w:left="80"/>
              <w:rPr>
                <w:sz w:val="17"/>
                <w:szCs w:val="17"/>
              </w:rPr>
            </w:pPr>
            <w:r>
              <w:rPr>
                <w:spacing w:val="8"/>
                <w:sz w:val="17"/>
                <w:szCs w:val="17"/>
              </w:rPr>
              <w:t>蚝油、虾油、鱼露</w:t>
            </w:r>
          </w:p>
        </w:tc>
        <w:tc>
          <w:tcPr>
            <w:tcW w:w="682" w:type="dxa"/>
            <w:vAlign w:val="top"/>
          </w:tcPr>
          <w:p w14:paraId="56132FC8">
            <w:pPr>
              <w:pStyle w:val="51"/>
              <w:spacing w:before="290" w:line="230" w:lineRule="auto"/>
              <w:ind w:left="173"/>
              <w:rPr>
                <w:sz w:val="17"/>
                <w:szCs w:val="17"/>
              </w:rPr>
            </w:pPr>
            <w:r>
              <w:rPr>
                <w:spacing w:val="2"/>
                <w:sz w:val="17"/>
                <w:szCs w:val="17"/>
              </w:rPr>
              <w:t>一般</w:t>
            </w:r>
          </w:p>
        </w:tc>
        <w:tc>
          <w:tcPr>
            <w:tcW w:w="8563" w:type="dxa"/>
            <w:vAlign w:val="top"/>
          </w:tcPr>
          <w:p w14:paraId="344F3E7E">
            <w:pPr>
              <w:pStyle w:val="51"/>
              <w:spacing w:before="138" w:line="306" w:lineRule="auto"/>
              <w:ind w:left="42" w:right="24" w:firstLine="2"/>
              <w:rPr>
                <w:sz w:val="17"/>
                <w:szCs w:val="17"/>
              </w:rPr>
            </w:pPr>
            <w:r>
              <w:rPr>
                <w:spacing w:val="11"/>
                <w:sz w:val="17"/>
                <w:szCs w:val="17"/>
              </w:rPr>
              <w:t>氨基酸态氮、苯甲酸及其钠盐（以苯甲酸计）、山梨酸及其钾盐</w:t>
            </w:r>
            <w:r>
              <w:rPr>
                <w:spacing w:val="10"/>
                <w:sz w:val="17"/>
                <w:szCs w:val="17"/>
              </w:rPr>
              <w:t>（以山梨酸计）、脱氢乙酸及其钠盐（以脱</w:t>
            </w:r>
            <w:r>
              <w:rPr>
                <w:spacing w:val="9"/>
                <w:sz w:val="17"/>
                <w:szCs w:val="17"/>
              </w:rPr>
              <w:t>氢乙酸计）、防腐剂混合使用时各自用量占其最大使用量的比例之和、菌落总数</w:t>
            </w:r>
          </w:p>
        </w:tc>
      </w:tr>
      <w:tr w14:paraId="41BF78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trPr>
        <w:tc>
          <w:tcPr>
            <w:tcW w:w="459" w:type="dxa"/>
            <w:vMerge w:val="continue"/>
            <w:tcBorders>
              <w:top w:val="nil"/>
              <w:bottom w:val="nil"/>
            </w:tcBorders>
            <w:vAlign w:val="top"/>
          </w:tcPr>
          <w:p w14:paraId="4E5DA4B3">
            <w:pPr>
              <w:rPr>
                <w:rFonts w:ascii="Arial"/>
                <w:sz w:val="21"/>
              </w:rPr>
            </w:pPr>
          </w:p>
        </w:tc>
        <w:tc>
          <w:tcPr>
            <w:tcW w:w="942" w:type="dxa"/>
            <w:vMerge w:val="continue"/>
            <w:tcBorders>
              <w:top w:val="nil"/>
              <w:bottom w:val="nil"/>
            </w:tcBorders>
            <w:vAlign w:val="top"/>
          </w:tcPr>
          <w:p w14:paraId="0FC8A39D">
            <w:pPr>
              <w:rPr>
                <w:rFonts w:ascii="Arial"/>
                <w:sz w:val="21"/>
              </w:rPr>
            </w:pPr>
          </w:p>
        </w:tc>
        <w:tc>
          <w:tcPr>
            <w:tcW w:w="1360" w:type="dxa"/>
            <w:vMerge w:val="continue"/>
            <w:tcBorders>
              <w:top w:val="nil"/>
            </w:tcBorders>
            <w:vAlign w:val="top"/>
          </w:tcPr>
          <w:p w14:paraId="541A47AD">
            <w:pPr>
              <w:rPr>
                <w:rFonts w:ascii="Arial"/>
                <w:sz w:val="21"/>
              </w:rPr>
            </w:pPr>
          </w:p>
        </w:tc>
        <w:tc>
          <w:tcPr>
            <w:tcW w:w="1581" w:type="dxa"/>
            <w:vMerge w:val="continue"/>
            <w:tcBorders>
              <w:top w:val="nil"/>
            </w:tcBorders>
            <w:vAlign w:val="top"/>
          </w:tcPr>
          <w:p w14:paraId="326370DA">
            <w:pPr>
              <w:rPr>
                <w:rFonts w:ascii="Arial"/>
                <w:sz w:val="21"/>
              </w:rPr>
            </w:pPr>
          </w:p>
        </w:tc>
        <w:tc>
          <w:tcPr>
            <w:tcW w:w="1586" w:type="dxa"/>
            <w:vAlign w:val="top"/>
          </w:tcPr>
          <w:p w14:paraId="23A6B1B8">
            <w:pPr>
              <w:spacing w:line="477" w:lineRule="auto"/>
              <w:rPr>
                <w:rFonts w:ascii="Arial"/>
                <w:sz w:val="21"/>
              </w:rPr>
            </w:pPr>
          </w:p>
          <w:p w14:paraId="04498099">
            <w:pPr>
              <w:pStyle w:val="51"/>
              <w:spacing w:before="55" w:line="226" w:lineRule="auto"/>
              <w:ind w:left="173"/>
              <w:rPr>
                <w:sz w:val="17"/>
                <w:szCs w:val="17"/>
              </w:rPr>
            </w:pPr>
            <w:r>
              <w:rPr>
                <w:spacing w:val="8"/>
                <w:sz w:val="17"/>
                <w:szCs w:val="17"/>
              </w:rPr>
              <w:t>其他液体调味料</w:t>
            </w:r>
          </w:p>
        </w:tc>
        <w:tc>
          <w:tcPr>
            <w:tcW w:w="682" w:type="dxa"/>
            <w:vAlign w:val="top"/>
          </w:tcPr>
          <w:p w14:paraId="29C00A53">
            <w:pPr>
              <w:spacing w:line="477" w:lineRule="auto"/>
              <w:rPr>
                <w:rFonts w:ascii="Arial"/>
                <w:sz w:val="21"/>
              </w:rPr>
            </w:pPr>
          </w:p>
          <w:p w14:paraId="0C3254DC">
            <w:pPr>
              <w:pStyle w:val="51"/>
              <w:spacing w:before="56" w:line="230" w:lineRule="auto"/>
              <w:ind w:left="173"/>
              <w:rPr>
                <w:sz w:val="17"/>
                <w:szCs w:val="17"/>
              </w:rPr>
            </w:pPr>
            <w:r>
              <w:rPr>
                <w:spacing w:val="2"/>
                <w:sz w:val="17"/>
                <w:szCs w:val="17"/>
              </w:rPr>
              <w:t>一般</w:t>
            </w:r>
          </w:p>
        </w:tc>
        <w:tc>
          <w:tcPr>
            <w:tcW w:w="8563" w:type="dxa"/>
            <w:vAlign w:val="top"/>
          </w:tcPr>
          <w:p w14:paraId="7B980B0C">
            <w:pPr>
              <w:pStyle w:val="51"/>
              <w:spacing w:before="85" w:line="301" w:lineRule="auto"/>
              <w:ind w:left="37" w:right="24" w:firstLine="2"/>
              <w:rPr>
                <w:sz w:val="17"/>
                <w:szCs w:val="17"/>
              </w:rPr>
            </w:pPr>
            <w:r>
              <w:rPr>
                <w:spacing w:val="8"/>
                <w:sz w:val="17"/>
                <w:szCs w:val="17"/>
              </w:rPr>
              <w:t>苯甲酸及其钠盐（以苯甲酸计）、山梨酸及其钾盐（以山梨酸计）</w:t>
            </w:r>
            <w:r>
              <w:rPr>
                <w:spacing w:val="-19"/>
                <w:sz w:val="17"/>
                <w:szCs w:val="17"/>
              </w:rPr>
              <w:t xml:space="preserve"> </w:t>
            </w:r>
            <w:r>
              <w:rPr>
                <w:spacing w:val="8"/>
                <w:sz w:val="17"/>
                <w:szCs w:val="17"/>
              </w:rPr>
              <w:t>、脱氢乙酸及其钠盐（以脱氢乙酸计）</w:t>
            </w:r>
            <w:r>
              <w:rPr>
                <w:spacing w:val="-25"/>
                <w:sz w:val="17"/>
                <w:szCs w:val="17"/>
              </w:rPr>
              <w:t xml:space="preserve"> </w:t>
            </w:r>
            <w:r>
              <w:rPr>
                <w:spacing w:val="8"/>
                <w:sz w:val="17"/>
                <w:szCs w:val="17"/>
              </w:rPr>
              <w:t>、</w:t>
            </w:r>
            <w:r>
              <w:rPr>
                <w:spacing w:val="10"/>
                <w:sz w:val="17"/>
                <w:szCs w:val="17"/>
              </w:rPr>
              <w:t>防腐剂混合使用时各自用量占其最大使用量的比</w:t>
            </w:r>
            <w:r>
              <w:rPr>
                <w:spacing w:val="9"/>
                <w:sz w:val="17"/>
                <w:szCs w:val="17"/>
              </w:rPr>
              <w:t>例之和、糖精钠（以糖精计）</w:t>
            </w:r>
            <w:r>
              <w:rPr>
                <w:spacing w:val="-25"/>
                <w:sz w:val="17"/>
                <w:szCs w:val="17"/>
              </w:rPr>
              <w:t xml:space="preserve"> </w:t>
            </w:r>
            <w:r>
              <w:rPr>
                <w:spacing w:val="9"/>
                <w:sz w:val="17"/>
                <w:szCs w:val="17"/>
              </w:rPr>
              <w:t>、甜蜜素（以环己基氨基磺酸</w:t>
            </w:r>
            <w:r>
              <w:rPr>
                <w:spacing w:val="10"/>
                <w:sz w:val="17"/>
                <w:szCs w:val="17"/>
              </w:rPr>
              <w:t>计）</w:t>
            </w:r>
            <w:r>
              <w:rPr>
                <w:spacing w:val="-49"/>
                <w:sz w:val="17"/>
                <w:szCs w:val="17"/>
              </w:rPr>
              <w:t xml:space="preserve"> </w:t>
            </w:r>
            <w:r>
              <w:rPr>
                <w:spacing w:val="10"/>
                <w:sz w:val="17"/>
                <w:szCs w:val="17"/>
              </w:rPr>
              <w:t>、合成着色剂（柠檬黄、日落黄、胭脂红、诱惑红）、相同色泽着色剂混合使用时各自用量占其最</w:t>
            </w:r>
            <w:r>
              <w:rPr>
                <w:spacing w:val="9"/>
                <w:sz w:val="17"/>
                <w:szCs w:val="17"/>
              </w:rPr>
              <w:t>大使用量的比例之和、菌落总数</w:t>
            </w:r>
          </w:p>
        </w:tc>
      </w:tr>
      <w:tr w14:paraId="26ECDE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459" w:type="dxa"/>
            <w:vMerge w:val="continue"/>
            <w:tcBorders>
              <w:top w:val="nil"/>
              <w:bottom w:val="nil"/>
            </w:tcBorders>
            <w:vAlign w:val="top"/>
          </w:tcPr>
          <w:p w14:paraId="41FA43AC">
            <w:pPr>
              <w:rPr>
                <w:rFonts w:ascii="Arial"/>
                <w:sz w:val="21"/>
              </w:rPr>
            </w:pPr>
          </w:p>
        </w:tc>
        <w:tc>
          <w:tcPr>
            <w:tcW w:w="942" w:type="dxa"/>
            <w:vMerge w:val="continue"/>
            <w:tcBorders>
              <w:top w:val="nil"/>
              <w:bottom w:val="nil"/>
            </w:tcBorders>
            <w:vAlign w:val="top"/>
          </w:tcPr>
          <w:p w14:paraId="7BAC5DDC">
            <w:pPr>
              <w:rPr>
                <w:rFonts w:ascii="Arial"/>
                <w:sz w:val="21"/>
              </w:rPr>
            </w:pPr>
          </w:p>
        </w:tc>
        <w:tc>
          <w:tcPr>
            <w:tcW w:w="1360" w:type="dxa"/>
            <w:vAlign w:val="top"/>
          </w:tcPr>
          <w:p w14:paraId="4DB1D35C">
            <w:pPr>
              <w:pStyle w:val="51"/>
              <w:spacing w:before="238" w:line="227" w:lineRule="auto"/>
              <w:ind w:left="514"/>
              <w:rPr>
                <w:sz w:val="17"/>
                <w:szCs w:val="17"/>
              </w:rPr>
            </w:pPr>
            <w:r>
              <w:rPr>
                <w:sz w:val="17"/>
                <w:szCs w:val="17"/>
              </w:rPr>
              <w:t>味精</w:t>
            </w:r>
          </w:p>
        </w:tc>
        <w:tc>
          <w:tcPr>
            <w:tcW w:w="1581" w:type="dxa"/>
            <w:vAlign w:val="top"/>
          </w:tcPr>
          <w:p w14:paraId="3D1623BA">
            <w:pPr>
              <w:pStyle w:val="51"/>
              <w:spacing w:before="238" w:line="227" w:lineRule="auto"/>
              <w:ind w:left="625"/>
              <w:rPr>
                <w:sz w:val="17"/>
                <w:szCs w:val="17"/>
              </w:rPr>
            </w:pPr>
            <w:r>
              <w:rPr>
                <w:sz w:val="17"/>
                <w:szCs w:val="17"/>
              </w:rPr>
              <w:t>味精</w:t>
            </w:r>
          </w:p>
        </w:tc>
        <w:tc>
          <w:tcPr>
            <w:tcW w:w="1586" w:type="dxa"/>
            <w:vAlign w:val="top"/>
          </w:tcPr>
          <w:p w14:paraId="2984FB12">
            <w:pPr>
              <w:pStyle w:val="51"/>
              <w:spacing w:before="238" w:line="227" w:lineRule="auto"/>
              <w:ind w:left="628"/>
              <w:rPr>
                <w:sz w:val="17"/>
                <w:szCs w:val="17"/>
              </w:rPr>
            </w:pPr>
            <w:r>
              <w:rPr>
                <w:sz w:val="17"/>
                <w:szCs w:val="17"/>
              </w:rPr>
              <w:t>味精</w:t>
            </w:r>
          </w:p>
        </w:tc>
        <w:tc>
          <w:tcPr>
            <w:tcW w:w="682" w:type="dxa"/>
            <w:vAlign w:val="top"/>
          </w:tcPr>
          <w:p w14:paraId="6CC312A3">
            <w:pPr>
              <w:pStyle w:val="51"/>
              <w:spacing w:before="238" w:line="230" w:lineRule="auto"/>
              <w:ind w:left="173"/>
              <w:rPr>
                <w:sz w:val="17"/>
                <w:szCs w:val="17"/>
              </w:rPr>
            </w:pPr>
            <w:r>
              <w:rPr>
                <w:spacing w:val="2"/>
                <w:sz w:val="17"/>
                <w:szCs w:val="17"/>
              </w:rPr>
              <w:t>一般</w:t>
            </w:r>
          </w:p>
        </w:tc>
        <w:tc>
          <w:tcPr>
            <w:tcW w:w="8563" w:type="dxa"/>
            <w:vAlign w:val="top"/>
          </w:tcPr>
          <w:p w14:paraId="45F19359">
            <w:pPr>
              <w:pStyle w:val="51"/>
              <w:spacing w:before="238" w:line="229" w:lineRule="auto"/>
              <w:ind w:left="38"/>
              <w:rPr>
                <w:sz w:val="17"/>
                <w:szCs w:val="17"/>
              </w:rPr>
            </w:pPr>
            <w:r>
              <w:rPr>
                <w:spacing w:val="6"/>
                <w:sz w:val="17"/>
                <w:szCs w:val="17"/>
              </w:rPr>
              <w:t>谷氨酸钠</w:t>
            </w:r>
          </w:p>
        </w:tc>
      </w:tr>
      <w:tr w14:paraId="0D9C6C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8" w:hRule="atLeast"/>
        </w:trPr>
        <w:tc>
          <w:tcPr>
            <w:tcW w:w="459" w:type="dxa"/>
            <w:vMerge w:val="continue"/>
            <w:tcBorders>
              <w:top w:val="nil"/>
              <w:bottom w:val="nil"/>
            </w:tcBorders>
            <w:vAlign w:val="top"/>
          </w:tcPr>
          <w:p w14:paraId="2015D482">
            <w:pPr>
              <w:rPr>
                <w:rFonts w:ascii="Arial"/>
                <w:sz w:val="21"/>
              </w:rPr>
            </w:pPr>
          </w:p>
        </w:tc>
        <w:tc>
          <w:tcPr>
            <w:tcW w:w="942" w:type="dxa"/>
            <w:vMerge w:val="continue"/>
            <w:tcBorders>
              <w:top w:val="nil"/>
              <w:bottom w:val="nil"/>
            </w:tcBorders>
            <w:vAlign w:val="top"/>
          </w:tcPr>
          <w:p w14:paraId="40B2AF7F">
            <w:pPr>
              <w:rPr>
                <w:rFonts w:ascii="Arial"/>
                <w:sz w:val="21"/>
              </w:rPr>
            </w:pPr>
          </w:p>
        </w:tc>
        <w:tc>
          <w:tcPr>
            <w:tcW w:w="1360" w:type="dxa"/>
            <w:vMerge w:val="restart"/>
            <w:tcBorders>
              <w:bottom w:val="nil"/>
            </w:tcBorders>
            <w:vAlign w:val="top"/>
          </w:tcPr>
          <w:p w14:paraId="757DD1FA">
            <w:pPr>
              <w:spacing w:line="278" w:lineRule="auto"/>
              <w:rPr>
                <w:rFonts w:ascii="Arial"/>
                <w:sz w:val="21"/>
              </w:rPr>
            </w:pPr>
          </w:p>
          <w:p w14:paraId="754DB202">
            <w:pPr>
              <w:spacing w:line="278" w:lineRule="auto"/>
              <w:rPr>
                <w:rFonts w:ascii="Arial"/>
                <w:sz w:val="21"/>
              </w:rPr>
            </w:pPr>
          </w:p>
          <w:p w14:paraId="13FBA40A">
            <w:pPr>
              <w:spacing w:line="278" w:lineRule="auto"/>
              <w:rPr>
                <w:rFonts w:ascii="Arial"/>
                <w:sz w:val="21"/>
              </w:rPr>
            </w:pPr>
          </w:p>
          <w:p w14:paraId="0F20A55F">
            <w:pPr>
              <w:spacing w:line="278" w:lineRule="auto"/>
              <w:rPr>
                <w:rFonts w:ascii="Arial"/>
                <w:sz w:val="21"/>
              </w:rPr>
            </w:pPr>
          </w:p>
          <w:p w14:paraId="5FD6E67F">
            <w:pPr>
              <w:spacing w:line="278" w:lineRule="auto"/>
              <w:rPr>
                <w:rFonts w:ascii="Arial"/>
                <w:sz w:val="21"/>
              </w:rPr>
            </w:pPr>
          </w:p>
          <w:p w14:paraId="05202A4B">
            <w:pPr>
              <w:spacing w:line="278" w:lineRule="auto"/>
              <w:rPr>
                <w:rFonts w:ascii="Arial"/>
                <w:sz w:val="21"/>
              </w:rPr>
            </w:pPr>
          </w:p>
          <w:p w14:paraId="74199B78">
            <w:pPr>
              <w:pStyle w:val="51"/>
              <w:spacing w:before="55" w:line="235" w:lineRule="auto"/>
              <w:ind w:left="506"/>
              <w:rPr>
                <w:sz w:val="17"/>
                <w:szCs w:val="17"/>
              </w:rPr>
            </w:pPr>
            <w:r>
              <w:rPr>
                <w:spacing w:val="4"/>
                <w:sz w:val="17"/>
                <w:szCs w:val="17"/>
              </w:rPr>
              <w:t>食盐</w:t>
            </w:r>
          </w:p>
        </w:tc>
        <w:tc>
          <w:tcPr>
            <w:tcW w:w="1581" w:type="dxa"/>
            <w:vMerge w:val="restart"/>
            <w:tcBorders>
              <w:bottom w:val="nil"/>
            </w:tcBorders>
            <w:vAlign w:val="top"/>
          </w:tcPr>
          <w:p w14:paraId="7EF87DDF">
            <w:pPr>
              <w:spacing w:line="254" w:lineRule="auto"/>
              <w:rPr>
                <w:rFonts w:ascii="Arial"/>
                <w:sz w:val="21"/>
              </w:rPr>
            </w:pPr>
          </w:p>
          <w:p w14:paraId="376177CE">
            <w:pPr>
              <w:spacing w:line="254" w:lineRule="auto"/>
              <w:rPr>
                <w:rFonts w:ascii="Arial"/>
                <w:sz w:val="21"/>
              </w:rPr>
            </w:pPr>
          </w:p>
          <w:p w14:paraId="093A9693">
            <w:pPr>
              <w:spacing w:line="254" w:lineRule="auto"/>
              <w:rPr>
                <w:rFonts w:ascii="Arial"/>
                <w:sz w:val="21"/>
              </w:rPr>
            </w:pPr>
          </w:p>
          <w:p w14:paraId="572E24CB">
            <w:pPr>
              <w:spacing w:line="254" w:lineRule="auto"/>
              <w:rPr>
                <w:rFonts w:ascii="Arial"/>
                <w:sz w:val="21"/>
              </w:rPr>
            </w:pPr>
          </w:p>
          <w:p w14:paraId="35BEB839">
            <w:pPr>
              <w:spacing w:line="254" w:lineRule="auto"/>
              <w:rPr>
                <w:rFonts w:ascii="Arial"/>
                <w:sz w:val="21"/>
              </w:rPr>
            </w:pPr>
          </w:p>
          <w:p w14:paraId="6F756ACE">
            <w:pPr>
              <w:pStyle w:val="51"/>
              <w:spacing w:before="55" w:line="229" w:lineRule="auto"/>
              <w:ind w:left="529"/>
              <w:rPr>
                <w:sz w:val="17"/>
                <w:szCs w:val="17"/>
              </w:rPr>
            </w:pPr>
            <w:r>
              <w:rPr>
                <w:spacing w:val="6"/>
                <w:sz w:val="17"/>
                <w:szCs w:val="17"/>
              </w:rPr>
              <w:t>食用盐</w:t>
            </w:r>
          </w:p>
        </w:tc>
        <w:tc>
          <w:tcPr>
            <w:tcW w:w="1586" w:type="dxa"/>
            <w:vAlign w:val="top"/>
          </w:tcPr>
          <w:p w14:paraId="611091C9">
            <w:pPr>
              <w:pStyle w:val="51"/>
              <w:spacing w:before="274" w:line="229" w:lineRule="auto"/>
              <w:ind w:left="354"/>
              <w:rPr>
                <w:sz w:val="17"/>
                <w:szCs w:val="17"/>
              </w:rPr>
            </w:pPr>
            <w:r>
              <w:rPr>
                <w:spacing w:val="7"/>
                <w:sz w:val="17"/>
                <w:szCs w:val="17"/>
              </w:rPr>
              <w:t>普通食用盐</w:t>
            </w:r>
          </w:p>
        </w:tc>
        <w:tc>
          <w:tcPr>
            <w:tcW w:w="682" w:type="dxa"/>
            <w:vAlign w:val="top"/>
          </w:tcPr>
          <w:p w14:paraId="14D1171C">
            <w:pPr>
              <w:pStyle w:val="51"/>
              <w:spacing w:before="274" w:line="230" w:lineRule="auto"/>
              <w:ind w:left="173"/>
              <w:rPr>
                <w:sz w:val="17"/>
                <w:szCs w:val="17"/>
              </w:rPr>
            </w:pPr>
            <w:r>
              <w:rPr>
                <w:spacing w:val="2"/>
                <w:sz w:val="17"/>
                <w:szCs w:val="17"/>
              </w:rPr>
              <w:t>一般</w:t>
            </w:r>
          </w:p>
        </w:tc>
        <w:tc>
          <w:tcPr>
            <w:tcW w:w="8563" w:type="dxa"/>
            <w:vAlign w:val="top"/>
          </w:tcPr>
          <w:p w14:paraId="3C7A4D9B">
            <w:pPr>
              <w:pStyle w:val="51"/>
              <w:spacing w:before="122" w:line="296" w:lineRule="auto"/>
              <w:ind w:left="40" w:right="17"/>
              <w:rPr>
                <w:sz w:val="17"/>
                <w:szCs w:val="17"/>
              </w:rPr>
            </w:pPr>
            <w:r>
              <w:rPr>
                <w:spacing w:val="10"/>
                <w:sz w:val="17"/>
                <w:szCs w:val="17"/>
              </w:rPr>
              <w:t>氯化钠、钡（以</w:t>
            </w:r>
            <w:r>
              <w:rPr>
                <w:sz w:val="17"/>
                <w:szCs w:val="17"/>
              </w:rPr>
              <w:t>Ba</w:t>
            </w:r>
            <w:r>
              <w:rPr>
                <w:spacing w:val="10"/>
                <w:sz w:val="17"/>
                <w:szCs w:val="17"/>
              </w:rPr>
              <w:t>计）、碘（以I计）、铅（以</w:t>
            </w:r>
            <w:r>
              <w:rPr>
                <w:sz w:val="17"/>
                <w:szCs w:val="17"/>
              </w:rPr>
              <w:t>Pb</w:t>
            </w:r>
            <w:r>
              <w:rPr>
                <w:spacing w:val="10"/>
                <w:sz w:val="17"/>
                <w:szCs w:val="17"/>
              </w:rPr>
              <w:t>计）、总砷（以</w:t>
            </w:r>
            <w:r>
              <w:rPr>
                <w:sz w:val="17"/>
                <w:szCs w:val="17"/>
              </w:rPr>
              <w:t>As</w:t>
            </w:r>
            <w:r>
              <w:rPr>
                <w:spacing w:val="10"/>
                <w:sz w:val="17"/>
                <w:szCs w:val="17"/>
              </w:rPr>
              <w:t>计）、镉（以</w:t>
            </w:r>
            <w:r>
              <w:rPr>
                <w:sz w:val="17"/>
                <w:szCs w:val="17"/>
              </w:rPr>
              <w:t>Cd</w:t>
            </w:r>
            <w:r>
              <w:rPr>
                <w:spacing w:val="10"/>
                <w:sz w:val="17"/>
                <w:szCs w:val="17"/>
              </w:rPr>
              <w:t>计）、</w:t>
            </w:r>
            <w:r>
              <w:rPr>
                <w:spacing w:val="9"/>
                <w:sz w:val="17"/>
                <w:szCs w:val="17"/>
              </w:rPr>
              <w:t>总汞（以</w:t>
            </w:r>
            <w:r>
              <w:rPr>
                <w:sz w:val="17"/>
                <w:szCs w:val="17"/>
              </w:rPr>
              <w:t>Hg</w:t>
            </w:r>
            <w:r>
              <w:rPr>
                <w:spacing w:val="9"/>
                <w:sz w:val="17"/>
                <w:szCs w:val="17"/>
              </w:rPr>
              <w:t>计）、</w:t>
            </w:r>
            <w:r>
              <w:rPr>
                <w:spacing w:val="8"/>
                <w:sz w:val="17"/>
                <w:szCs w:val="17"/>
              </w:rPr>
              <w:t>亚铁氰化钾/亚铁氰化钠（以亚铁氰根计）</w:t>
            </w:r>
          </w:p>
        </w:tc>
      </w:tr>
      <w:tr w14:paraId="4C53B5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5" w:hRule="atLeast"/>
        </w:trPr>
        <w:tc>
          <w:tcPr>
            <w:tcW w:w="459" w:type="dxa"/>
            <w:vMerge w:val="continue"/>
            <w:tcBorders>
              <w:top w:val="nil"/>
              <w:bottom w:val="nil"/>
            </w:tcBorders>
            <w:vAlign w:val="top"/>
          </w:tcPr>
          <w:p w14:paraId="53328438">
            <w:pPr>
              <w:rPr>
                <w:rFonts w:ascii="Arial"/>
                <w:sz w:val="21"/>
              </w:rPr>
            </w:pPr>
          </w:p>
        </w:tc>
        <w:tc>
          <w:tcPr>
            <w:tcW w:w="942" w:type="dxa"/>
            <w:vMerge w:val="continue"/>
            <w:tcBorders>
              <w:top w:val="nil"/>
              <w:bottom w:val="nil"/>
            </w:tcBorders>
            <w:vAlign w:val="top"/>
          </w:tcPr>
          <w:p w14:paraId="2D350129">
            <w:pPr>
              <w:rPr>
                <w:rFonts w:ascii="Arial"/>
                <w:sz w:val="21"/>
              </w:rPr>
            </w:pPr>
          </w:p>
        </w:tc>
        <w:tc>
          <w:tcPr>
            <w:tcW w:w="1360" w:type="dxa"/>
            <w:vMerge w:val="continue"/>
            <w:tcBorders>
              <w:top w:val="nil"/>
              <w:bottom w:val="nil"/>
            </w:tcBorders>
            <w:vAlign w:val="top"/>
          </w:tcPr>
          <w:p w14:paraId="5E743EF3">
            <w:pPr>
              <w:rPr>
                <w:rFonts w:ascii="Arial"/>
                <w:sz w:val="21"/>
              </w:rPr>
            </w:pPr>
          </w:p>
        </w:tc>
        <w:tc>
          <w:tcPr>
            <w:tcW w:w="1581" w:type="dxa"/>
            <w:vMerge w:val="continue"/>
            <w:tcBorders>
              <w:top w:val="nil"/>
              <w:bottom w:val="nil"/>
            </w:tcBorders>
            <w:vAlign w:val="top"/>
          </w:tcPr>
          <w:p w14:paraId="5684F0B3">
            <w:pPr>
              <w:rPr>
                <w:rFonts w:ascii="Arial"/>
                <w:sz w:val="21"/>
              </w:rPr>
            </w:pPr>
          </w:p>
        </w:tc>
        <w:tc>
          <w:tcPr>
            <w:tcW w:w="1586" w:type="dxa"/>
            <w:vAlign w:val="top"/>
          </w:tcPr>
          <w:p w14:paraId="392904AD">
            <w:pPr>
              <w:pStyle w:val="51"/>
              <w:spacing w:before="258" w:line="229" w:lineRule="auto"/>
              <w:ind w:left="352"/>
              <w:rPr>
                <w:sz w:val="17"/>
                <w:szCs w:val="17"/>
              </w:rPr>
            </w:pPr>
            <w:r>
              <w:rPr>
                <w:spacing w:val="7"/>
                <w:sz w:val="17"/>
                <w:szCs w:val="17"/>
              </w:rPr>
              <w:t>低钠食用盐</w:t>
            </w:r>
          </w:p>
        </w:tc>
        <w:tc>
          <w:tcPr>
            <w:tcW w:w="682" w:type="dxa"/>
            <w:vAlign w:val="top"/>
          </w:tcPr>
          <w:p w14:paraId="513A1BEA">
            <w:pPr>
              <w:pStyle w:val="51"/>
              <w:spacing w:before="258" w:line="230" w:lineRule="auto"/>
              <w:ind w:left="173"/>
              <w:rPr>
                <w:sz w:val="17"/>
                <w:szCs w:val="17"/>
              </w:rPr>
            </w:pPr>
            <w:r>
              <w:rPr>
                <w:spacing w:val="2"/>
                <w:sz w:val="17"/>
                <w:szCs w:val="17"/>
              </w:rPr>
              <w:t>一般</w:t>
            </w:r>
          </w:p>
        </w:tc>
        <w:tc>
          <w:tcPr>
            <w:tcW w:w="8563" w:type="dxa"/>
            <w:vAlign w:val="top"/>
          </w:tcPr>
          <w:p w14:paraId="3747D035">
            <w:pPr>
              <w:pStyle w:val="51"/>
              <w:spacing w:before="108" w:line="286" w:lineRule="auto"/>
              <w:ind w:left="40" w:right="17"/>
              <w:rPr>
                <w:sz w:val="17"/>
                <w:szCs w:val="17"/>
              </w:rPr>
            </w:pPr>
            <w:r>
              <w:rPr>
                <w:spacing w:val="10"/>
                <w:sz w:val="17"/>
                <w:szCs w:val="17"/>
              </w:rPr>
              <w:t>氯化钾、钡（以</w:t>
            </w:r>
            <w:r>
              <w:rPr>
                <w:sz w:val="17"/>
                <w:szCs w:val="17"/>
              </w:rPr>
              <w:t>Ba</w:t>
            </w:r>
            <w:r>
              <w:rPr>
                <w:spacing w:val="10"/>
                <w:sz w:val="17"/>
                <w:szCs w:val="17"/>
              </w:rPr>
              <w:t>计）、碘（以I计）、铅（以</w:t>
            </w:r>
            <w:r>
              <w:rPr>
                <w:sz w:val="17"/>
                <w:szCs w:val="17"/>
              </w:rPr>
              <w:t>Pb</w:t>
            </w:r>
            <w:r>
              <w:rPr>
                <w:spacing w:val="10"/>
                <w:sz w:val="17"/>
                <w:szCs w:val="17"/>
              </w:rPr>
              <w:t>计）、总砷（以</w:t>
            </w:r>
            <w:r>
              <w:rPr>
                <w:sz w:val="17"/>
                <w:szCs w:val="17"/>
              </w:rPr>
              <w:t>As</w:t>
            </w:r>
            <w:r>
              <w:rPr>
                <w:spacing w:val="10"/>
                <w:sz w:val="17"/>
                <w:szCs w:val="17"/>
              </w:rPr>
              <w:t>计）、镉（以</w:t>
            </w:r>
            <w:r>
              <w:rPr>
                <w:sz w:val="17"/>
                <w:szCs w:val="17"/>
              </w:rPr>
              <w:t>Cd</w:t>
            </w:r>
            <w:r>
              <w:rPr>
                <w:spacing w:val="10"/>
                <w:sz w:val="17"/>
                <w:szCs w:val="17"/>
              </w:rPr>
              <w:t>计）、</w:t>
            </w:r>
            <w:r>
              <w:rPr>
                <w:spacing w:val="9"/>
                <w:sz w:val="17"/>
                <w:szCs w:val="17"/>
              </w:rPr>
              <w:t>总汞（以</w:t>
            </w:r>
            <w:r>
              <w:rPr>
                <w:sz w:val="17"/>
                <w:szCs w:val="17"/>
              </w:rPr>
              <w:t>Hg</w:t>
            </w:r>
            <w:r>
              <w:rPr>
                <w:spacing w:val="9"/>
                <w:sz w:val="17"/>
                <w:szCs w:val="17"/>
              </w:rPr>
              <w:t>计）、</w:t>
            </w:r>
            <w:r>
              <w:rPr>
                <w:spacing w:val="8"/>
                <w:sz w:val="17"/>
                <w:szCs w:val="17"/>
              </w:rPr>
              <w:t>亚铁氰化钾/亚铁氰化钠（以亚铁氰根计）</w:t>
            </w:r>
          </w:p>
        </w:tc>
      </w:tr>
      <w:tr w14:paraId="41CDF9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2" w:hRule="atLeast"/>
        </w:trPr>
        <w:tc>
          <w:tcPr>
            <w:tcW w:w="459" w:type="dxa"/>
            <w:vMerge w:val="continue"/>
            <w:tcBorders>
              <w:top w:val="nil"/>
              <w:bottom w:val="nil"/>
            </w:tcBorders>
            <w:vAlign w:val="top"/>
          </w:tcPr>
          <w:p w14:paraId="7350C3B6">
            <w:pPr>
              <w:rPr>
                <w:rFonts w:ascii="Arial"/>
                <w:sz w:val="21"/>
              </w:rPr>
            </w:pPr>
          </w:p>
        </w:tc>
        <w:tc>
          <w:tcPr>
            <w:tcW w:w="942" w:type="dxa"/>
            <w:vMerge w:val="continue"/>
            <w:tcBorders>
              <w:top w:val="nil"/>
              <w:bottom w:val="nil"/>
            </w:tcBorders>
            <w:vAlign w:val="top"/>
          </w:tcPr>
          <w:p w14:paraId="3A5F44CC">
            <w:pPr>
              <w:rPr>
                <w:rFonts w:ascii="Arial"/>
                <w:sz w:val="21"/>
              </w:rPr>
            </w:pPr>
          </w:p>
        </w:tc>
        <w:tc>
          <w:tcPr>
            <w:tcW w:w="1360" w:type="dxa"/>
            <w:vMerge w:val="continue"/>
            <w:tcBorders>
              <w:top w:val="nil"/>
              <w:bottom w:val="nil"/>
            </w:tcBorders>
            <w:vAlign w:val="top"/>
          </w:tcPr>
          <w:p w14:paraId="7ABDAE4B">
            <w:pPr>
              <w:rPr>
                <w:rFonts w:ascii="Arial"/>
                <w:sz w:val="21"/>
              </w:rPr>
            </w:pPr>
          </w:p>
        </w:tc>
        <w:tc>
          <w:tcPr>
            <w:tcW w:w="1581" w:type="dxa"/>
            <w:vMerge w:val="continue"/>
            <w:tcBorders>
              <w:top w:val="nil"/>
              <w:bottom w:val="nil"/>
            </w:tcBorders>
            <w:vAlign w:val="top"/>
          </w:tcPr>
          <w:p w14:paraId="385C8BB0">
            <w:pPr>
              <w:rPr>
                <w:rFonts w:ascii="Arial"/>
                <w:sz w:val="21"/>
              </w:rPr>
            </w:pPr>
          </w:p>
        </w:tc>
        <w:tc>
          <w:tcPr>
            <w:tcW w:w="1586" w:type="dxa"/>
            <w:vAlign w:val="top"/>
          </w:tcPr>
          <w:p w14:paraId="22ECB135">
            <w:pPr>
              <w:pStyle w:val="51"/>
              <w:spacing w:before="289" w:line="227" w:lineRule="auto"/>
              <w:ind w:left="353"/>
              <w:rPr>
                <w:sz w:val="17"/>
                <w:szCs w:val="17"/>
              </w:rPr>
            </w:pPr>
            <w:r>
              <w:rPr>
                <w:spacing w:val="7"/>
                <w:sz w:val="17"/>
                <w:szCs w:val="17"/>
              </w:rPr>
              <w:t>风味食用盐</w:t>
            </w:r>
          </w:p>
        </w:tc>
        <w:tc>
          <w:tcPr>
            <w:tcW w:w="682" w:type="dxa"/>
            <w:vAlign w:val="top"/>
          </w:tcPr>
          <w:p w14:paraId="0A41E714">
            <w:pPr>
              <w:pStyle w:val="51"/>
              <w:spacing w:before="290" w:line="230" w:lineRule="auto"/>
              <w:ind w:left="173"/>
              <w:rPr>
                <w:sz w:val="17"/>
                <w:szCs w:val="17"/>
              </w:rPr>
            </w:pPr>
            <w:r>
              <w:rPr>
                <w:spacing w:val="2"/>
                <w:sz w:val="17"/>
                <w:szCs w:val="17"/>
              </w:rPr>
              <w:t>一般</w:t>
            </w:r>
          </w:p>
        </w:tc>
        <w:tc>
          <w:tcPr>
            <w:tcW w:w="8563" w:type="dxa"/>
            <w:vAlign w:val="top"/>
          </w:tcPr>
          <w:p w14:paraId="7DD02015">
            <w:pPr>
              <w:pStyle w:val="51"/>
              <w:spacing w:before="142" w:line="304" w:lineRule="auto"/>
              <w:ind w:left="42" w:right="26" w:hanging="4"/>
              <w:rPr>
                <w:sz w:val="17"/>
                <w:szCs w:val="17"/>
              </w:rPr>
            </w:pPr>
            <w:r>
              <w:rPr>
                <w:spacing w:val="10"/>
                <w:sz w:val="17"/>
                <w:szCs w:val="17"/>
              </w:rPr>
              <w:t>钡（以</w:t>
            </w:r>
            <w:r>
              <w:rPr>
                <w:sz w:val="17"/>
                <w:szCs w:val="17"/>
              </w:rPr>
              <w:t>Ba</w:t>
            </w:r>
            <w:r>
              <w:rPr>
                <w:spacing w:val="10"/>
                <w:sz w:val="17"/>
                <w:szCs w:val="17"/>
              </w:rPr>
              <w:t>计）、铅（以</w:t>
            </w:r>
            <w:r>
              <w:rPr>
                <w:sz w:val="17"/>
                <w:szCs w:val="17"/>
              </w:rPr>
              <w:t>Pb</w:t>
            </w:r>
            <w:r>
              <w:rPr>
                <w:spacing w:val="10"/>
                <w:sz w:val="17"/>
                <w:szCs w:val="17"/>
              </w:rPr>
              <w:t>计）、总砷（以</w:t>
            </w:r>
            <w:r>
              <w:rPr>
                <w:sz w:val="17"/>
                <w:szCs w:val="17"/>
              </w:rPr>
              <w:t>As</w:t>
            </w:r>
            <w:r>
              <w:rPr>
                <w:spacing w:val="10"/>
                <w:sz w:val="17"/>
                <w:szCs w:val="17"/>
              </w:rPr>
              <w:t>计）、镉（以</w:t>
            </w:r>
            <w:r>
              <w:rPr>
                <w:sz w:val="17"/>
                <w:szCs w:val="17"/>
              </w:rPr>
              <w:t>Cd</w:t>
            </w:r>
            <w:r>
              <w:rPr>
                <w:spacing w:val="10"/>
                <w:sz w:val="17"/>
                <w:szCs w:val="17"/>
              </w:rPr>
              <w:t>计）、总汞（以</w:t>
            </w:r>
            <w:r>
              <w:rPr>
                <w:sz w:val="17"/>
                <w:szCs w:val="17"/>
              </w:rPr>
              <w:t>Hg</w:t>
            </w:r>
            <w:r>
              <w:rPr>
                <w:spacing w:val="9"/>
                <w:sz w:val="17"/>
                <w:szCs w:val="17"/>
              </w:rPr>
              <w:t>计）、亚铁氰化钾/亚铁氰化钠</w:t>
            </w:r>
            <w:r>
              <w:rPr>
                <w:spacing w:val="5"/>
                <w:sz w:val="17"/>
                <w:szCs w:val="17"/>
              </w:rPr>
              <w:t>（以亚铁氰根计）</w:t>
            </w:r>
          </w:p>
        </w:tc>
      </w:tr>
      <w:tr w14:paraId="239BD9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4" w:hRule="atLeast"/>
        </w:trPr>
        <w:tc>
          <w:tcPr>
            <w:tcW w:w="459" w:type="dxa"/>
            <w:vMerge w:val="continue"/>
            <w:tcBorders>
              <w:top w:val="nil"/>
              <w:bottom w:val="nil"/>
            </w:tcBorders>
            <w:vAlign w:val="top"/>
          </w:tcPr>
          <w:p w14:paraId="09CF9CB6">
            <w:pPr>
              <w:rPr>
                <w:rFonts w:ascii="Arial"/>
                <w:sz w:val="21"/>
              </w:rPr>
            </w:pPr>
          </w:p>
        </w:tc>
        <w:tc>
          <w:tcPr>
            <w:tcW w:w="942" w:type="dxa"/>
            <w:vMerge w:val="continue"/>
            <w:tcBorders>
              <w:top w:val="nil"/>
              <w:bottom w:val="nil"/>
            </w:tcBorders>
            <w:vAlign w:val="top"/>
          </w:tcPr>
          <w:p w14:paraId="4AA9FF7F">
            <w:pPr>
              <w:rPr>
                <w:rFonts w:ascii="Arial"/>
                <w:sz w:val="21"/>
              </w:rPr>
            </w:pPr>
          </w:p>
        </w:tc>
        <w:tc>
          <w:tcPr>
            <w:tcW w:w="1360" w:type="dxa"/>
            <w:vMerge w:val="continue"/>
            <w:tcBorders>
              <w:top w:val="nil"/>
              <w:bottom w:val="nil"/>
            </w:tcBorders>
            <w:vAlign w:val="top"/>
          </w:tcPr>
          <w:p w14:paraId="5B8988B5">
            <w:pPr>
              <w:rPr>
                <w:rFonts w:ascii="Arial"/>
                <w:sz w:val="21"/>
              </w:rPr>
            </w:pPr>
          </w:p>
        </w:tc>
        <w:tc>
          <w:tcPr>
            <w:tcW w:w="1581" w:type="dxa"/>
            <w:vMerge w:val="continue"/>
            <w:tcBorders>
              <w:top w:val="nil"/>
            </w:tcBorders>
            <w:vAlign w:val="top"/>
          </w:tcPr>
          <w:p w14:paraId="10D6973D">
            <w:pPr>
              <w:rPr>
                <w:rFonts w:ascii="Arial"/>
                <w:sz w:val="21"/>
              </w:rPr>
            </w:pPr>
          </w:p>
        </w:tc>
        <w:tc>
          <w:tcPr>
            <w:tcW w:w="1586" w:type="dxa"/>
            <w:vAlign w:val="top"/>
          </w:tcPr>
          <w:p w14:paraId="3F7FC35F">
            <w:pPr>
              <w:spacing w:line="251" w:lineRule="auto"/>
              <w:rPr>
                <w:rFonts w:ascii="Arial"/>
                <w:sz w:val="21"/>
              </w:rPr>
            </w:pPr>
          </w:p>
          <w:p w14:paraId="2426E24E">
            <w:pPr>
              <w:pStyle w:val="51"/>
              <w:spacing w:before="55" w:line="227" w:lineRule="auto"/>
              <w:ind w:left="171"/>
              <w:rPr>
                <w:sz w:val="17"/>
                <w:szCs w:val="17"/>
              </w:rPr>
            </w:pPr>
            <w:r>
              <w:rPr>
                <w:spacing w:val="8"/>
                <w:sz w:val="17"/>
                <w:szCs w:val="17"/>
              </w:rPr>
              <w:t>特殊工艺食用盐</w:t>
            </w:r>
          </w:p>
        </w:tc>
        <w:tc>
          <w:tcPr>
            <w:tcW w:w="682" w:type="dxa"/>
            <w:vAlign w:val="top"/>
          </w:tcPr>
          <w:p w14:paraId="6AB996FD">
            <w:pPr>
              <w:spacing w:line="250" w:lineRule="auto"/>
              <w:rPr>
                <w:rFonts w:ascii="Arial"/>
                <w:sz w:val="21"/>
              </w:rPr>
            </w:pPr>
          </w:p>
          <w:p w14:paraId="653B2D67">
            <w:pPr>
              <w:pStyle w:val="51"/>
              <w:spacing w:before="56" w:line="230" w:lineRule="auto"/>
              <w:ind w:left="173"/>
              <w:rPr>
                <w:sz w:val="17"/>
                <w:szCs w:val="17"/>
              </w:rPr>
            </w:pPr>
            <w:r>
              <w:rPr>
                <w:spacing w:val="2"/>
                <w:sz w:val="17"/>
                <w:szCs w:val="17"/>
              </w:rPr>
              <w:t>一般</w:t>
            </w:r>
          </w:p>
        </w:tc>
        <w:tc>
          <w:tcPr>
            <w:tcW w:w="8563" w:type="dxa"/>
            <w:vAlign w:val="top"/>
          </w:tcPr>
          <w:p w14:paraId="5EDE47E0">
            <w:pPr>
              <w:pStyle w:val="51"/>
              <w:spacing w:before="159" w:line="312" w:lineRule="auto"/>
              <w:ind w:left="40" w:right="17"/>
              <w:rPr>
                <w:sz w:val="17"/>
                <w:szCs w:val="17"/>
              </w:rPr>
            </w:pPr>
            <w:r>
              <w:rPr>
                <w:spacing w:val="10"/>
                <w:sz w:val="17"/>
                <w:szCs w:val="17"/>
              </w:rPr>
              <w:t>氯化钠、钡（以</w:t>
            </w:r>
            <w:r>
              <w:rPr>
                <w:sz w:val="17"/>
                <w:szCs w:val="17"/>
              </w:rPr>
              <w:t>Ba</w:t>
            </w:r>
            <w:r>
              <w:rPr>
                <w:spacing w:val="10"/>
                <w:sz w:val="17"/>
                <w:szCs w:val="17"/>
              </w:rPr>
              <w:t>计）、碘（以I计）、铅（以</w:t>
            </w:r>
            <w:r>
              <w:rPr>
                <w:sz w:val="17"/>
                <w:szCs w:val="17"/>
              </w:rPr>
              <w:t>Pb</w:t>
            </w:r>
            <w:r>
              <w:rPr>
                <w:spacing w:val="10"/>
                <w:sz w:val="17"/>
                <w:szCs w:val="17"/>
              </w:rPr>
              <w:t>计）、总砷（以</w:t>
            </w:r>
            <w:r>
              <w:rPr>
                <w:sz w:val="17"/>
                <w:szCs w:val="17"/>
              </w:rPr>
              <w:t>As</w:t>
            </w:r>
            <w:r>
              <w:rPr>
                <w:spacing w:val="10"/>
                <w:sz w:val="17"/>
                <w:szCs w:val="17"/>
              </w:rPr>
              <w:t>计）、镉（以</w:t>
            </w:r>
            <w:r>
              <w:rPr>
                <w:sz w:val="17"/>
                <w:szCs w:val="17"/>
              </w:rPr>
              <w:t>Cd</w:t>
            </w:r>
            <w:r>
              <w:rPr>
                <w:spacing w:val="10"/>
                <w:sz w:val="17"/>
                <w:szCs w:val="17"/>
              </w:rPr>
              <w:t>计）、</w:t>
            </w:r>
            <w:r>
              <w:rPr>
                <w:spacing w:val="9"/>
                <w:sz w:val="17"/>
                <w:szCs w:val="17"/>
              </w:rPr>
              <w:t>总汞（以</w:t>
            </w:r>
            <w:r>
              <w:rPr>
                <w:sz w:val="17"/>
                <w:szCs w:val="17"/>
              </w:rPr>
              <w:t>Hg</w:t>
            </w:r>
            <w:r>
              <w:rPr>
                <w:spacing w:val="9"/>
                <w:sz w:val="17"/>
                <w:szCs w:val="17"/>
              </w:rPr>
              <w:t>计）、</w:t>
            </w:r>
            <w:r>
              <w:rPr>
                <w:spacing w:val="8"/>
                <w:sz w:val="17"/>
                <w:szCs w:val="17"/>
              </w:rPr>
              <w:t>亚铁氰化钾/亚铁氰化钠（以亚铁氰根计）</w:t>
            </w:r>
          </w:p>
        </w:tc>
      </w:tr>
      <w:tr w14:paraId="5B37AA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4" w:hRule="atLeast"/>
        </w:trPr>
        <w:tc>
          <w:tcPr>
            <w:tcW w:w="459" w:type="dxa"/>
            <w:vMerge w:val="continue"/>
            <w:tcBorders>
              <w:top w:val="nil"/>
            </w:tcBorders>
            <w:vAlign w:val="top"/>
          </w:tcPr>
          <w:p w14:paraId="706D2D53">
            <w:pPr>
              <w:rPr>
                <w:rFonts w:ascii="Arial"/>
                <w:sz w:val="21"/>
              </w:rPr>
            </w:pPr>
          </w:p>
        </w:tc>
        <w:tc>
          <w:tcPr>
            <w:tcW w:w="942" w:type="dxa"/>
            <w:vMerge w:val="continue"/>
            <w:tcBorders>
              <w:top w:val="nil"/>
            </w:tcBorders>
            <w:vAlign w:val="top"/>
          </w:tcPr>
          <w:p w14:paraId="24DBC00E">
            <w:pPr>
              <w:rPr>
                <w:rFonts w:ascii="Arial"/>
                <w:sz w:val="21"/>
              </w:rPr>
            </w:pPr>
          </w:p>
        </w:tc>
        <w:tc>
          <w:tcPr>
            <w:tcW w:w="1360" w:type="dxa"/>
            <w:vMerge w:val="continue"/>
            <w:tcBorders>
              <w:top w:val="nil"/>
            </w:tcBorders>
            <w:vAlign w:val="top"/>
          </w:tcPr>
          <w:p w14:paraId="3B1A1E14">
            <w:pPr>
              <w:rPr>
                <w:rFonts w:ascii="Arial"/>
                <w:sz w:val="21"/>
              </w:rPr>
            </w:pPr>
          </w:p>
        </w:tc>
        <w:tc>
          <w:tcPr>
            <w:tcW w:w="1581" w:type="dxa"/>
            <w:vAlign w:val="top"/>
          </w:tcPr>
          <w:p w14:paraId="1BEAF70F">
            <w:pPr>
              <w:spacing w:line="277" w:lineRule="auto"/>
              <w:rPr>
                <w:rFonts w:ascii="Arial"/>
                <w:sz w:val="21"/>
              </w:rPr>
            </w:pPr>
          </w:p>
          <w:p w14:paraId="77FA0F32">
            <w:pPr>
              <w:pStyle w:val="51"/>
              <w:spacing w:before="55" w:line="229" w:lineRule="auto"/>
              <w:ind w:left="78"/>
              <w:rPr>
                <w:sz w:val="17"/>
                <w:szCs w:val="17"/>
              </w:rPr>
            </w:pPr>
            <w:r>
              <w:rPr>
                <w:spacing w:val="8"/>
                <w:sz w:val="17"/>
                <w:szCs w:val="17"/>
              </w:rPr>
              <w:t>食品生产加工用盐</w:t>
            </w:r>
          </w:p>
        </w:tc>
        <w:tc>
          <w:tcPr>
            <w:tcW w:w="1586" w:type="dxa"/>
            <w:vAlign w:val="top"/>
          </w:tcPr>
          <w:p w14:paraId="3531672A">
            <w:pPr>
              <w:spacing w:line="277" w:lineRule="auto"/>
              <w:rPr>
                <w:rFonts w:ascii="Arial"/>
                <w:sz w:val="21"/>
              </w:rPr>
            </w:pPr>
          </w:p>
          <w:p w14:paraId="0974101A">
            <w:pPr>
              <w:pStyle w:val="51"/>
              <w:spacing w:before="55" w:line="229" w:lineRule="auto"/>
              <w:ind w:left="80"/>
              <w:rPr>
                <w:sz w:val="17"/>
                <w:szCs w:val="17"/>
              </w:rPr>
            </w:pPr>
            <w:r>
              <w:rPr>
                <w:spacing w:val="8"/>
                <w:sz w:val="17"/>
                <w:szCs w:val="17"/>
              </w:rPr>
              <w:t>食品生产加工用盐</w:t>
            </w:r>
          </w:p>
        </w:tc>
        <w:tc>
          <w:tcPr>
            <w:tcW w:w="682" w:type="dxa"/>
            <w:vAlign w:val="top"/>
          </w:tcPr>
          <w:p w14:paraId="7402DD37">
            <w:pPr>
              <w:spacing w:line="276" w:lineRule="auto"/>
              <w:rPr>
                <w:rFonts w:ascii="Arial"/>
                <w:sz w:val="21"/>
              </w:rPr>
            </w:pPr>
          </w:p>
          <w:p w14:paraId="7E8ABBA2">
            <w:pPr>
              <w:pStyle w:val="51"/>
              <w:spacing w:before="56" w:line="230" w:lineRule="auto"/>
              <w:ind w:left="173"/>
              <w:rPr>
                <w:sz w:val="17"/>
                <w:szCs w:val="17"/>
              </w:rPr>
            </w:pPr>
            <w:r>
              <w:rPr>
                <w:spacing w:val="2"/>
                <w:sz w:val="17"/>
                <w:szCs w:val="17"/>
              </w:rPr>
              <w:t>一般</w:t>
            </w:r>
          </w:p>
        </w:tc>
        <w:tc>
          <w:tcPr>
            <w:tcW w:w="8563" w:type="dxa"/>
            <w:vAlign w:val="top"/>
          </w:tcPr>
          <w:p w14:paraId="492BC120">
            <w:pPr>
              <w:pStyle w:val="51"/>
              <w:spacing w:before="185" w:line="325" w:lineRule="auto"/>
              <w:ind w:left="40" w:hanging="3"/>
              <w:rPr>
                <w:sz w:val="17"/>
                <w:szCs w:val="17"/>
              </w:rPr>
            </w:pPr>
            <w:r>
              <w:rPr>
                <w:spacing w:val="2"/>
                <w:sz w:val="17"/>
                <w:szCs w:val="17"/>
              </w:rPr>
              <w:t>铅（以</w:t>
            </w:r>
            <w:r>
              <w:rPr>
                <w:sz w:val="17"/>
                <w:szCs w:val="17"/>
              </w:rPr>
              <w:t>Pb</w:t>
            </w:r>
            <w:r>
              <w:rPr>
                <w:spacing w:val="2"/>
                <w:sz w:val="17"/>
                <w:szCs w:val="17"/>
              </w:rPr>
              <w:t>计）、总砷（以</w:t>
            </w:r>
            <w:r>
              <w:rPr>
                <w:sz w:val="17"/>
                <w:szCs w:val="17"/>
              </w:rPr>
              <w:t>As</w:t>
            </w:r>
            <w:r>
              <w:rPr>
                <w:spacing w:val="2"/>
                <w:sz w:val="17"/>
                <w:szCs w:val="17"/>
              </w:rPr>
              <w:t>计）、镉（以</w:t>
            </w:r>
            <w:r>
              <w:rPr>
                <w:sz w:val="17"/>
                <w:szCs w:val="17"/>
              </w:rPr>
              <w:t>Cd</w:t>
            </w:r>
            <w:r>
              <w:rPr>
                <w:spacing w:val="2"/>
                <w:sz w:val="17"/>
                <w:szCs w:val="17"/>
              </w:rPr>
              <w:t>计）、总汞（以</w:t>
            </w:r>
            <w:r>
              <w:rPr>
                <w:sz w:val="17"/>
                <w:szCs w:val="17"/>
              </w:rPr>
              <w:t>Hg</w:t>
            </w:r>
            <w:r>
              <w:rPr>
                <w:spacing w:val="2"/>
                <w:sz w:val="17"/>
                <w:szCs w:val="17"/>
              </w:rPr>
              <w:t>计）、亚铁氰化钾/亚铁氰化钠（以亚铁氰根计）、</w:t>
            </w:r>
            <w:r>
              <w:rPr>
                <w:spacing w:val="7"/>
                <w:sz w:val="17"/>
                <w:szCs w:val="17"/>
              </w:rPr>
              <w:t>亚硝酸盐（以</w:t>
            </w:r>
            <w:r>
              <w:rPr>
                <w:sz w:val="17"/>
                <w:szCs w:val="17"/>
              </w:rPr>
              <w:t>NaNO</w:t>
            </w:r>
            <w:r>
              <w:rPr>
                <w:spacing w:val="7"/>
                <w:position w:val="-2"/>
                <w:sz w:val="8"/>
                <w:szCs w:val="8"/>
              </w:rPr>
              <w:t>2</w:t>
            </w:r>
            <w:r>
              <w:rPr>
                <w:spacing w:val="7"/>
                <w:sz w:val="17"/>
                <w:szCs w:val="17"/>
              </w:rPr>
              <w:t>计）</w:t>
            </w:r>
          </w:p>
        </w:tc>
      </w:tr>
      <w:tr w14:paraId="1FDC4A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459" w:type="dxa"/>
            <w:vMerge w:val="restart"/>
            <w:tcBorders>
              <w:bottom w:val="nil"/>
            </w:tcBorders>
            <w:vAlign w:val="top"/>
          </w:tcPr>
          <w:p w14:paraId="2992FF38">
            <w:pPr>
              <w:spacing w:line="279" w:lineRule="auto"/>
              <w:rPr>
                <w:rFonts w:ascii="Arial"/>
                <w:sz w:val="21"/>
              </w:rPr>
            </w:pPr>
          </w:p>
          <w:p w14:paraId="51ECFAC7">
            <w:pPr>
              <w:spacing w:line="279" w:lineRule="auto"/>
              <w:rPr>
                <w:rFonts w:ascii="Arial"/>
                <w:sz w:val="21"/>
              </w:rPr>
            </w:pPr>
          </w:p>
          <w:p w14:paraId="245125A2">
            <w:pPr>
              <w:spacing w:line="279" w:lineRule="auto"/>
              <w:rPr>
                <w:rFonts w:ascii="Arial"/>
                <w:sz w:val="21"/>
              </w:rPr>
            </w:pPr>
          </w:p>
          <w:p w14:paraId="4682C162">
            <w:pPr>
              <w:pStyle w:val="51"/>
              <w:spacing w:before="55" w:line="229" w:lineRule="exact"/>
              <w:ind w:left="187"/>
              <w:rPr>
                <w:sz w:val="17"/>
                <w:szCs w:val="17"/>
              </w:rPr>
            </w:pPr>
            <w:r>
              <w:rPr>
                <w:position w:val="1"/>
                <w:sz w:val="17"/>
                <w:szCs w:val="17"/>
              </w:rPr>
              <w:t>4</w:t>
            </w:r>
          </w:p>
        </w:tc>
        <w:tc>
          <w:tcPr>
            <w:tcW w:w="942" w:type="dxa"/>
            <w:vMerge w:val="restart"/>
            <w:tcBorders>
              <w:bottom w:val="nil"/>
            </w:tcBorders>
            <w:vAlign w:val="top"/>
          </w:tcPr>
          <w:p w14:paraId="32CDBBE0">
            <w:pPr>
              <w:spacing w:line="279" w:lineRule="auto"/>
              <w:rPr>
                <w:rFonts w:ascii="Arial"/>
                <w:sz w:val="21"/>
              </w:rPr>
            </w:pPr>
          </w:p>
          <w:p w14:paraId="08CEC4AB">
            <w:pPr>
              <w:spacing w:line="279" w:lineRule="auto"/>
              <w:rPr>
                <w:rFonts w:ascii="Arial"/>
                <w:sz w:val="21"/>
              </w:rPr>
            </w:pPr>
          </w:p>
          <w:p w14:paraId="78279ECC">
            <w:pPr>
              <w:spacing w:line="279" w:lineRule="auto"/>
              <w:rPr>
                <w:rFonts w:ascii="Arial"/>
                <w:sz w:val="21"/>
              </w:rPr>
            </w:pPr>
          </w:p>
          <w:p w14:paraId="2915A93D">
            <w:pPr>
              <w:pStyle w:val="51"/>
              <w:spacing w:before="56" w:line="227" w:lineRule="auto"/>
              <w:ind w:left="227"/>
              <w:rPr>
                <w:sz w:val="17"/>
                <w:szCs w:val="17"/>
              </w:rPr>
            </w:pPr>
            <w:r>
              <w:rPr>
                <w:spacing w:val="-1"/>
                <w:sz w:val="17"/>
                <w:szCs w:val="17"/>
              </w:rPr>
              <w:t>肉制品</w:t>
            </w:r>
          </w:p>
        </w:tc>
        <w:tc>
          <w:tcPr>
            <w:tcW w:w="1360" w:type="dxa"/>
            <w:vMerge w:val="restart"/>
            <w:tcBorders>
              <w:bottom w:val="nil"/>
            </w:tcBorders>
            <w:vAlign w:val="top"/>
          </w:tcPr>
          <w:p w14:paraId="310633E6">
            <w:pPr>
              <w:spacing w:line="317" w:lineRule="auto"/>
              <w:rPr>
                <w:rFonts w:ascii="Arial"/>
                <w:sz w:val="21"/>
              </w:rPr>
            </w:pPr>
          </w:p>
          <w:p w14:paraId="723BDA83">
            <w:pPr>
              <w:spacing w:line="318" w:lineRule="auto"/>
              <w:rPr>
                <w:rFonts w:ascii="Arial"/>
                <w:sz w:val="21"/>
              </w:rPr>
            </w:pPr>
          </w:p>
          <w:p w14:paraId="78651AA2">
            <w:pPr>
              <w:pStyle w:val="51"/>
              <w:spacing w:before="55" w:line="227" w:lineRule="auto"/>
              <w:ind w:left="237"/>
              <w:rPr>
                <w:sz w:val="17"/>
                <w:szCs w:val="17"/>
              </w:rPr>
            </w:pPr>
            <w:r>
              <w:rPr>
                <w:spacing w:val="7"/>
                <w:sz w:val="17"/>
                <w:szCs w:val="17"/>
              </w:rPr>
              <w:t>预制肉制品</w:t>
            </w:r>
          </w:p>
        </w:tc>
        <w:tc>
          <w:tcPr>
            <w:tcW w:w="1581" w:type="dxa"/>
            <w:vAlign w:val="top"/>
          </w:tcPr>
          <w:p w14:paraId="311238FA">
            <w:pPr>
              <w:pStyle w:val="51"/>
              <w:spacing w:before="240" w:line="227" w:lineRule="auto"/>
              <w:ind w:left="349"/>
              <w:rPr>
                <w:sz w:val="17"/>
                <w:szCs w:val="17"/>
              </w:rPr>
            </w:pPr>
            <w:r>
              <w:rPr>
                <w:spacing w:val="7"/>
                <w:sz w:val="17"/>
                <w:szCs w:val="17"/>
              </w:rPr>
              <w:t>调理肉制品</w:t>
            </w:r>
          </w:p>
        </w:tc>
        <w:tc>
          <w:tcPr>
            <w:tcW w:w="1586" w:type="dxa"/>
            <w:vAlign w:val="top"/>
          </w:tcPr>
          <w:p w14:paraId="2FA20DA0">
            <w:pPr>
              <w:pStyle w:val="51"/>
              <w:spacing w:before="89" w:line="227" w:lineRule="auto"/>
              <w:ind w:left="126"/>
              <w:rPr>
                <w:sz w:val="17"/>
                <w:szCs w:val="17"/>
              </w:rPr>
            </w:pPr>
            <w:r>
              <w:rPr>
                <w:spacing w:val="2"/>
                <w:sz w:val="17"/>
                <w:szCs w:val="17"/>
              </w:rPr>
              <w:t>调理肉制品</w:t>
            </w:r>
            <w:r>
              <w:rPr>
                <w:spacing w:val="-41"/>
                <w:sz w:val="17"/>
                <w:szCs w:val="17"/>
              </w:rPr>
              <w:t xml:space="preserve"> </w:t>
            </w:r>
            <w:r>
              <w:rPr>
                <w:spacing w:val="2"/>
                <w:sz w:val="17"/>
                <w:szCs w:val="17"/>
              </w:rPr>
              <w:t>(非速</w:t>
            </w:r>
          </w:p>
          <w:p w14:paraId="17172857">
            <w:pPr>
              <w:pStyle w:val="51"/>
              <w:spacing w:before="90" w:line="224" w:lineRule="auto"/>
              <w:ind w:left="669"/>
              <w:rPr>
                <w:sz w:val="17"/>
                <w:szCs w:val="17"/>
              </w:rPr>
            </w:pPr>
            <w:r>
              <w:rPr>
                <w:sz w:val="17"/>
                <w:szCs w:val="17"/>
              </w:rPr>
              <w:t>冻)</w:t>
            </w:r>
          </w:p>
        </w:tc>
        <w:tc>
          <w:tcPr>
            <w:tcW w:w="682" w:type="dxa"/>
            <w:vAlign w:val="top"/>
          </w:tcPr>
          <w:p w14:paraId="0B04569E">
            <w:pPr>
              <w:pStyle w:val="51"/>
              <w:spacing w:before="240" w:line="230" w:lineRule="auto"/>
              <w:ind w:left="267"/>
              <w:rPr>
                <w:sz w:val="17"/>
                <w:szCs w:val="17"/>
              </w:rPr>
            </w:pPr>
            <w:r>
              <w:rPr>
                <w:sz w:val="17"/>
                <w:szCs w:val="17"/>
              </w:rPr>
              <w:t>高</w:t>
            </w:r>
          </w:p>
        </w:tc>
        <w:tc>
          <w:tcPr>
            <w:tcW w:w="8563" w:type="dxa"/>
            <w:vAlign w:val="top"/>
          </w:tcPr>
          <w:p w14:paraId="717BE1A1">
            <w:pPr>
              <w:pStyle w:val="51"/>
              <w:spacing w:before="240" w:line="223" w:lineRule="auto"/>
              <w:ind w:left="39"/>
              <w:rPr>
                <w:sz w:val="17"/>
                <w:szCs w:val="17"/>
              </w:rPr>
            </w:pPr>
            <w:r>
              <w:rPr>
                <w:spacing w:val="9"/>
                <w:sz w:val="17"/>
                <w:szCs w:val="17"/>
              </w:rPr>
              <w:t>苯甲酸及其钠盐（以苯甲酸计）、山梨酸及其钾盐（以山梨酸计）、脱氢乙酸及其钠盐（以脱氢乙酸计）</w:t>
            </w:r>
          </w:p>
        </w:tc>
      </w:tr>
      <w:tr w14:paraId="6B2C4C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4" w:hRule="atLeast"/>
        </w:trPr>
        <w:tc>
          <w:tcPr>
            <w:tcW w:w="459" w:type="dxa"/>
            <w:vMerge w:val="continue"/>
            <w:tcBorders>
              <w:top w:val="nil"/>
              <w:bottom w:val="nil"/>
            </w:tcBorders>
            <w:vAlign w:val="top"/>
          </w:tcPr>
          <w:p w14:paraId="76E1DAAD">
            <w:pPr>
              <w:rPr>
                <w:rFonts w:ascii="Arial"/>
                <w:sz w:val="21"/>
              </w:rPr>
            </w:pPr>
          </w:p>
        </w:tc>
        <w:tc>
          <w:tcPr>
            <w:tcW w:w="942" w:type="dxa"/>
            <w:vMerge w:val="continue"/>
            <w:tcBorders>
              <w:top w:val="nil"/>
              <w:bottom w:val="nil"/>
            </w:tcBorders>
            <w:vAlign w:val="top"/>
          </w:tcPr>
          <w:p w14:paraId="1FD27E3F">
            <w:pPr>
              <w:rPr>
                <w:rFonts w:ascii="Arial"/>
                <w:sz w:val="21"/>
              </w:rPr>
            </w:pPr>
          </w:p>
        </w:tc>
        <w:tc>
          <w:tcPr>
            <w:tcW w:w="1360" w:type="dxa"/>
            <w:vMerge w:val="continue"/>
            <w:tcBorders>
              <w:top w:val="nil"/>
            </w:tcBorders>
            <w:vAlign w:val="top"/>
          </w:tcPr>
          <w:p w14:paraId="34623CDB">
            <w:pPr>
              <w:rPr>
                <w:rFonts w:ascii="Arial"/>
                <w:sz w:val="21"/>
              </w:rPr>
            </w:pPr>
          </w:p>
        </w:tc>
        <w:tc>
          <w:tcPr>
            <w:tcW w:w="1581" w:type="dxa"/>
            <w:vAlign w:val="top"/>
          </w:tcPr>
          <w:p w14:paraId="078997B9">
            <w:pPr>
              <w:spacing w:line="331" w:lineRule="auto"/>
              <w:rPr>
                <w:rFonts w:ascii="Arial"/>
                <w:sz w:val="21"/>
              </w:rPr>
            </w:pPr>
          </w:p>
          <w:p w14:paraId="18A77C4C">
            <w:pPr>
              <w:pStyle w:val="51"/>
              <w:spacing w:before="55" w:line="227" w:lineRule="auto"/>
              <w:ind w:left="348"/>
              <w:rPr>
                <w:sz w:val="17"/>
                <w:szCs w:val="17"/>
              </w:rPr>
            </w:pPr>
            <w:r>
              <w:rPr>
                <w:spacing w:val="7"/>
                <w:sz w:val="17"/>
                <w:szCs w:val="17"/>
              </w:rPr>
              <w:t>腌腊肉制品</w:t>
            </w:r>
          </w:p>
        </w:tc>
        <w:tc>
          <w:tcPr>
            <w:tcW w:w="1586" w:type="dxa"/>
            <w:vAlign w:val="top"/>
          </w:tcPr>
          <w:p w14:paraId="5D480663">
            <w:pPr>
              <w:spacing w:line="331" w:lineRule="auto"/>
              <w:rPr>
                <w:rFonts w:ascii="Arial"/>
                <w:sz w:val="21"/>
              </w:rPr>
            </w:pPr>
          </w:p>
          <w:p w14:paraId="3EFEC433">
            <w:pPr>
              <w:pStyle w:val="51"/>
              <w:spacing w:before="55" w:line="227" w:lineRule="auto"/>
              <w:ind w:left="351"/>
              <w:rPr>
                <w:sz w:val="17"/>
                <w:szCs w:val="17"/>
              </w:rPr>
            </w:pPr>
            <w:r>
              <w:rPr>
                <w:spacing w:val="7"/>
                <w:sz w:val="17"/>
                <w:szCs w:val="17"/>
              </w:rPr>
              <w:t>腌腊肉制品</w:t>
            </w:r>
          </w:p>
        </w:tc>
        <w:tc>
          <w:tcPr>
            <w:tcW w:w="682" w:type="dxa"/>
            <w:vAlign w:val="top"/>
          </w:tcPr>
          <w:p w14:paraId="5A38DD6C">
            <w:pPr>
              <w:spacing w:line="331" w:lineRule="auto"/>
              <w:rPr>
                <w:rFonts w:ascii="Arial"/>
                <w:sz w:val="21"/>
              </w:rPr>
            </w:pPr>
          </w:p>
          <w:p w14:paraId="392CC36C">
            <w:pPr>
              <w:pStyle w:val="51"/>
              <w:spacing w:before="55" w:line="230" w:lineRule="auto"/>
              <w:ind w:left="267"/>
              <w:rPr>
                <w:sz w:val="17"/>
                <w:szCs w:val="17"/>
              </w:rPr>
            </w:pPr>
            <w:r>
              <w:rPr>
                <w:sz w:val="17"/>
                <w:szCs w:val="17"/>
              </w:rPr>
              <w:t>高</w:t>
            </w:r>
          </w:p>
        </w:tc>
        <w:tc>
          <w:tcPr>
            <w:tcW w:w="8563" w:type="dxa"/>
            <w:vAlign w:val="top"/>
          </w:tcPr>
          <w:p w14:paraId="6F9BEAE8">
            <w:pPr>
              <w:pStyle w:val="51"/>
              <w:spacing w:before="90" w:line="291" w:lineRule="auto"/>
              <w:ind w:left="39"/>
              <w:jc w:val="both"/>
              <w:rPr>
                <w:sz w:val="17"/>
                <w:szCs w:val="17"/>
              </w:rPr>
            </w:pPr>
            <w:r>
              <w:rPr>
                <w:spacing w:val="7"/>
                <w:sz w:val="17"/>
                <w:szCs w:val="17"/>
              </w:rPr>
              <w:t>过氧化值（以脂肪计）、铅（以</w:t>
            </w:r>
            <w:r>
              <w:rPr>
                <w:sz w:val="17"/>
                <w:szCs w:val="17"/>
              </w:rPr>
              <w:t>Pb</w:t>
            </w:r>
            <w:r>
              <w:rPr>
                <w:spacing w:val="7"/>
                <w:sz w:val="17"/>
                <w:szCs w:val="17"/>
              </w:rPr>
              <w:t>计）、总砷（以</w:t>
            </w:r>
            <w:r>
              <w:rPr>
                <w:sz w:val="17"/>
                <w:szCs w:val="17"/>
              </w:rPr>
              <w:t>As</w:t>
            </w:r>
            <w:r>
              <w:rPr>
                <w:spacing w:val="7"/>
                <w:sz w:val="17"/>
                <w:szCs w:val="17"/>
              </w:rPr>
              <w:t>计）、亚硝酸盐（以亚硝酸</w:t>
            </w:r>
            <w:r>
              <w:rPr>
                <w:spacing w:val="6"/>
                <w:sz w:val="17"/>
                <w:szCs w:val="17"/>
              </w:rPr>
              <w:t>钠计）、苯甲酸及其钠盐（以</w:t>
            </w:r>
            <w:r>
              <w:rPr>
                <w:spacing w:val="8"/>
                <w:sz w:val="17"/>
                <w:szCs w:val="17"/>
              </w:rPr>
              <w:t>苯甲酸计）、山梨酸及其钾盐（以山梨酸计）、</w:t>
            </w:r>
            <w:r>
              <w:rPr>
                <w:spacing w:val="7"/>
                <w:sz w:val="17"/>
                <w:szCs w:val="17"/>
              </w:rPr>
              <w:t>脱氢乙酸及其钠盐（以脱氢乙酸计）、合成着色剂（柠檬黄、日落黄、</w:t>
            </w:r>
            <w:r>
              <w:rPr>
                <w:spacing w:val="-44"/>
                <w:sz w:val="17"/>
                <w:szCs w:val="17"/>
              </w:rPr>
              <w:t xml:space="preserve"> </w:t>
            </w:r>
            <w:r>
              <w:rPr>
                <w:spacing w:val="7"/>
                <w:sz w:val="17"/>
                <w:szCs w:val="17"/>
              </w:rPr>
              <w:t>胭脂红、诱惑红、苋菜红、酸性红）、氯霉素、红2G</w:t>
            </w:r>
          </w:p>
        </w:tc>
      </w:tr>
      <w:tr w14:paraId="1DC244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459" w:type="dxa"/>
            <w:vMerge w:val="continue"/>
            <w:tcBorders>
              <w:top w:val="nil"/>
            </w:tcBorders>
            <w:vAlign w:val="top"/>
          </w:tcPr>
          <w:p w14:paraId="512A21D8">
            <w:pPr>
              <w:rPr>
                <w:rFonts w:ascii="Arial"/>
                <w:sz w:val="21"/>
              </w:rPr>
            </w:pPr>
          </w:p>
        </w:tc>
        <w:tc>
          <w:tcPr>
            <w:tcW w:w="942" w:type="dxa"/>
            <w:vMerge w:val="continue"/>
            <w:tcBorders>
              <w:top w:val="nil"/>
            </w:tcBorders>
            <w:vAlign w:val="top"/>
          </w:tcPr>
          <w:p w14:paraId="3E756894">
            <w:pPr>
              <w:rPr>
                <w:rFonts w:ascii="Arial"/>
                <w:sz w:val="21"/>
              </w:rPr>
            </w:pPr>
          </w:p>
        </w:tc>
        <w:tc>
          <w:tcPr>
            <w:tcW w:w="1360" w:type="dxa"/>
            <w:vAlign w:val="top"/>
          </w:tcPr>
          <w:p w14:paraId="7D0C06A5">
            <w:pPr>
              <w:pStyle w:val="51"/>
              <w:spacing w:before="139" w:line="227" w:lineRule="auto"/>
              <w:ind w:left="331"/>
              <w:rPr>
                <w:sz w:val="17"/>
                <w:szCs w:val="17"/>
              </w:rPr>
            </w:pPr>
            <w:r>
              <w:rPr>
                <w:spacing w:val="5"/>
                <w:sz w:val="17"/>
                <w:szCs w:val="17"/>
              </w:rPr>
              <w:t>熟肉制品</w:t>
            </w:r>
          </w:p>
        </w:tc>
        <w:tc>
          <w:tcPr>
            <w:tcW w:w="1581" w:type="dxa"/>
            <w:vAlign w:val="top"/>
          </w:tcPr>
          <w:p w14:paraId="17B3B0DF">
            <w:pPr>
              <w:pStyle w:val="51"/>
              <w:spacing w:before="139" w:line="227" w:lineRule="auto"/>
              <w:ind w:left="354"/>
              <w:rPr>
                <w:sz w:val="17"/>
                <w:szCs w:val="17"/>
              </w:rPr>
            </w:pPr>
            <w:r>
              <w:rPr>
                <w:spacing w:val="6"/>
                <w:sz w:val="17"/>
                <w:szCs w:val="17"/>
              </w:rPr>
              <w:t>发酵肉制品</w:t>
            </w:r>
          </w:p>
        </w:tc>
        <w:tc>
          <w:tcPr>
            <w:tcW w:w="1586" w:type="dxa"/>
            <w:vAlign w:val="top"/>
          </w:tcPr>
          <w:p w14:paraId="237CF90F">
            <w:pPr>
              <w:pStyle w:val="51"/>
              <w:spacing w:before="139" w:line="227" w:lineRule="auto"/>
              <w:ind w:left="357"/>
              <w:rPr>
                <w:sz w:val="17"/>
                <w:szCs w:val="17"/>
              </w:rPr>
            </w:pPr>
            <w:r>
              <w:rPr>
                <w:spacing w:val="6"/>
                <w:sz w:val="17"/>
                <w:szCs w:val="17"/>
              </w:rPr>
              <w:t>发酵肉制品</w:t>
            </w:r>
          </w:p>
        </w:tc>
        <w:tc>
          <w:tcPr>
            <w:tcW w:w="682" w:type="dxa"/>
            <w:vAlign w:val="top"/>
          </w:tcPr>
          <w:p w14:paraId="604EE47C">
            <w:pPr>
              <w:pStyle w:val="51"/>
              <w:spacing w:before="139" w:line="230" w:lineRule="auto"/>
              <w:ind w:left="267"/>
              <w:rPr>
                <w:sz w:val="17"/>
                <w:szCs w:val="17"/>
              </w:rPr>
            </w:pPr>
            <w:r>
              <w:rPr>
                <w:sz w:val="17"/>
                <w:szCs w:val="17"/>
              </w:rPr>
              <w:t>高</w:t>
            </w:r>
          </w:p>
        </w:tc>
        <w:tc>
          <w:tcPr>
            <w:tcW w:w="8563" w:type="dxa"/>
            <w:vAlign w:val="top"/>
          </w:tcPr>
          <w:p w14:paraId="6667F9A9">
            <w:pPr>
              <w:pStyle w:val="51"/>
              <w:spacing w:before="139" w:line="225" w:lineRule="auto"/>
              <w:ind w:left="40"/>
              <w:rPr>
                <w:sz w:val="17"/>
                <w:szCs w:val="17"/>
              </w:rPr>
            </w:pPr>
            <w:r>
              <w:rPr>
                <w:spacing w:val="10"/>
                <w:sz w:val="17"/>
                <w:szCs w:val="17"/>
              </w:rPr>
              <w:t>亚硝酸盐（以亚硝酸钠计）、沙门氏菌、金黄色葡萄球菌、单核细胞</w:t>
            </w:r>
            <w:r>
              <w:rPr>
                <w:spacing w:val="9"/>
                <w:sz w:val="17"/>
                <w:szCs w:val="17"/>
              </w:rPr>
              <w:t>增生李斯特氏菌、致泻大肠埃希氏菌</w:t>
            </w:r>
          </w:p>
        </w:tc>
      </w:tr>
    </w:tbl>
    <w:p w14:paraId="1651D480">
      <w:pPr>
        <w:rPr>
          <w:rFonts w:ascii="Arial"/>
          <w:sz w:val="21"/>
        </w:rPr>
      </w:pPr>
    </w:p>
    <w:p w14:paraId="0F0D077D">
      <w:pPr>
        <w:rPr>
          <w:rFonts w:ascii="Arial" w:hAnsi="Arial" w:eastAsia="Arial" w:cs="Arial"/>
          <w:sz w:val="21"/>
          <w:szCs w:val="21"/>
        </w:rPr>
        <w:sectPr>
          <w:pgSz w:w="16838" w:h="11906"/>
          <w:pgMar w:top="1011" w:right="829" w:bottom="400" w:left="363" w:header="567" w:footer="567" w:gutter="0"/>
          <w:pgNumType w:fmt="decimal"/>
          <w:cols w:space="720" w:num="1"/>
        </w:sectPr>
      </w:pPr>
    </w:p>
    <w:p w14:paraId="7927A5B4">
      <w:pPr>
        <w:spacing w:before="18"/>
      </w:pPr>
    </w:p>
    <w:p w14:paraId="284A2ED5">
      <w:pPr>
        <w:spacing w:before="18"/>
      </w:pPr>
    </w:p>
    <w:tbl>
      <w:tblPr>
        <w:tblStyle w:val="50"/>
        <w:tblW w:w="15173" w:type="dxa"/>
        <w:tblInd w:w="46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59"/>
        <w:gridCol w:w="942"/>
        <w:gridCol w:w="1360"/>
        <w:gridCol w:w="1581"/>
        <w:gridCol w:w="1586"/>
        <w:gridCol w:w="682"/>
        <w:gridCol w:w="8563"/>
      </w:tblGrid>
      <w:tr w14:paraId="7165C9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459" w:type="dxa"/>
            <w:vAlign w:val="top"/>
          </w:tcPr>
          <w:p w14:paraId="1B4E2953">
            <w:pPr>
              <w:spacing w:before="241" w:line="234" w:lineRule="auto"/>
              <w:ind w:left="52"/>
              <w:rPr>
                <w:rFonts w:ascii="黑体" w:hAnsi="黑体" w:eastAsia="黑体" w:cs="黑体"/>
                <w:sz w:val="17"/>
                <w:szCs w:val="17"/>
              </w:rPr>
            </w:pPr>
            <w:r>
              <w:rPr>
                <w:rFonts w:ascii="黑体" w:hAnsi="黑体" w:eastAsia="黑体" w:cs="黑体"/>
                <w:spacing w:val="6"/>
                <w:sz w:val="17"/>
                <w:szCs w:val="17"/>
              </w:rPr>
              <w:t>序号</w:t>
            </w:r>
          </w:p>
        </w:tc>
        <w:tc>
          <w:tcPr>
            <w:tcW w:w="942" w:type="dxa"/>
            <w:vAlign w:val="top"/>
          </w:tcPr>
          <w:p w14:paraId="79F96216">
            <w:pPr>
              <w:spacing w:before="90" w:line="232" w:lineRule="auto"/>
              <w:ind w:left="111"/>
              <w:rPr>
                <w:rFonts w:ascii="黑体" w:hAnsi="黑体" w:eastAsia="黑体" w:cs="黑体"/>
                <w:sz w:val="17"/>
                <w:szCs w:val="17"/>
              </w:rPr>
            </w:pPr>
            <w:r>
              <w:rPr>
                <w:rFonts w:ascii="黑体" w:hAnsi="黑体" w:eastAsia="黑体" w:cs="黑体"/>
                <w:spacing w:val="8"/>
                <w:sz w:val="17"/>
                <w:szCs w:val="17"/>
              </w:rPr>
              <w:t>食品大类</w:t>
            </w:r>
          </w:p>
          <w:p w14:paraId="26DC8012">
            <w:pPr>
              <w:spacing w:before="86" w:line="227" w:lineRule="auto"/>
              <w:ind w:left="237"/>
              <w:rPr>
                <w:rFonts w:ascii="黑体" w:hAnsi="黑体" w:eastAsia="黑体" w:cs="黑体"/>
                <w:sz w:val="17"/>
                <w:szCs w:val="17"/>
              </w:rPr>
            </w:pPr>
            <w:r>
              <w:rPr>
                <w:rFonts w:ascii="黑体" w:hAnsi="黑体" w:eastAsia="黑体" w:cs="黑体"/>
                <w:spacing w:val="-4"/>
                <w:sz w:val="17"/>
                <w:szCs w:val="17"/>
              </w:rPr>
              <w:t>(一级)</w:t>
            </w:r>
          </w:p>
        </w:tc>
        <w:tc>
          <w:tcPr>
            <w:tcW w:w="1360" w:type="dxa"/>
            <w:vAlign w:val="top"/>
          </w:tcPr>
          <w:p w14:paraId="30C87449">
            <w:pPr>
              <w:spacing w:before="90" w:line="232" w:lineRule="auto"/>
              <w:ind w:left="321"/>
              <w:rPr>
                <w:rFonts w:ascii="黑体" w:hAnsi="黑体" w:eastAsia="黑体" w:cs="黑体"/>
                <w:sz w:val="17"/>
                <w:szCs w:val="17"/>
              </w:rPr>
            </w:pPr>
            <w:r>
              <w:rPr>
                <w:rFonts w:ascii="黑体" w:hAnsi="黑体" w:eastAsia="黑体" w:cs="黑体"/>
                <w:spacing w:val="8"/>
                <w:sz w:val="17"/>
                <w:szCs w:val="17"/>
              </w:rPr>
              <w:t>食品亚类</w:t>
            </w:r>
          </w:p>
          <w:p w14:paraId="7ED85B4C">
            <w:pPr>
              <w:spacing w:before="86" w:line="227" w:lineRule="auto"/>
              <w:ind w:left="444"/>
              <w:rPr>
                <w:rFonts w:ascii="黑体" w:hAnsi="黑体" w:eastAsia="黑体" w:cs="黑体"/>
                <w:sz w:val="17"/>
                <w:szCs w:val="17"/>
              </w:rPr>
            </w:pPr>
            <w:r>
              <w:rPr>
                <w:rFonts w:ascii="黑体" w:hAnsi="黑体" w:eastAsia="黑体" w:cs="黑体"/>
                <w:spacing w:val="-3"/>
                <w:sz w:val="17"/>
                <w:szCs w:val="17"/>
              </w:rPr>
              <w:t>(二级)</w:t>
            </w:r>
          </w:p>
        </w:tc>
        <w:tc>
          <w:tcPr>
            <w:tcW w:w="1581" w:type="dxa"/>
            <w:vAlign w:val="top"/>
          </w:tcPr>
          <w:p w14:paraId="320A6AA3">
            <w:pPr>
              <w:spacing w:before="90" w:line="232" w:lineRule="auto"/>
              <w:ind w:left="433"/>
              <w:rPr>
                <w:rFonts w:ascii="黑体" w:hAnsi="黑体" w:eastAsia="黑体" w:cs="黑体"/>
                <w:sz w:val="17"/>
                <w:szCs w:val="17"/>
              </w:rPr>
            </w:pPr>
            <w:r>
              <w:rPr>
                <w:rFonts w:ascii="黑体" w:hAnsi="黑体" w:eastAsia="黑体" w:cs="黑体"/>
                <w:spacing w:val="8"/>
                <w:sz w:val="17"/>
                <w:szCs w:val="17"/>
              </w:rPr>
              <w:t>食品品种</w:t>
            </w:r>
          </w:p>
          <w:p w14:paraId="1A9E7F4B">
            <w:pPr>
              <w:spacing w:before="86" w:line="227" w:lineRule="auto"/>
              <w:ind w:left="558"/>
              <w:rPr>
                <w:rFonts w:ascii="黑体" w:hAnsi="黑体" w:eastAsia="黑体" w:cs="黑体"/>
                <w:sz w:val="17"/>
                <w:szCs w:val="17"/>
              </w:rPr>
            </w:pPr>
            <w:r>
              <w:rPr>
                <w:rFonts w:ascii="黑体" w:hAnsi="黑体" w:eastAsia="黑体" w:cs="黑体"/>
                <w:spacing w:val="-4"/>
                <w:sz w:val="17"/>
                <w:szCs w:val="17"/>
              </w:rPr>
              <w:t>(三级)</w:t>
            </w:r>
          </w:p>
        </w:tc>
        <w:tc>
          <w:tcPr>
            <w:tcW w:w="1586" w:type="dxa"/>
            <w:vAlign w:val="top"/>
          </w:tcPr>
          <w:p w14:paraId="6BB1DADB">
            <w:pPr>
              <w:spacing w:before="90" w:line="232" w:lineRule="auto"/>
              <w:ind w:left="436"/>
              <w:rPr>
                <w:rFonts w:ascii="黑体" w:hAnsi="黑体" w:eastAsia="黑体" w:cs="黑体"/>
                <w:sz w:val="17"/>
                <w:szCs w:val="17"/>
              </w:rPr>
            </w:pPr>
            <w:r>
              <w:rPr>
                <w:rFonts w:ascii="黑体" w:hAnsi="黑体" w:eastAsia="黑体" w:cs="黑体"/>
                <w:spacing w:val="8"/>
                <w:sz w:val="17"/>
                <w:szCs w:val="17"/>
              </w:rPr>
              <w:t>食品细类</w:t>
            </w:r>
          </w:p>
          <w:p w14:paraId="5BBFA0B5">
            <w:pPr>
              <w:spacing w:before="86" w:line="227" w:lineRule="auto"/>
              <w:ind w:left="561"/>
              <w:rPr>
                <w:rFonts w:ascii="黑体" w:hAnsi="黑体" w:eastAsia="黑体" w:cs="黑体"/>
                <w:sz w:val="17"/>
                <w:szCs w:val="17"/>
              </w:rPr>
            </w:pPr>
            <w:r>
              <w:rPr>
                <w:rFonts w:ascii="黑体" w:hAnsi="黑体" w:eastAsia="黑体" w:cs="黑体"/>
                <w:spacing w:val="-4"/>
                <w:sz w:val="17"/>
                <w:szCs w:val="17"/>
              </w:rPr>
              <w:t>(四级)</w:t>
            </w:r>
          </w:p>
        </w:tc>
        <w:tc>
          <w:tcPr>
            <w:tcW w:w="682" w:type="dxa"/>
            <w:vAlign w:val="top"/>
          </w:tcPr>
          <w:p w14:paraId="05A81897">
            <w:pPr>
              <w:spacing w:before="89" w:line="233" w:lineRule="auto"/>
              <w:ind w:left="166"/>
              <w:rPr>
                <w:rFonts w:ascii="黑体" w:hAnsi="黑体" w:eastAsia="黑体" w:cs="黑体"/>
                <w:sz w:val="17"/>
                <w:szCs w:val="17"/>
              </w:rPr>
            </w:pPr>
            <w:r>
              <w:rPr>
                <w:rFonts w:ascii="黑体" w:hAnsi="黑体" w:eastAsia="黑体" w:cs="黑体"/>
                <w:spacing w:val="6"/>
                <w:sz w:val="17"/>
                <w:szCs w:val="17"/>
              </w:rPr>
              <w:t>风险</w:t>
            </w:r>
          </w:p>
          <w:p w14:paraId="3C9E1F84">
            <w:pPr>
              <w:spacing w:before="85" w:line="227" w:lineRule="auto"/>
              <w:ind w:left="163"/>
              <w:rPr>
                <w:rFonts w:ascii="黑体" w:hAnsi="黑体" w:eastAsia="黑体" w:cs="黑体"/>
                <w:sz w:val="17"/>
                <w:szCs w:val="17"/>
              </w:rPr>
            </w:pPr>
            <w:r>
              <w:rPr>
                <w:rFonts w:ascii="黑体" w:hAnsi="黑体" w:eastAsia="黑体" w:cs="黑体"/>
                <w:spacing w:val="7"/>
                <w:sz w:val="17"/>
                <w:szCs w:val="17"/>
              </w:rPr>
              <w:t>等级</w:t>
            </w:r>
          </w:p>
        </w:tc>
        <w:tc>
          <w:tcPr>
            <w:tcW w:w="8563" w:type="dxa"/>
            <w:vAlign w:val="top"/>
          </w:tcPr>
          <w:p w14:paraId="17246656">
            <w:pPr>
              <w:spacing w:before="241" w:line="232" w:lineRule="auto"/>
              <w:ind w:left="3744"/>
              <w:rPr>
                <w:rFonts w:ascii="黑体" w:hAnsi="黑体" w:eastAsia="黑体" w:cs="黑体"/>
                <w:sz w:val="17"/>
                <w:szCs w:val="17"/>
              </w:rPr>
            </w:pPr>
            <w:r>
              <w:rPr>
                <w:rFonts w:ascii="黑体" w:hAnsi="黑体" w:eastAsia="黑体" w:cs="黑体"/>
                <w:spacing w:val="8"/>
                <w:sz w:val="17"/>
                <w:szCs w:val="17"/>
              </w:rPr>
              <w:t>监督抽检项目</w:t>
            </w:r>
          </w:p>
        </w:tc>
      </w:tr>
      <w:tr w14:paraId="01D8BA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04" w:hRule="atLeast"/>
        </w:trPr>
        <w:tc>
          <w:tcPr>
            <w:tcW w:w="459" w:type="dxa"/>
            <w:vMerge w:val="restart"/>
            <w:tcBorders>
              <w:bottom w:val="nil"/>
            </w:tcBorders>
            <w:vAlign w:val="top"/>
          </w:tcPr>
          <w:p w14:paraId="700A902A">
            <w:pPr>
              <w:spacing w:line="241" w:lineRule="auto"/>
              <w:rPr>
                <w:rFonts w:ascii="Arial"/>
                <w:sz w:val="21"/>
              </w:rPr>
            </w:pPr>
          </w:p>
          <w:p w14:paraId="197C6D03">
            <w:pPr>
              <w:spacing w:line="241" w:lineRule="auto"/>
              <w:rPr>
                <w:rFonts w:ascii="Arial"/>
                <w:sz w:val="21"/>
              </w:rPr>
            </w:pPr>
          </w:p>
          <w:p w14:paraId="5517E2C0">
            <w:pPr>
              <w:spacing w:line="241" w:lineRule="auto"/>
              <w:rPr>
                <w:rFonts w:ascii="Arial"/>
                <w:sz w:val="21"/>
              </w:rPr>
            </w:pPr>
          </w:p>
          <w:p w14:paraId="04BB620C">
            <w:pPr>
              <w:spacing w:line="241" w:lineRule="auto"/>
              <w:rPr>
                <w:rFonts w:ascii="Arial"/>
                <w:sz w:val="21"/>
              </w:rPr>
            </w:pPr>
          </w:p>
          <w:p w14:paraId="2C9A3087">
            <w:pPr>
              <w:spacing w:line="241" w:lineRule="auto"/>
              <w:rPr>
                <w:rFonts w:ascii="Arial"/>
                <w:sz w:val="21"/>
              </w:rPr>
            </w:pPr>
          </w:p>
          <w:p w14:paraId="1F5D6BD1">
            <w:pPr>
              <w:spacing w:line="241" w:lineRule="auto"/>
              <w:rPr>
                <w:rFonts w:ascii="Arial"/>
                <w:sz w:val="21"/>
              </w:rPr>
            </w:pPr>
          </w:p>
          <w:p w14:paraId="46D01E8E">
            <w:pPr>
              <w:spacing w:line="241" w:lineRule="auto"/>
              <w:rPr>
                <w:rFonts w:ascii="Arial"/>
                <w:sz w:val="21"/>
              </w:rPr>
            </w:pPr>
          </w:p>
          <w:p w14:paraId="213E95B0">
            <w:pPr>
              <w:spacing w:line="241" w:lineRule="auto"/>
              <w:rPr>
                <w:rFonts w:ascii="Arial"/>
                <w:sz w:val="21"/>
              </w:rPr>
            </w:pPr>
          </w:p>
          <w:p w14:paraId="2C3EC4DE">
            <w:pPr>
              <w:spacing w:line="241" w:lineRule="auto"/>
              <w:rPr>
                <w:rFonts w:ascii="Arial"/>
                <w:sz w:val="21"/>
              </w:rPr>
            </w:pPr>
          </w:p>
          <w:p w14:paraId="44D72E25">
            <w:pPr>
              <w:spacing w:line="241" w:lineRule="auto"/>
              <w:rPr>
                <w:rFonts w:ascii="Arial"/>
                <w:sz w:val="21"/>
              </w:rPr>
            </w:pPr>
          </w:p>
          <w:p w14:paraId="560EC18F">
            <w:pPr>
              <w:spacing w:line="242" w:lineRule="auto"/>
              <w:rPr>
                <w:rFonts w:ascii="Arial"/>
                <w:sz w:val="21"/>
              </w:rPr>
            </w:pPr>
          </w:p>
          <w:p w14:paraId="2EFDCF87">
            <w:pPr>
              <w:pStyle w:val="51"/>
              <w:spacing w:before="55" w:line="229" w:lineRule="exact"/>
              <w:ind w:left="187"/>
              <w:rPr>
                <w:sz w:val="17"/>
                <w:szCs w:val="17"/>
              </w:rPr>
            </w:pPr>
            <w:r>
              <w:rPr>
                <w:position w:val="1"/>
                <w:sz w:val="17"/>
                <w:szCs w:val="17"/>
              </w:rPr>
              <w:t>4</w:t>
            </w:r>
          </w:p>
        </w:tc>
        <w:tc>
          <w:tcPr>
            <w:tcW w:w="942" w:type="dxa"/>
            <w:vMerge w:val="restart"/>
            <w:tcBorders>
              <w:bottom w:val="nil"/>
            </w:tcBorders>
            <w:vAlign w:val="top"/>
          </w:tcPr>
          <w:p w14:paraId="55C5152F">
            <w:pPr>
              <w:spacing w:line="241" w:lineRule="auto"/>
              <w:rPr>
                <w:rFonts w:ascii="Arial"/>
                <w:sz w:val="21"/>
              </w:rPr>
            </w:pPr>
          </w:p>
          <w:p w14:paraId="4C45FF98">
            <w:pPr>
              <w:spacing w:line="241" w:lineRule="auto"/>
              <w:rPr>
                <w:rFonts w:ascii="Arial"/>
                <w:sz w:val="21"/>
              </w:rPr>
            </w:pPr>
          </w:p>
          <w:p w14:paraId="7B31A266">
            <w:pPr>
              <w:spacing w:line="241" w:lineRule="auto"/>
              <w:rPr>
                <w:rFonts w:ascii="Arial"/>
                <w:sz w:val="21"/>
              </w:rPr>
            </w:pPr>
          </w:p>
          <w:p w14:paraId="28BC973E">
            <w:pPr>
              <w:spacing w:line="241" w:lineRule="auto"/>
              <w:rPr>
                <w:rFonts w:ascii="Arial"/>
                <w:sz w:val="21"/>
              </w:rPr>
            </w:pPr>
          </w:p>
          <w:p w14:paraId="49BA9DE9">
            <w:pPr>
              <w:spacing w:line="241" w:lineRule="auto"/>
              <w:rPr>
                <w:rFonts w:ascii="Arial"/>
                <w:sz w:val="21"/>
              </w:rPr>
            </w:pPr>
          </w:p>
          <w:p w14:paraId="2B07B1A8">
            <w:pPr>
              <w:spacing w:line="241" w:lineRule="auto"/>
              <w:rPr>
                <w:rFonts w:ascii="Arial"/>
                <w:sz w:val="21"/>
              </w:rPr>
            </w:pPr>
          </w:p>
          <w:p w14:paraId="3CBE827A">
            <w:pPr>
              <w:spacing w:line="241" w:lineRule="auto"/>
              <w:rPr>
                <w:rFonts w:ascii="Arial"/>
                <w:sz w:val="21"/>
              </w:rPr>
            </w:pPr>
          </w:p>
          <w:p w14:paraId="6EC95D56">
            <w:pPr>
              <w:spacing w:line="241" w:lineRule="auto"/>
              <w:rPr>
                <w:rFonts w:ascii="Arial"/>
                <w:sz w:val="21"/>
              </w:rPr>
            </w:pPr>
          </w:p>
          <w:p w14:paraId="5857D36A">
            <w:pPr>
              <w:spacing w:line="241" w:lineRule="auto"/>
              <w:rPr>
                <w:rFonts w:ascii="Arial"/>
                <w:sz w:val="21"/>
              </w:rPr>
            </w:pPr>
          </w:p>
          <w:p w14:paraId="66F8DF79">
            <w:pPr>
              <w:spacing w:line="241" w:lineRule="auto"/>
              <w:rPr>
                <w:rFonts w:ascii="Arial"/>
                <w:sz w:val="21"/>
              </w:rPr>
            </w:pPr>
          </w:p>
          <w:p w14:paraId="2425F3A5">
            <w:pPr>
              <w:spacing w:line="242" w:lineRule="auto"/>
              <w:rPr>
                <w:rFonts w:ascii="Arial"/>
                <w:sz w:val="21"/>
              </w:rPr>
            </w:pPr>
          </w:p>
          <w:p w14:paraId="6858A0AA">
            <w:pPr>
              <w:pStyle w:val="51"/>
              <w:spacing w:before="55" w:line="227" w:lineRule="auto"/>
              <w:ind w:left="227"/>
              <w:rPr>
                <w:sz w:val="17"/>
                <w:szCs w:val="17"/>
              </w:rPr>
            </w:pPr>
            <w:r>
              <w:rPr>
                <w:spacing w:val="-1"/>
                <w:sz w:val="17"/>
                <w:szCs w:val="17"/>
              </w:rPr>
              <w:t>肉制品</w:t>
            </w:r>
          </w:p>
        </w:tc>
        <w:tc>
          <w:tcPr>
            <w:tcW w:w="1360" w:type="dxa"/>
            <w:vMerge w:val="restart"/>
            <w:tcBorders>
              <w:bottom w:val="nil"/>
            </w:tcBorders>
            <w:vAlign w:val="top"/>
          </w:tcPr>
          <w:p w14:paraId="01069DD0">
            <w:pPr>
              <w:spacing w:line="241" w:lineRule="auto"/>
              <w:rPr>
                <w:rFonts w:ascii="Arial"/>
                <w:sz w:val="21"/>
              </w:rPr>
            </w:pPr>
          </w:p>
          <w:p w14:paraId="40444B59">
            <w:pPr>
              <w:spacing w:line="241" w:lineRule="auto"/>
              <w:rPr>
                <w:rFonts w:ascii="Arial"/>
                <w:sz w:val="21"/>
              </w:rPr>
            </w:pPr>
          </w:p>
          <w:p w14:paraId="183A023D">
            <w:pPr>
              <w:spacing w:line="241" w:lineRule="auto"/>
              <w:rPr>
                <w:rFonts w:ascii="Arial"/>
                <w:sz w:val="21"/>
              </w:rPr>
            </w:pPr>
          </w:p>
          <w:p w14:paraId="39F6B284">
            <w:pPr>
              <w:spacing w:line="241" w:lineRule="auto"/>
              <w:rPr>
                <w:rFonts w:ascii="Arial"/>
                <w:sz w:val="21"/>
              </w:rPr>
            </w:pPr>
          </w:p>
          <w:p w14:paraId="0D86C9E9">
            <w:pPr>
              <w:spacing w:line="241" w:lineRule="auto"/>
              <w:rPr>
                <w:rFonts w:ascii="Arial"/>
                <w:sz w:val="21"/>
              </w:rPr>
            </w:pPr>
          </w:p>
          <w:p w14:paraId="2CE1DA0F">
            <w:pPr>
              <w:spacing w:line="241" w:lineRule="auto"/>
              <w:rPr>
                <w:rFonts w:ascii="Arial"/>
                <w:sz w:val="21"/>
              </w:rPr>
            </w:pPr>
          </w:p>
          <w:p w14:paraId="7C0DD1FF">
            <w:pPr>
              <w:spacing w:line="241" w:lineRule="auto"/>
              <w:rPr>
                <w:rFonts w:ascii="Arial"/>
                <w:sz w:val="21"/>
              </w:rPr>
            </w:pPr>
          </w:p>
          <w:p w14:paraId="759CB13B">
            <w:pPr>
              <w:spacing w:line="241" w:lineRule="auto"/>
              <w:rPr>
                <w:rFonts w:ascii="Arial"/>
                <w:sz w:val="21"/>
              </w:rPr>
            </w:pPr>
          </w:p>
          <w:p w14:paraId="2943B0EC">
            <w:pPr>
              <w:spacing w:line="241" w:lineRule="auto"/>
              <w:rPr>
                <w:rFonts w:ascii="Arial"/>
                <w:sz w:val="21"/>
              </w:rPr>
            </w:pPr>
          </w:p>
          <w:p w14:paraId="697BD39A">
            <w:pPr>
              <w:spacing w:line="241" w:lineRule="auto"/>
              <w:rPr>
                <w:rFonts w:ascii="Arial"/>
                <w:sz w:val="21"/>
              </w:rPr>
            </w:pPr>
          </w:p>
          <w:p w14:paraId="2E098102">
            <w:pPr>
              <w:spacing w:line="242" w:lineRule="auto"/>
              <w:rPr>
                <w:rFonts w:ascii="Arial"/>
                <w:sz w:val="21"/>
              </w:rPr>
            </w:pPr>
          </w:p>
          <w:p w14:paraId="638D8FD4">
            <w:pPr>
              <w:pStyle w:val="51"/>
              <w:spacing w:before="55" w:line="227" w:lineRule="auto"/>
              <w:ind w:left="331"/>
              <w:rPr>
                <w:sz w:val="17"/>
                <w:szCs w:val="17"/>
              </w:rPr>
            </w:pPr>
            <w:r>
              <w:rPr>
                <w:spacing w:val="5"/>
                <w:sz w:val="17"/>
                <w:szCs w:val="17"/>
              </w:rPr>
              <w:t>熟肉制品</w:t>
            </w:r>
          </w:p>
        </w:tc>
        <w:tc>
          <w:tcPr>
            <w:tcW w:w="1581" w:type="dxa"/>
            <w:vAlign w:val="top"/>
          </w:tcPr>
          <w:p w14:paraId="3CD64FD5">
            <w:pPr>
              <w:spacing w:line="313" w:lineRule="auto"/>
              <w:rPr>
                <w:rFonts w:ascii="Arial"/>
                <w:sz w:val="21"/>
              </w:rPr>
            </w:pPr>
          </w:p>
          <w:p w14:paraId="2D371408">
            <w:pPr>
              <w:spacing w:line="314" w:lineRule="auto"/>
              <w:rPr>
                <w:rFonts w:ascii="Arial"/>
                <w:sz w:val="21"/>
              </w:rPr>
            </w:pPr>
          </w:p>
          <w:p w14:paraId="0B6D71A0">
            <w:pPr>
              <w:pStyle w:val="51"/>
              <w:spacing w:before="55" w:line="227" w:lineRule="auto"/>
              <w:ind w:left="349"/>
              <w:rPr>
                <w:sz w:val="17"/>
                <w:szCs w:val="17"/>
              </w:rPr>
            </w:pPr>
            <w:r>
              <w:rPr>
                <w:spacing w:val="7"/>
                <w:sz w:val="17"/>
                <w:szCs w:val="17"/>
              </w:rPr>
              <w:t>酱卤肉制品</w:t>
            </w:r>
          </w:p>
        </w:tc>
        <w:tc>
          <w:tcPr>
            <w:tcW w:w="1586" w:type="dxa"/>
            <w:vAlign w:val="top"/>
          </w:tcPr>
          <w:p w14:paraId="3417AAE2">
            <w:pPr>
              <w:spacing w:line="313" w:lineRule="auto"/>
              <w:rPr>
                <w:rFonts w:ascii="Arial"/>
                <w:sz w:val="21"/>
              </w:rPr>
            </w:pPr>
          </w:p>
          <w:p w14:paraId="5C6924A0">
            <w:pPr>
              <w:spacing w:line="314" w:lineRule="auto"/>
              <w:rPr>
                <w:rFonts w:ascii="Arial"/>
                <w:sz w:val="21"/>
              </w:rPr>
            </w:pPr>
          </w:p>
          <w:p w14:paraId="05E090E6">
            <w:pPr>
              <w:pStyle w:val="51"/>
              <w:spacing w:before="55" w:line="227" w:lineRule="auto"/>
              <w:ind w:left="352"/>
              <w:rPr>
                <w:sz w:val="17"/>
                <w:szCs w:val="17"/>
              </w:rPr>
            </w:pPr>
            <w:r>
              <w:rPr>
                <w:spacing w:val="7"/>
                <w:sz w:val="17"/>
                <w:szCs w:val="17"/>
              </w:rPr>
              <w:t>酱卤肉制品</w:t>
            </w:r>
          </w:p>
        </w:tc>
        <w:tc>
          <w:tcPr>
            <w:tcW w:w="682" w:type="dxa"/>
            <w:vAlign w:val="top"/>
          </w:tcPr>
          <w:p w14:paraId="3E4F9A03">
            <w:pPr>
              <w:spacing w:line="313" w:lineRule="auto"/>
              <w:rPr>
                <w:rFonts w:ascii="Arial"/>
                <w:sz w:val="21"/>
              </w:rPr>
            </w:pPr>
          </w:p>
          <w:p w14:paraId="29EC71E1">
            <w:pPr>
              <w:spacing w:line="314" w:lineRule="auto"/>
              <w:rPr>
                <w:rFonts w:ascii="Arial"/>
                <w:sz w:val="21"/>
              </w:rPr>
            </w:pPr>
          </w:p>
          <w:p w14:paraId="72890887">
            <w:pPr>
              <w:pStyle w:val="51"/>
              <w:spacing w:before="55" w:line="230" w:lineRule="auto"/>
              <w:ind w:left="267"/>
              <w:rPr>
                <w:sz w:val="17"/>
                <w:szCs w:val="17"/>
              </w:rPr>
            </w:pPr>
            <w:r>
              <w:rPr>
                <w:sz w:val="17"/>
                <w:szCs w:val="17"/>
              </w:rPr>
              <w:t>高</w:t>
            </w:r>
          </w:p>
        </w:tc>
        <w:tc>
          <w:tcPr>
            <w:tcW w:w="8563" w:type="dxa"/>
            <w:vAlign w:val="top"/>
          </w:tcPr>
          <w:p w14:paraId="484827E1">
            <w:pPr>
              <w:pStyle w:val="51"/>
              <w:spacing w:before="85" w:line="306" w:lineRule="auto"/>
              <w:ind w:left="37"/>
              <w:jc w:val="both"/>
              <w:rPr>
                <w:sz w:val="17"/>
                <w:szCs w:val="17"/>
              </w:rPr>
            </w:pPr>
            <w:r>
              <w:rPr>
                <w:spacing w:val="7"/>
                <w:sz w:val="17"/>
                <w:szCs w:val="17"/>
              </w:rPr>
              <w:t>镉（以</w:t>
            </w:r>
            <w:r>
              <w:rPr>
                <w:sz w:val="17"/>
                <w:szCs w:val="17"/>
              </w:rPr>
              <w:t>Cd</w:t>
            </w:r>
            <w:r>
              <w:rPr>
                <w:spacing w:val="7"/>
                <w:sz w:val="17"/>
                <w:szCs w:val="17"/>
              </w:rPr>
              <w:t>计）</w:t>
            </w:r>
            <w:r>
              <w:rPr>
                <w:spacing w:val="-34"/>
                <w:sz w:val="17"/>
                <w:szCs w:val="17"/>
              </w:rPr>
              <w:t xml:space="preserve"> </w:t>
            </w:r>
            <w:r>
              <w:rPr>
                <w:spacing w:val="7"/>
                <w:sz w:val="17"/>
                <w:szCs w:val="17"/>
              </w:rPr>
              <w:t>、铬（以</w:t>
            </w:r>
            <w:r>
              <w:rPr>
                <w:sz w:val="17"/>
                <w:szCs w:val="17"/>
              </w:rPr>
              <w:t>Cr</w:t>
            </w:r>
            <w:r>
              <w:rPr>
                <w:spacing w:val="7"/>
                <w:sz w:val="17"/>
                <w:szCs w:val="17"/>
              </w:rPr>
              <w:t>计）、总碑（以</w:t>
            </w:r>
            <w:r>
              <w:rPr>
                <w:sz w:val="17"/>
                <w:szCs w:val="17"/>
              </w:rPr>
              <w:t>As</w:t>
            </w:r>
            <w:r>
              <w:rPr>
                <w:spacing w:val="7"/>
                <w:sz w:val="17"/>
                <w:szCs w:val="17"/>
              </w:rPr>
              <w:t>计）</w:t>
            </w:r>
            <w:r>
              <w:rPr>
                <w:spacing w:val="-38"/>
                <w:sz w:val="17"/>
                <w:szCs w:val="17"/>
              </w:rPr>
              <w:t xml:space="preserve"> </w:t>
            </w:r>
            <w:r>
              <w:rPr>
                <w:spacing w:val="7"/>
                <w:sz w:val="17"/>
                <w:szCs w:val="17"/>
              </w:rPr>
              <w:t>、N-二甲基亚硝胺、亚硝酸盐（以亚硝酸钠计）</w:t>
            </w:r>
            <w:r>
              <w:rPr>
                <w:spacing w:val="-26"/>
                <w:sz w:val="17"/>
                <w:szCs w:val="17"/>
              </w:rPr>
              <w:t xml:space="preserve"> </w:t>
            </w:r>
            <w:r>
              <w:rPr>
                <w:spacing w:val="7"/>
                <w:sz w:val="17"/>
                <w:szCs w:val="17"/>
              </w:rPr>
              <w:t>、苯甲酸及</w:t>
            </w:r>
            <w:r>
              <w:rPr>
                <w:spacing w:val="8"/>
                <w:sz w:val="17"/>
                <w:szCs w:val="17"/>
              </w:rPr>
              <w:t>其钠盐（以苯甲酸计）、山梨酸及其钾盐（以山梨酸</w:t>
            </w:r>
            <w:r>
              <w:rPr>
                <w:spacing w:val="7"/>
                <w:sz w:val="17"/>
                <w:szCs w:val="17"/>
              </w:rPr>
              <w:t>计）、脱氢乙酸及其钠盐（以脱氢乙酸计）、纳他霉素、</w:t>
            </w:r>
            <w:r>
              <w:rPr>
                <w:spacing w:val="9"/>
                <w:sz w:val="17"/>
                <w:szCs w:val="17"/>
              </w:rPr>
              <w:t>防腐剂混合使用时各自用量占其最大使用量的比例之和、糖精钠（以糖精计）</w:t>
            </w:r>
            <w:r>
              <w:rPr>
                <w:spacing w:val="-27"/>
                <w:sz w:val="17"/>
                <w:szCs w:val="17"/>
              </w:rPr>
              <w:t xml:space="preserve"> </w:t>
            </w:r>
            <w:r>
              <w:rPr>
                <w:spacing w:val="9"/>
                <w:sz w:val="17"/>
                <w:szCs w:val="17"/>
              </w:rPr>
              <w:t>、合成着色剂（柠</w:t>
            </w:r>
            <w:r>
              <w:rPr>
                <w:spacing w:val="8"/>
                <w:sz w:val="17"/>
                <w:szCs w:val="17"/>
              </w:rPr>
              <w:t>檬黄、日落</w:t>
            </w:r>
            <w:r>
              <w:rPr>
                <w:spacing w:val="10"/>
                <w:sz w:val="17"/>
                <w:szCs w:val="17"/>
              </w:rPr>
              <w:t>黄、胭脂红、诱惑红）、氯霉素、菌落总数、大肠菌群、沙门氏菌、金黄色葡萄球菌、单核细胞增生李斯特</w:t>
            </w:r>
            <w:r>
              <w:rPr>
                <w:spacing w:val="8"/>
                <w:sz w:val="17"/>
                <w:szCs w:val="17"/>
              </w:rPr>
              <w:t>氏菌、致泻大肠埃希氏菌</w:t>
            </w:r>
          </w:p>
        </w:tc>
      </w:tr>
      <w:tr w14:paraId="2C0021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1" w:hRule="atLeast"/>
        </w:trPr>
        <w:tc>
          <w:tcPr>
            <w:tcW w:w="459" w:type="dxa"/>
            <w:vMerge w:val="continue"/>
            <w:tcBorders>
              <w:top w:val="nil"/>
              <w:bottom w:val="nil"/>
            </w:tcBorders>
            <w:vAlign w:val="top"/>
          </w:tcPr>
          <w:p w14:paraId="122DAF4E">
            <w:pPr>
              <w:rPr>
                <w:rFonts w:ascii="Arial"/>
                <w:sz w:val="21"/>
              </w:rPr>
            </w:pPr>
          </w:p>
        </w:tc>
        <w:tc>
          <w:tcPr>
            <w:tcW w:w="942" w:type="dxa"/>
            <w:vMerge w:val="continue"/>
            <w:tcBorders>
              <w:top w:val="nil"/>
              <w:bottom w:val="nil"/>
            </w:tcBorders>
            <w:vAlign w:val="top"/>
          </w:tcPr>
          <w:p w14:paraId="7B3427F9">
            <w:pPr>
              <w:rPr>
                <w:rFonts w:ascii="Arial"/>
                <w:sz w:val="21"/>
              </w:rPr>
            </w:pPr>
          </w:p>
        </w:tc>
        <w:tc>
          <w:tcPr>
            <w:tcW w:w="1360" w:type="dxa"/>
            <w:vMerge w:val="continue"/>
            <w:tcBorders>
              <w:top w:val="nil"/>
              <w:bottom w:val="nil"/>
            </w:tcBorders>
            <w:vAlign w:val="top"/>
          </w:tcPr>
          <w:p w14:paraId="68A1908D">
            <w:pPr>
              <w:rPr>
                <w:rFonts w:ascii="Arial"/>
                <w:sz w:val="21"/>
              </w:rPr>
            </w:pPr>
          </w:p>
        </w:tc>
        <w:tc>
          <w:tcPr>
            <w:tcW w:w="1581" w:type="dxa"/>
            <w:vAlign w:val="top"/>
          </w:tcPr>
          <w:p w14:paraId="6F869D53">
            <w:pPr>
              <w:spacing w:line="248" w:lineRule="auto"/>
              <w:rPr>
                <w:rFonts w:ascii="Arial"/>
                <w:sz w:val="21"/>
              </w:rPr>
            </w:pPr>
          </w:p>
          <w:p w14:paraId="762BD96D">
            <w:pPr>
              <w:pStyle w:val="51"/>
              <w:spacing w:before="56" w:line="227" w:lineRule="auto"/>
              <w:ind w:left="353"/>
              <w:rPr>
                <w:sz w:val="17"/>
                <w:szCs w:val="17"/>
              </w:rPr>
            </w:pPr>
            <w:r>
              <w:rPr>
                <w:spacing w:val="6"/>
                <w:sz w:val="17"/>
                <w:szCs w:val="17"/>
              </w:rPr>
              <w:t>油炸肉制品</w:t>
            </w:r>
          </w:p>
        </w:tc>
        <w:tc>
          <w:tcPr>
            <w:tcW w:w="1586" w:type="dxa"/>
            <w:vAlign w:val="top"/>
          </w:tcPr>
          <w:p w14:paraId="0D54DE05">
            <w:pPr>
              <w:spacing w:line="248" w:lineRule="auto"/>
              <w:rPr>
                <w:rFonts w:ascii="Arial"/>
                <w:sz w:val="21"/>
              </w:rPr>
            </w:pPr>
          </w:p>
          <w:p w14:paraId="5BD5147F">
            <w:pPr>
              <w:pStyle w:val="51"/>
              <w:spacing w:before="56" w:line="227" w:lineRule="auto"/>
              <w:ind w:left="356"/>
              <w:rPr>
                <w:sz w:val="17"/>
                <w:szCs w:val="17"/>
              </w:rPr>
            </w:pPr>
            <w:r>
              <w:rPr>
                <w:spacing w:val="6"/>
                <w:sz w:val="17"/>
                <w:szCs w:val="17"/>
              </w:rPr>
              <w:t>油炸肉制品</w:t>
            </w:r>
          </w:p>
        </w:tc>
        <w:tc>
          <w:tcPr>
            <w:tcW w:w="682" w:type="dxa"/>
            <w:vAlign w:val="top"/>
          </w:tcPr>
          <w:p w14:paraId="7937FE42">
            <w:pPr>
              <w:spacing w:line="248" w:lineRule="auto"/>
              <w:rPr>
                <w:rFonts w:ascii="Arial"/>
                <w:sz w:val="21"/>
              </w:rPr>
            </w:pPr>
          </w:p>
          <w:p w14:paraId="54EE079D">
            <w:pPr>
              <w:pStyle w:val="51"/>
              <w:spacing w:before="56" w:line="230" w:lineRule="auto"/>
              <w:ind w:left="267"/>
              <w:rPr>
                <w:sz w:val="17"/>
                <w:szCs w:val="17"/>
              </w:rPr>
            </w:pPr>
            <w:r>
              <w:rPr>
                <w:sz w:val="17"/>
                <w:szCs w:val="17"/>
              </w:rPr>
              <w:t>高</w:t>
            </w:r>
          </w:p>
        </w:tc>
        <w:tc>
          <w:tcPr>
            <w:tcW w:w="8563" w:type="dxa"/>
            <w:vAlign w:val="top"/>
          </w:tcPr>
          <w:p w14:paraId="5084035E">
            <w:pPr>
              <w:pStyle w:val="51"/>
              <w:spacing w:before="156" w:line="312" w:lineRule="auto"/>
              <w:ind w:left="37" w:right="26" w:hanging="11"/>
              <w:rPr>
                <w:sz w:val="17"/>
                <w:szCs w:val="17"/>
              </w:rPr>
            </w:pPr>
            <w:r>
              <w:rPr>
                <w:spacing w:val="9"/>
                <w:sz w:val="17"/>
                <w:szCs w:val="17"/>
              </w:rPr>
              <w:t>N-二甲基亚硝胺、亚硝酸盐（以亚硝酸钠计）</w:t>
            </w:r>
            <w:r>
              <w:rPr>
                <w:spacing w:val="-25"/>
                <w:sz w:val="17"/>
                <w:szCs w:val="17"/>
              </w:rPr>
              <w:t xml:space="preserve"> </w:t>
            </w:r>
            <w:r>
              <w:rPr>
                <w:spacing w:val="9"/>
                <w:sz w:val="17"/>
                <w:szCs w:val="17"/>
              </w:rPr>
              <w:t>、苯甲酸及其钠盐（以苯</w:t>
            </w:r>
            <w:r>
              <w:rPr>
                <w:spacing w:val="8"/>
                <w:sz w:val="17"/>
                <w:szCs w:val="17"/>
              </w:rPr>
              <w:t>甲酸计）</w:t>
            </w:r>
            <w:r>
              <w:rPr>
                <w:spacing w:val="-48"/>
                <w:sz w:val="17"/>
                <w:szCs w:val="17"/>
              </w:rPr>
              <w:t xml:space="preserve"> </w:t>
            </w:r>
            <w:r>
              <w:rPr>
                <w:spacing w:val="8"/>
                <w:sz w:val="17"/>
                <w:szCs w:val="17"/>
              </w:rPr>
              <w:t>、山梨酸及其钾盐（以山梨</w:t>
            </w:r>
            <w:r>
              <w:rPr>
                <w:spacing w:val="10"/>
                <w:sz w:val="17"/>
                <w:szCs w:val="17"/>
              </w:rPr>
              <w:t>酸计）、沙门氏菌、金黄色葡萄球菌、单核细胞增生李</w:t>
            </w:r>
            <w:r>
              <w:rPr>
                <w:spacing w:val="9"/>
                <w:sz w:val="17"/>
                <w:szCs w:val="17"/>
              </w:rPr>
              <w:t>斯特氏菌、致泻大肠埃希氏菌</w:t>
            </w:r>
          </w:p>
        </w:tc>
      </w:tr>
      <w:tr w14:paraId="4A8B22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trPr>
        <w:tc>
          <w:tcPr>
            <w:tcW w:w="459" w:type="dxa"/>
            <w:vMerge w:val="continue"/>
            <w:tcBorders>
              <w:top w:val="nil"/>
              <w:bottom w:val="nil"/>
            </w:tcBorders>
            <w:vAlign w:val="top"/>
          </w:tcPr>
          <w:p w14:paraId="4F1E1491">
            <w:pPr>
              <w:rPr>
                <w:rFonts w:ascii="Arial"/>
                <w:sz w:val="21"/>
              </w:rPr>
            </w:pPr>
          </w:p>
        </w:tc>
        <w:tc>
          <w:tcPr>
            <w:tcW w:w="942" w:type="dxa"/>
            <w:vMerge w:val="continue"/>
            <w:tcBorders>
              <w:top w:val="nil"/>
              <w:bottom w:val="nil"/>
            </w:tcBorders>
            <w:vAlign w:val="top"/>
          </w:tcPr>
          <w:p w14:paraId="02AEEC8A">
            <w:pPr>
              <w:rPr>
                <w:rFonts w:ascii="Arial"/>
                <w:sz w:val="21"/>
              </w:rPr>
            </w:pPr>
          </w:p>
        </w:tc>
        <w:tc>
          <w:tcPr>
            <w:tcW w:w="1360" w:type="dxa"/>
            <w:vMerge w:val="continue"/>
            <w:tcBorders>
              <w:top w:val="nil"/>
              <w:bottom w:val="nil"/>
            </w:tcBorders>
            <w:vAlign w:val="top"/>
          </w:tcPr>
          <w:p w14:paraId="4F8D02C4">
            <w:pPr>
              <w:rPr>
                <w:rFonts w:ascii="Arial"/>
                <w:sz w:val="21"/>
              </w:rPr>
            </w:pPr>
          </w:p>
        </w:tc>
        <w:tc>
          <w:tcPr>
            <w:tcW w:w="1581" w:type="dxa"/>
            <w:vAlign w:val="top"/>
          </w:tcPr>
          <w:p w14:paraId="72628543">
            <w:pPr>
              <w:rPr>
                <w:rFonts w:ascii="Arial"/>
                <w:sz w:val="21"/>
              </w:rPr>
            </w:pPr>
          </w:p>
          <w:p w14:paraId="66D86A95">
            <w:pPr>
              <w:rPr>
                <w:rFonts w:ascii="Arial"/>
                <w:sz w:val="21"/>
              </w:rPr>
            </w:pPr>
          </w:p>
          <w:p w14:paraId="30675E0C">
            <w:pPr>
              <w:pStyle w:val="51"/>
              <w:spacing w:before="55" w:line="227" w:lineRule="auto"/>
              <w:ind w:left="354"/>
              <w:rPr>
                <w:sz w:val="17"/>
                <w:szCs w:val="17"/>
              </w:rPr>
            </w:pPr>
            <w:r>
              <w:rPr>
                <w:spacing w:val="6"/>
                <w:sz w:val="17"/>
                <w:szCs w:val="17"/>
              </w:rPr>
              <w:t>熟肉干制品</w:t>
            </w:r>
          </w:p>
        </w:tc>
        <w:tc>
          <w:tcPr>
            <w:tcW w:w="1586" w:type="dxa"/>
            <w:vAlign w:val="top"/>
          </w:tcPr>
          <w:p w14:paraId="4BD2C90C">
            <w:pPr>
              <w:rPr>
                <w:rFonts w:ascii="Arial"/>
                <w:sz w:val="21"/>
              </w:rPr>
            </w:pPr>
          </w:p>
          <w:p w14:paraId="457C93CD">
            <w:pPr>
              <w:rPr>
                <w:rFonts w:ascii="Arial"/>
                <w:sz w:val="21"/>
              </w:rPr>
            </w:pPr>
          </w:p>
          <w:p w14:paraId="67184E54">
            <w:pPr>
              <w:pStyle w:val="51"/>
              <w:spacing w:before="55" w:line="227" w:lineRule="auto"/>
              <w:ind w:left="357"/>
              <w:rPr>
                <w:sz w:val="17"/>
                <w:szCs w:val="17"/>
              </w:rPr>
            </w:pPr>
            <w:r>
              <w:rPr>
                <w:spacing w:val="6"/>
                <w:sz w:val="17"/>
                <w:szCs w:val="17"/>
              </w:rPr>
              <w:t>熟肉干制品</w:t>
            </w:r>
          </w:p>
        </w:tc>
        <w:tc>
          <w:tcPr>
            <w:tcW w:w="682" w:type="dxa"/>
            <w:vAlign w:val="top"/>
          </w:tcPr>
          <w:p w14:paraId="4883D9B2">
            <w:pPr>
              <w:rPr>
                <w:rFonts w:ascii="Arial"/>
                <w:sz w:val="21"/>
              </w:rPr>
            </w:pPr>
          </w:p>
          <w:p w14:paraId="30F9C74E">
            <w:pPr>
              <w:rPr>
                <w:rFonts w:ascii="Arial"/>
                <w:sz w:val="21"/>
              </w:rPr>
            </w:pPr>
          </w:p>
          <w:p w14:paraId="43F92370">
            <w:pPr>
              <w:pStyle w:val="51"/>
              <w:spacing w:before="55" w:line="230" w:lineRule="auto"/>
              <w:ind w:left="267"/>
              <w:rPr>
                <w:sz w:val="17"/>
                <w:szCs w:val="17"/>
              </w:rPr>
            </w:pPr>
            <w:r>
              <w:rPr>
                <w:sz w:val="17"/>
                <w:szCs w:val="17"/>
              </w:rPr>
              <w:t>高</w:t>
            </w:r>
          </w:p>
        </w:tc>
        <w:tc>
          <w:tcPr>
            <w:tcW w:w="8563" w:type="dxa"/>
            <w:vAlign w:val="top"/>
          </w:tcPr>
          <w:p w14:paraId="63016EFF">
            <w:pPr>
              <w:pStyle w:val="51"/>
              <w:spacing w:before="89" w:line="300" w:lineRule="auto"/>
              <w:ind w:left="37" w:right="24"/>
              <w:rPr>
                <w:sz w:val="17"/>
                <w:szCs w:val="17"/>
              </w:rPr>
            </w:pPr>
            <w:r>
              <w:rPr>
                <w:spacing w:val="7"/>
                <w:sz w:val="17"/>
                <w:szCs w:val="17"/>
              </w:rPr>
              <w:t>铅（以</w:t>
            </w:r>
            <w:r>
              <w:rPr>
                <w:sz w:val="17"/>
                <w:szCs w:val="17"/>
              </w:rPr>
              <w:t>Pb</w:t>
            </w:r>
            <w:r>
              <w:rPr>
                <w:spacing w:val="7"/>
                <w:sz w:val="17"/>
                <w:szCs w:val="17"/>
              </w:rPr>
              <w:t>计）</w:t>
            </w:r>
            <w:r>
              <w:rPr>
                <w:spacing w:val="-25"/>
                <w:sz w:val="17"/>
                <w:szCs w:val="17"/>
              </w:rPr>
              <w:t xml:space="preserve"> </w:t>
            </w:r>
            <w:r>
              <w:rPr>
                <w:spacing w:val="7"/>
                <w:sz w:val="17"/>
                <w:szCs w:val="17"/>
              </w:rPr>
              <w:t>、N-二甲基亚硝胺、苯甲酸及其钠盐（以苯甲酸计）</w:t>
            </w:r>
            <w:r>
              <w:rPr>
                <w:spacing w:val="-34"/>
                <w:sz w:val="17"/>
                <w:szCs w:val="17"/>
              </w:rPr>
              <w:t xml:space="preserve"> </w:t>
            </w:r>
            <w:r>
              <w:rPr>
                <w:spacing w:val="7"/>
                <w:sz w:val="17"/>
                <w:szCs w:val="17"/>
              </w:rPr>
              <w:t>、山梨酸及其钾盐（以山梨酸计）</w:t>
            </w:r>
            <w:r>
              <w:rPr>
                <w:spacing w:val="-35"/>
                <w:sz w:val="17"/>
                <w:szCs w:val="17"/>
              </w:rPr>
              <w:t xml:space="preserve"> </w:t>
            </w:r>
            <w:r>
              <w:rPr>
                <w:spacing w:val="7"/>
                <w:sz w:val="17"/>
                <w:szCs w:val="17"/>
              </w:rPr>
              <w:t>、脱氢</w:t>
            </w:r>
            <w:r>
              <w:rPr>
                <w:spacing w:val="10"/>
                <w:sz w:val="17"/>
                <w:szCs w:val="17"/>
              </w:rPr>
              <w:t>乙酸及其钠盐（以脱氢乙酸计）</w:t>
            </w:r>
            <w:r>
              <w:rPr>
                <w:spacing w:val="-34"/>
                <w:sz w:val="17"/>
                <w:szCs w:val="17"/>
              </w:rPr>
              <w:t xml:space="preserve"> </w:t>
            </w:r>
            <w:r>
              <w:rPr>
                <w:spacing w:val="10"/>
                <w:sz w:val="17"/>
                <w:szCs w:val="17"/>
              </w:rPr>
              <w:t>、防腐剂混合使用时各自用量占其最大</w:t>
            </w:r>
            <w:r>
              <w:rPr>
                <w:spacing w:val="9"/>
                <w:sz w:val="17"/>
                <w:szCs w:val="17"/>
              </w:rPr>
              <w:t>使用量的比例之和、合成着色剂（胭</w:t>
            </w:r>
            <w:r>
              <w:rPr>
                <w:spacing w:val="10"/>
                <w:sz w:val="17"/>
                <w:szCs w:val="17"/>
              </w:rPr>
              <w:t>脂红、诱惑红）、氯霉素、菌落总数、大肠菌群、沙门氏菌、金黄色葡萄球菌、单核细胞增生李斯特氏</w:t>
            </w:r>
            <w:r>
              <w:rPr>
                <w:spacing w:val="9"/>
                <w:sz w:val="17"/>
                <w:szCs w:val="17"/>
              </w:rPr>
              <w:t>菌、</w:t>
            </w:r>
            <w:r>
              <w:rPr>
                <w:spacing w:val="8"/>
                <w:sz w:val="17"/>
                <w:szCs w:val="17"/>
              </w:rPr>
              <w:t>致泻大肠埃希氏菌</w:t>
            </w:r>
          </w:p>
        </w:tc>
      </w:tr>
      <w:tr w14:paraId="691ACA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4" w:hRule="atLeast"/>
        </w:trPr>
        <w:tc>
          <w:tcPr>
            <w:tcW w:w="459" w:type="dxa"/>
            <w:vMerge w:val="continue"/>
            <w:tcBorders>
              <w:top w:val="nil"/>
              <w:bottom w:val="nil"/>
            </w:tcBorders>
            <w:vAlign w:val="top"/>
          </w:tcPr>
          <w:p w14:paraId="1D499EBD">
            <w:pPr>
              <w:rPr>
                <w:rFonts w:ascii="Arial"/>
                <w:sz w:val="21"/>
              </w:rPr>
            </w:pPr>
          </w:p>
        </w:tc>
        <w:tc>
          <w:tcPr>
            <w:tcW w:w="942" w:type="dxa"/>
            <w:vMerge w:val="continue"/>
            <w:tcBorders>
              <w:top w:val="nil"/>
              <w:bottom w:val="nil"/>
            </w:tcBorders>
            <w:vAlign w:val="top"/>
          </w:tcPr>
          <w:p w14:paraId="388974DD">
            <w:pPr>
              <w:rPr>
                <w:rFonts w:ascii="Arial"/>
                <w:sz w:val="21"/>
              </w:rPr>
            </w:pPr>
          </w:p>
        </w:tc>
        <w:tc>
          <w:tcPr>
            <w:tcW w:w="1360" w:type="dxa"/>
            <w:vMerge w:val="continue"/>
            <w:tcBorders>
              <w:top w:val="nil"/>
              <w:bottom w:val="nil"/>
            </w:tcBorders>
            <w:vAlign w:val="top"/>
          </w:tcPr>
          <w:p w14:paraId="16F46F19">
            <w:pPr>
              <w:rPr>
                <w:rFonts w:ascii="Arial"/>
                <w:sz w:val="21"/>
              </w:rPr>
            </w:pPr>
          </w:p>
        </w:tc>
        <w:tc>
          <w:tcPr>
            <w:tcW w:w="1581" w:type="dxa"/>
            <w:vAlign w:val="top"/>
          </w:tcPr>
          <w:p w14:paraId="5A87AB12">
            <w:pPr>
              <w:spacing w:line="333" w:lineRule="auto"/>
              <w:rPr>
                <w:rFonts w:ascii="Arial"/>
                <w:sz w:val="21"/>
              </w:rPr>
            </w:pPr>
          </w:p>
          <w:p w14:paraId="51ACFB38">
            <w:pPr>
              <w:pStyle w:val="51"/>
              <w:spacing w:before="55" w:line="227" w:lineRule="auto"/>
              <w:ind w:left="267"/>
              <w:rPr>
                <w:sz w:val="17"/>
                <w:szCs w:val="17"/>
              </w:rPr>
            </w:pPr>
            <w:r>
              <w:rPr>
                <w:spacing w:val="6"/>
                <w:sz w:val="17"/>
                <w:szCs w:val="17"/>
              </w:rPr>
              <w:t>熏烧烤肉制品</w:t>
            </w:r>
          </w:p>
        </w:tc>
        <w:tc>
          <w:tcPr>
            <w:tcW w:w="1586" w:type="dxa"/>
            <w:vAlign w:val="top"/>
          </w:tcPr>
          <w:p w14:paraId="05C26281">
            <w:pPr>
              <w:spacing w:line="333" w:lineRule="auto"/>
              <w:rPr>
                <w:rFonts w:ascii="Arial"/>
                <w:sz w:val="21"/>
              </w:rPr>
            </w:pPr>
          </w:p>
          <w:p w14:paraId="1A097044">
            <w:pPr>
              <w:pStyle w:val="51"/>
              <w:spacing w:before="55" w:line="227" w:lineRule="auto"/>
              <w:ind w:left="270"/>
              <w:rPr>
                <w:sz w:val="17"/>
                <w:szCs w:val="17"/>
              </w:rPr>
            </w:pPr>
            <w:r>
              <w:rPr>
                <w:spacing w:val="6"/>
                <w:sz w:val="17"/>
                <w:szCs w:val="17"/>
              </w:rPr>
              <w:t>熏烧烤肉制品</w:t>
            </w:r>
          </w:p>
        </w:tc>
        <w:tc>
          <w:tcPr>
            <w:tcW w:w="682" w:type="dxa"/>
            <w:vAlign w:val="top"/>
          </w:tcPr>
          <w:p w14:paraId="5EC74564">
            <w:pPr>
              <w:spacing w:line="333" w:lineRule="auto"/>
              <w:rPr>
                <w:rFonts w:ascii="Arial"/>
                <w:sz w:val="21"/>
              </w:rPr>
            </w:pPr>
          </w:p>
          <w:p w14:paraId="62452AAA">
            <w:pPr>
              <w:pStyle w:val="51"/>
              <w:spacing w:before="55" w:line="230" w:lineRule="auto"/>
              <w:ind w:left="267"/>
              <w:rPr>
                <w:sz w:val="17"/>
                <w:szCs w:val="17"/>
              </w:rPr>
            </w:pPr>
            <w:r>
              <w:rPr>
                <w:sz w:val="17"/>
                <w:szCs w:val="17"/>
              </w:rPr>
              <w:t>高</w:t>
            </w:r>
          </w:p>
        </w:tc>
        <w:tc>
          <w:tcPr>
            <w:tcW w:w="8563" w:type="dxa"/>
            <w:vAlign w:val="top"/>
          </w:tcPr>
          <w:p w14:paraId="1ED81941">
            <w:pPr>
              <w:pStyle w:val="51"/>
              <w:spacing w:before="90" w:line="291" w:lineRule="auto"/>
              <w:ind w:left="37" w:right="26" w:firstLine="2"/>
              <w:rPr>
                <w:sz w:val="17"/>
                <w:szCs w:val="17"/>
              </w:rPr>
            </w:pPr>
            <w:r>
              <w:rPr>
                <w:spacing w:val="8"/>
                <w:sz w:val="17"/>
                <w:szCs w:val="17"/>
              </w:rPr>
              <w:t>苯并[a]芘、N-二甲基亚硝胺、亚硝酸盐（以亚硝酸钠计）、苯甲酸及其钠盐（以苯甲酸计）、山梨酸及其钾</w:t>
            </w:r>
            <w:r>
              <w:rPr>
                <w:spacing w:val="10"/>
                <w:sz w:val="17"/>
                <w:szCs w:val="17"/>
              </w:rPr>
              <w:t>盐（以山梨酸计）、纳他霉素、合成着色剂（柠檬黄、日落黄、胭脂红）、氯霉素、菌落总数、大肠菌群、沙门氏菌、金黄色葡萄球菌、单核细胞增生李</w:t>
            </w:r>
            <w:r>
              <w:rPr>
                <w:spacing w:val="9"/>
                <w:sz w:val="17"/>
                <w:szCs w:val="17"/>
              </w:rPr>
              <w:t>斯特氏菌、致泻大肠埃希氏菌</w:t>
            </w:r>
          </w:p>
        </w:tc>
      </w:tr>
      <w:tr w14:paraId="020B01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trPr>
        <w:tc>
          <w:tcPr>
            <w:tcW w:w="459" w:type="dxa"/>
            <w:vMerge w:val="continue"/>
            <w:tcBorders>
              <w:top w:val="nil"/>
            </w:tcBorders>
            <w:vAlign w:val="top"/>
          </w:tcPr>
          <w:p w14:paraId="11DFB7A7">
            <w:pPr>
              <w:rPr>
                <w:rFonts w:ascii="Arial"/>
                <w:sz w:val="21"/>
              </w:rPr>
            </w:pPr>
          </w:p>
        </w:tc>
        <w:tc>
          <w:tcPr>
            <w:tcW w:w="942" w:type="dxa"/>
            <w:vMerge w:val="continue"/>
            <w:tcBorders>
              <w:top w:val="nil"/>
            </w:tcBorders>
            <w:vAlign w:val="top"/>
          </w:tcPr>
          <w:p w14:paraId="45F0C87D">
            <w:pPr>
              <w:rPr>
                <w:rFonts w:ascii="Arial"/>
                <w:sz w:val="21"/>
              </w:rPr>
            </w:pPr>
          </w:p>
        </w:tc>
        <w:tc>
          <w:tcPr>
            <w:tcW w:w="1360" w:type="dxa"/>
            <w:vMerge w:val="continue"/>
            <w:tcBorders>
              <w:top w:val="nil"/>
            </w:tcBorders>
            <w:vAlign w:val="top"/>
          </w:tcPr>
          <w:p w14:paraId="455F30E0">
            <w:pPr>
              <w:rPr>
                <w:rFonts w:ascii="Arial"/>
                <w:sz w:val="21"/>
              </w:rPr>
            </w:pPr>
          </w:p>
        </w:tc>
        <w:tc>
          <w:tcPr>
            <w:tcW w:w="1581" w:type="dxa"/>
            <w:vAlign w:val="top"/>
          </w:tcPr>
          <w:p w14:paraId="2A3AAD37">
            <w:pPr>
              <w:rPr>
                <w:rFonts w:ascii="Arial"/>
                <w:sz w:val="21"/>
              </w:rPr>
            </w:pPr>
          </w:p>
          <w:p w14:paraId="3CDFD243">
            <w:pPr>
              <w:spacing w:line="241" w:lineRule="auto"/>
              <w:rPr>
                <w:rFonts w:ascii="Arial"/>
                <w:sz w:val="21"/>
              </w:rPr>
            </w:pPr>
          </w:p>
          <w:p w14:paraId="752D7FC1">
            <w:pPr>
              <w:pStyle w:val="51"/>
              <w:spacing w:before="56" w:line="227" w:lineRule="auto"/>
              <w:ind w:left="87"/>
              <w:rPr>
                <w:sz w:val="17"/>
                <w:szCs w:val="17"/>
              </w:rPr>
            </w:pPr>
            <w:r>
              <w:rPr>
                <w:spacing w:val="7"/>
                <w:sz w:val="17"/>
                <w:szCs w:val="17"/>
              </w:rPr>
              <w:t>熏煮香肠火腿制品</w:t>
            </w:r>
          </w:p>
        </w:tc>
        <w:tc>
          <w:tcPr>
            <w:tcW w:w="1586" w:type="dxa"/>
            <w:vAlign w:val="top"/>
          </w:tcPr>
          <w:p w14:paraId="23264FD1">
            <w:pPr>
              <w:rPr>
                <w:rFonts w:ascii="Arial"/>
                <w:sz w:val="21"/>
              </w:rPr>
            </w:pPr>
          </w:p>
          <w:p w14:paraId="0D4104DE">
            <w:pPr>
              <w:spacing w:line="241" w:lineRule="auto"/>
              <w:rPr>
                <w:rFonts w:ascii="Arial"/>
                <w:sz w:val="21"/>
              </w:rPr>
            </w:pPr>
          </w:p>
          <w:p w14:paraId="0C70F6D4">
            <w:pPr>
              <w:pStyle w:val="51"/>
              <w:spacing w:before="56" w:line="227" w:lineRule="auto"/>
              <w:ind w:left="90"/>
              <w:rPr>
                <w:sz w:val="17"/>
                <w:szCs w:val="17"/>
              </w:rPr>
            </w:pPr>
            <w:r>
              <w:rPr>
                <w:spacing w:val="7"/>
                <w:sz w:val="17"/>
                <w:szCs w:val="17"/>
              </w:rPr>
              <w:t>熏煮香肠火腿制品</w:t>
            </w:r>
          </w:p>
        </w:tc>
        <w:tc>
          <w:tcPr>
            <w:tcW w:w="682" w:type="dxa"/>
            <w:vAlign w:val="top"/>
          </w:tcPr>
          <w:p w14:paraId="395994BA">
            <w:pPr>
              <w:rPr>
                <w:rFonts w:ascii="Arial"/>
                <w:sz w:val="21"/>
              </w:rPr>
            </w:pPr>
          </w:p>
          <w:p w14:paraId="428EC067">
            <w:pPr>
              <w:spacing w:line="241" w:lineRule="auto"/>
              <w:rPr>
                <w:rFonts w:ascii="Arial"/>
                <w:sz w:val="21"/>
              </w:rPr>
            </w:pPr>
          </w:p>
          <w:p w14:paraId="57C27435">
            <w:pPr>
              <w:pStyle w:val="51"/>
              <w:spacing w:before="55" w:line="230" w:lineRule="auto"/>
              <w:ind w:left="267"/>
              <w:rPr>
                <w:sz w:val="17"/>
                <w:szCs w:val="17"/>
              </w:rPr>
            </w:pPr>
            <w:r>
              <w:rPr>
                <w:sz w:val="17"/>
                <w:szCs w:val="17"/>
              </w:rPr>
              <w:t>高</w:t>
            </w:r>
          </w:p>
        </w:tc>
        <w:tc>
          <w:tcPr>
            <w:tcW w:w="8563" w:type="dxa"/>
            <w:vAlign w:val="top"/>
          </w:tcPr>
          <w:p w14:paraId="25F40435">
            <w:pPr>
              <w:pStyle w:val="51"/>
              <w:spacing w:before="92" w:line="299" w:lineRule="auto"/>
              <w:ind w:left="36" w:firstLine="4"/>
              <w:jc w:val="both"/>
              <w:rPr>
                <w:sz w:val="17"/>
                <w:szCs w:val="17"/>
              </w:rPr>
            </w:pPr>
            <w:r>
              <w:rPr>
                <w:spacing w:val="9"/>
                <w:sz w:val="17"/>
                <w:szCs w:val="17"/>
              </w:rPr>
              <w:t>亚硝酸盐（以亚硝酸钠计）</w:t>
            </w:r>
            <w:r>
              <w:rPr>
                <w:spacing w:val="-27"/>
                <w:sz w:val="17"/>
                <w:szCs w:val="17"/>
              </w:rPr>
              <w:t xml:space="preserve"> </w:t>
            </w:r>
            <w:r>
              <w:rPr>
                <w:spacing w:val="9"/>
                <w:sz w:val="17"/>
                <w:szCs w:val="17"/>
              </w:rPr>
              <w:t>、苯甲酸及其钠盐（以苯甲酸计）、山梨酸及其钾盐（以山梨</w:t>
            </w:r>
            <w:r>
              <w:rPr>
                <w:spacing w:val="8"/>
                <w:sz w:val="17"/>
                <w:szCs w:val="17"/>
              </w:rPr>
              <w:t>酸计）、脱氢乙酸及其钠盐（以脱氢乙酸计）、防腐剂混合使用时各自用</w:t>
            </w:r>
            <w:r>
              <w:rPr>
                <w:spacing w:val="7"/>
                <w:sz w:val="17"/>
                <w:szCs w:val="17"/>
              </w:rPr>
              <w:t>量占其最大使用量的比例之和、合成着色剂（胭脂红、</w:t>
            </w:r>
            <w:r>
              <w:rPr>
                <w:spacing w:val="10"/>
                <w:sz w:val="17"/>
                <w:szCs w:val="17"/>
              </w:rPr>
              <w:t>诱惑红）、氯霉素、菌落总数、大肠菌群、沙门氏菌、金黄色葡萄球菌、单核细胞增生李斯特氏菌、致泻大</w:t>
            </w:r>
            <w:r>
              <w:rPr>
                <w:spacing w:val="7"/>
                <w:sz w:val="17"/>
                <w:szCs w:val="17"/>
              </w:rPr>
              <w:t>肠埃希氏菌</w:t>
            </w:r>
          </w:p>
        </w:tc>
      </w:tr>
      <w:tr w14:paraId="102740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459" w:type="dxa"/>
            <w:vMerge w:val="restart"/>
            <w:tcBorders>
              <w:bottom w:val="nil"/>
            </w:tcBorders>
            <w:vAlign w:val="top"/>
          </w:tcPr>
          <w:p w14:paraId="2D69C2C6">
            <w:pPr>
              <w:spacing w:line="252" w:lineRule="auto"/>
              <w:rPr>
                <w:rFonts w:ascii="Arial"/>
                <w:sz w:val="21"/>
              </w:rPr>
            </w:pPr>
          </w:p>
          <w:p w14:paraId="36967690">
            <w:pPr>
              <w:spacing w:line="252" w:lineRule="auto"/>
              <w:rPr>
                <w:rFonts w:ascii="Arial"/>
                <w:sz w:val="21"/>
              </w:rPr>
            </w:pPr>
          </w:p>
          <w:p w14:paraId="39F7D49C">
            <w:pPr>
              <w:spacing w:line="252" w:lineRule="auto"/>
              <w:rPr>
                <w:rFonts w:ascii="Arial"/>
                <w:sz w:val="21"/>
              </w:rPr>
            </w:pPr>
          </w:p>
          <w:p w14:paraId="766B0A74">
            <w:pPr>
              <w:spacing w:line="253" w:lineRule="auto"/>
              <w:rPr>
                <w:rFonts w:ascii="Arial"/>
                <w:sz w:val="21"/>
              </w:rPr>
            </w:pPr>
          </w:p>
          <w:p w14:paraId="3B6FDFA4">
            <w:pPr>
              <w:pStyle w:val="51"/>
              <w:spacing w:before="55" w:line="227" w:lineRule="exact"/>
              <w:ind w:left="192"/>
              <w:rPr>
                <w:sz w:val="17"/>
                <w:szCs w:val="17"/>
              </w:rPr>
            </w:pPr>
            <w:r>
              <w:rPr>
                <w:position w:val="1"/>
                <w:sz w:val="17"/>
                <w:szCs w:val="17"/>
              </w:rPr>
              <w:t>5</w:t>
            </w:r>
          </w:p>
        </w:tc>
        <w:tc>
          <w:tcPr>
            <w:tcW w:w="942" w:type="dxa"/>
            <w:vMerge w:val="restart"/>
            <w:tcBorders>
              <w:bottom w:val="nil"/>
            </w:tcBorders>
            <w:vAlign w:val="top"/>
          </w:tcPr>
          <w:p w14:paraId="544A169F">
            <w:pPr>
              <w:spacing w:line="252" w:lineRule="auto"/>
              <w:rPr>
                <w:rFonts w:ascii="Arial"/>
                <w:sz w:val="21"/>
              </w:rPr>
            </w:pPr>
          </w:p>
          <w:p w14:paraId="5AE9ED70">
            <w:pPr>
              <w:spacing w:line="252" w:lineRule="auto"/>
              <w:rPr>
                <w:rFonts w:ascii="Arial"/>
                <w:sz w:val="21"/>
              </w:rPr>
            </w:pPr>
          </w:p>
          <w:p w14:paraId="29451F08">
            <w:pPr>
              <w:spacing w:line="252" w:lineRule="auto"/>
              <w:rPr>
                <w:rFonts w:ascii="Arial"/>
                <w:sz w:val="21"/>
              </w:rPr>
            </w:pPr>
          </w:p>
          <w:p w14:paraId="16568F56">
            <w:pPr>
              <w:spacing w:line="253" w:lineRule="auto"/>
              <w:rPr>
                <w:rFonts w:ascii="Arial"/>
                <w:sz w:val="21"/>
              </w:rPr>
            </w:pPr>
          </w:p>
          <w:p w14:paraId="05FF970F">
            <w:pPr>
              <w:pStyle w:val="51"/>
              <w:spacing w:before="55" w:line="227" w:lineRule="auto"/>
              <w:ind w:left="210"/>
              <w:rPr>
                <w:sz w:val="17"/>
                <w:szCs w:val="17"/>
              </w:rPr>
            </w:pPr>
            <w:r>
              <w:rPr>
                <w:spacing w:val="5"/>
                <w:sz w:val="17"/>
                <w:szCs w:val="17"/>
              </w:rPr>
              <w:t>乳制品</w:t>
            </w:r>
          </w:p>
        </w:tc>
        <w:tc>
          <w:tcPr>
            <w:tcW w:w="1360" w:type="dxa"/>
            <w:vMerge w:val="restart"/>
            <w:tcBorders>
              <w:bottom w:val="nil"/>
            </w:tcBorders>
            <w:vAlign w:val="top"/>
          </w:tcPr>
          <w:p w14:paraId="56E35FBF">
            <w:pPr>
              <w:spacing w:line="252" w:lineRule="auto"/>
              <w:rPr>
                <w:rFonts w:ascii="Arial"/>
                <w:sz w:val="21"/>
              </w:rPr>
            </w:pPr>
          </w:p>
          <w:p w14:paraId="00E1810A">
            <w:pPr>
              <w:spacing w:line="252" w:lineRule="auto"/>
              <w:rPr>
                <w:rFonts w:ascii="Arial"/>
                <w:sz w:val="21"/>
              </w:rPr>
            </w:pPr>
          </w:p>
          <w:p w14:paraId="46187191">
            <w:pPr>
              <w:spacing w:line="252" w:lineRule="auto"/>
              <w:rPr>
                <w:rFonts w:ascii="Arial"/>
                <w:sz w:val="21"/>
              </w:rPr>
            </w:pPr>
          </w:p>
          <w:p w14:paraId="622A2984">
            <w:pPr>
              <w:spacing w:line="253" w:lineRule="auto"/>
              <w:rPr>
                <w:rFonts w:ascii="Arial"/>
                <w:sz w:val="21"/>
              </w:rPr>
            </w:pPr>
          </w:p>
          <w:p w14:paraId="37D66057">
            <w:pPr>
              <w:pStyle w:val="51"/>
              <w:spacing w:before="55" w:line="227" w:lineRule="auto"/>
              <w:ind w:left="417"/>
              <w:rPr>
                <w:sz w:val="17"/>
                <w:szCs w:val="17"/>
              </w:rPr>
            </w:pPr>
            <w:r>
              <w:rPr>
                <w:spacing w:val="5"/>
                <w:sz w:val="17"/>
                <w:szCs w:val="17"/>
              </w:rPr>
              <w:t>乳制品</w:t>
            </w:r>
          </w:p>
        </w:tc>
        <w:tc>
          <w:tcPr>
            <w:tcW w:w="1581" w:type="dxa"/>
            <w:vMerge w:val="restart"/>
            <w:tcBorders>
              <w:bottom w:val="nil"/>
            </w:tcBorders>
            <w:vAlign w:val="top"/>
          </w:tcPr>
          <w:p w14:paraId="20B146F0">
            <w:pPr>
              <w:spacing w:line="252" w:lineRule="auto"/>
              <w:rPr>
                <w:rFonts w:ascii="Arial"/>
                <w:sz w:val="21"/>
              </w:rPr>
            </w:pPr>
          </w:p>
          <w:p w14:paraId="5223C3F8">
            <w:pPr>
              <w:spacing w:line="252" w:lineRule="auto"/>
              <w:rPr>
                <w:rFonts w:ascii="Arial"/>
                <w:sz w:val="21"/>
              </w:rPr>
            </w:pPr>
          </w:p>
          <w:p w14:paraId="68C4FD09">
            <w:pPr>
              <w:spacing w:line="252" w:lineRule="auto"/>
              <w:rPr>
                <w:rFonts w:ascii="Arial"/>
                <w:sz w:val="21"/>
              </w:rPr>
            </w:pPr>
          </w:p>
          <w:p w14:paraId="22ED2B76">
            <w:pPr>
              <w:spacing w:line="253" w:lineRule="auto"/>
              <w:rPr>
                <w:rFonts w:ascii="Arial"/>
                <w:sz w:val="21"/>
              </w:rPr>
            </w:pPr>
          </w:p>
          <w:p w14:paraId="2297795A">
            <w:pPr>
              <w:pStyle w:val="51"/>
              <w:spacing w:before="55" w:line="228" w:lineRule="auto"/>
              <w:ind w:left="529"/>
              <w:rPr>
                <w:sz w:val="17"/>
                <w:szCs w:val="17"/>
              </w:rPr>
            </w:pPr>
            <w:r>
              <w:rPr>
                <w:spacing w:val="5"/>
                <w:sz w:val="17"/>
                <w:szCs w:val="17"/>
              </w:rPr>
              <w:t>液体乳</w:t>
            </w:r>
          </w:p>
        </w:tc>
        <w:tc>
          <w:tcPr>
            <w:tcW w:w="1586" w:type="dxa"/>
            <w:vAlign w:val="top"/>
          </w:tcPr>
          <w:p w14:paraId="7F4029AB">
            <w:pPr>
              <w:pStyle w:val="51"/>
              <w:spacing w:before="242" w:line="229" w:lineRule="auto"/>
              <w:ind w:left="375"/>
              <w:rPr>
                <w:sz w:val="17"/>
                <w:szCs w:val="17"/>
              </w:rPr>
            </w:pPr>
            <w:r>
              <w:rPr>
                <w:spacing w:val="2"/>
                <w:sz w:val="17"/>
                <w:szCs w:val="17"/>
              </w:rPr>
              <w:t>巴氏杀菌乳</w:t>
            </w:r>
          </w:p>
        </w:tc>
        <w:tc>
          <w:tcPr>
            <w:tcW w:w="682" w:type="dxa"/>
            <w:vAlign w:val="top"/>
          </w:tcPr>
          <w:p w14:paraId="01894550">
            <w:pPr>
              <w:pStyle w:val="51"/>
              <w:spacing w:before="242" w:line="230" w:lineRule="auto"/>
              <w:ind w:left="267"/>
              <w:rPr>
                <w:sz w:val="17"/>
                <w:szCs w:val="17"/>
              </w:rPr>
            </w:pPr>
            <w:r>
              <w:rPr>
                <w:sz w:val="17"/>
                <w:szCs w:val="17"/>
              </w:rPr>
              <w:t>高</w:t>
            </w:r>
          </w:p>
        </w:tc>
        <w:tc>
          <w:tcPr>
            <w:tcW w:w="8563" w:type="dxa"/>
            <w:vAlign w:val="top"/>
          </w:tcPr>
          <w:p w14:paraId="65CCE03D">
            <w:pPr>
              <w:pStyle w:val="51"/>
              <w:spacing w:before="90" w:line="267" w:lineRule="auto"/>
              <w:ind w:left="56" w:right="26" w:hanging="17"/>
              <w:rPr>
                <w:rFonts w:ascii="Segoe UI" w:hAnsi="Segoe UI" w:eastAsia="Segoe UI" w:cs="Segoe UI"/>
                <w:sz w:val="17"/>
                <w:szCs w:val="17"/>
              </w:rPr>
            </w:pPr>
            <w:r>
              <w:rPr>
                <w:spacing w:val="10"/>
                <w:sz w:val="17"/>
                <w:szCs w:val="17"/>
              </w:rPr>
              <w:t>蛋白质、酸度、三聚氰胺、铅（以</w:t>
            </w:r>
            <w:r>
              <w:rPr>
                <w:sz w:val="17"/>
                <w:szCs w:val="17"/>
              </w:rPr>
              <w:t>Pb</w:t>
            </w:r>
            <w:r>
              <w:rPr>
                <w:spacing w:val="10"/>
                <w:sz w:val="17"/>
                <w:szCs w:val="17"/>
              </w:rPr>
              <w:t>计）</w:t>
            </w:r>
            <w:r>
              <w:rPr>
                <w:spacing w:val="-36"/>
                <w:sz w:val="17"/>
                <w:szCs w:val="17"/>
              </w:rPr>
              <w:t xml:space="preserve"> </w:t>
            </w:r>
            <w:r>
              <w:rPr>
                <w:spacing w:val="10"/>
                <w:sz w:val="17"/>
                <w:szCs w:val="17"/>
              </w:rPr>
              <w:t>、丙二醇、沙门氏菌、金黄色葡萄球菌、菌落</w:t>
            </w:r>
            <w:r>
              <w:rPr>
                <w:spacing w:val="9"/>
                <w:sz w:val="17"/>
                <w:szCs w:val="17"/>
              </w:rPr>
              <w:t>总数、大肠菌群、黄</w:t>
            </w:r>
            <w:r>
              <w:rPr>
                <w:spacing w:val="2"/>
                <w:sz w:val="17"/>
                <w:szCs w:val="17"/>
              </w:rPr>
              <w:t>曲霉毒素M</w:t>
            </w:r>
            <w:r>
              <w:rPr>
                <w:rFonts w:ascii="Segoe UI" w:hAnsi="Segoe UI" w:eastAsia="Segoe UI" w:cs="Segoe UI"/>
                <w:spacing w:val="2"/>
                <w:sz w:val="17"/>
                <w:szCs w:val="17"/>
              </w:rPr>
              <w:t>₁</w:t>
            </w:r>
          </w:p>
        </w:tc>
      </w:tr>
      <w:tr w14:paraId="7D5D1B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59" w:type="dxa"/>
            <w:vMerge w:val="continue"/>
            <w:tcBorders>
              <w:top w:val="nil"/>
              <w:bottom w:val="nil"/>
            </w:tcBorders>
            <w:vAlign w:val="top"/>
          </w:tcPr>
          <w:p w14:paraId="597FD134">
            <w:pPr>
              <w:rPr>
                <w:rFonts w:ascii="Arial"/>
                <w:sz w:val="21"/>
              </w:rPr>
            </w:pPr>
          </w:p>
        </w:tc>
        <w:tc>
          <w:tcPr>
            <w:tcW w:w="942" w:type="dxa"/>
            <w:vMerge w:val="continue"/>
            <w:tcBorders>
              <w:top w:val="nil"/>
              <w:bottom w:val="nil"/>
            </w:tcBorders>
            <w:vAlign w:val="top"/>
          </w:tcPr>
          <w:p w14:paraId="504AFC4F">
            <w:pPr>
              <w:rPr>
                <w:rFonts w:ascii="Arial"/>
                <w:sz w:val="21"/>
              </w:rPr>
            </w:pPr>
          </w:p>
        </w:tc>
        <w:tc>
          <w:tcPr>
            <w:tcW w:w="1360" w:type="dxa"/>
            <w:vMerge w:val="continue"/>
            <w:tcBorders>
              <w:top w:val="nil"/>
              <w:bottom w:val="nil"/>
            </w:tcBorders>
            <w:vAlign w:val="top"/>
          </w:tcPr>
          <w:p w14:paraId="42B8C5EB">
            <w:pPr>
              <w:rPr>
                <w:rFonts w:ascii="Arial"/>
                <w:sz w:val="21"/>
              </w:rPr>
            </w:pPr>
          </w:p>
        </w:tc>
        <w:tc>
          <w:tcPr>
            <w:tcW w:w="1581" w:type="dxa"/>
            <w:vMerge w:val="continue"/>
            <w:tcBorders>
              <w:top w:val="nil"/>
              <w:bottom w:val="nil"/>
            </w:tcBorders>
            <w:vAlign w:val="top"/>
          </w:tcPr>
          <w:p w14:paraId="7E84ED73">
            <w:pPr>
              <w:rPr>
                <w:rFonts w:ascii="Arial"/>
                <w:sz w:val="21"/>
              </w:rPr>
            </w:pPr>
          </w:p>
        </w:tc>
        <w:tc>
          <w:tcPr>
            <w:tcW w:w="1586" w:type="dxa"/>
            <w:vAlign w:val="top"/>
          </w:tcPr>
          <w:p w14:paraId="468E00D8">
            <w:pPr>
              <w:pStyle w:val="51"/>
              <w:spacing w:before="112" w:line="229" w:lineRule="auto"/>
              <w:ind w:left="532"/>
              <w:rPr>
                <w:sz w:val="17"/>
                <w:szCs w:val="17"/>
              </w:rPr>
            </w:pPr>
            <w:r>
              <w:rPr>
                <w:spacing w:val="5"/>
                <w:sz w:val="17"/>
                <w:szCs w:val="17"/>
              </w:rPr>
              <w:t>灭菌乳</w:t>
            </w:r>
          </w:p>
        </w:tc>
        <w:tc>
          <w:tcPr>
            <w:tcW w:w="682" w:type="dxa"/>
            <w:vAlign w:val="top"/>
          </w:tcPr>
          <w:p w14:paraId="68FE1C77">
            <w:pPr>
              <w:pStyle w:val="51"/>
              <w:spacing w:before="112" w:line="230" w:lineRule="auto"/>
              <w:ind w:left="267"/>
              <w:rPr>
                <w:sz w:val="17"/>
                <w:szCs w:val="17"/>
              </w:rPr>
            </w:pPr>
            <w:r>
              <w:rPr>
                <w:sz w:val="17"/>
                <w:szCs w:val="17"/>
              </w:rPr>
              <w:t>高</w:t>
            </w:r>
          </w:p>
        </w:tc>
        <w:tc>
          <w:tcPr>
            <w:tcW w:w="8563" w:type="dxa"/>
            <w:vAlign w:val="top"/>
          </w:tcPr>
          <w:p w14:paraId="6AB37A47">
            <w:pPr>
              <w:pStyle w:val="51"/>
              <w:spacing w:before="112" w:line="214" w:lineRule="auto"/>
              <w:ind w:left="39"/>
              <w:rPr>
                <w:rFonts w:ascii="Segoe UI" w:hAnsi="Segoe UI" w:eastAsia="Segoe UI" w:cs="Segoe UI"/>
                <w:sz w:val="17"/>
                <w:szCs w:val="17"/>
              </w:rPr>
            </w:pPr>
            <w:r>
              <w:rPr>
                <w:spacing w:val="10"/>
                <w:sz w:val="17"/>
                <w:szCs w:val="17"/>
              </w:rPr>
              <w:t>蛋白质、非脂乳固体、酸度、脂肪、三聚氰胺、铅（以</w:t>
            </w:r>
            <w:r>
              <w:rPr>
                <w:sz w:val="17"/>
                <w:szCs w:val="17"/>
              </w:rPr>
              <w:t>Pb</w:t>
            </w:r>
            <w:r>
              <w:rPr>
                <w:spacing w:val="10"/>
                <w:sz w:val="17"/>
                <w:szCs w:val="17"/>
              </w:rPr>
              <w:t>计</w:t>
            </w:r>
            <w:r>
              <w:rPr>
                <w:spacing w:val="9"/>
                <w:sz w:val="17"/>
                <w:szCs w:val="17"/>
              </w:rPr>
              <w:t>）、丙二醇、商业无菌、黄曲霉毒素M</w:t>
            </w:r>
            <w:r>
              <w:rPr>
                <w:rFonts w:ascii="Segoe UI" w:hAnsi="Segoe UI" w:eastAsia="Segoe UI" w:cs="Segoe UI"/>
                <w:spacing w:val="9"/>
                <w:sz w:val="17"/>
                <w:szCs w:val="17"/>
              </w:rPr>
              <w:t>₁</w:t>
            </w:r>
          </w:p>
        </w:tc>
      </w:tr>
      <w:tr w14:paraId="276623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59" w:type="dxa"/>
            <w:vMerge w:val="continue"/>
            <w:tcBorders>
              <w:top w:val="nil"/>
              <w:bottom w:val="nil"/>
            </w:tcBorders>
            <w:vAlign w:val="top"/>
          </w:tcPr>
          <w:p w14:paraId="232C554C">
            <w:pPr>
              <w:rPr>
                <w:rFonts w:ascii="Arial"/>
                <w:sz w:val="21"/>
              </w:rPr>
            </w:pPr>
          </w:p>
        </w:tc>
        <w:tc>
          <w:tcPr>
            <w:tcW w:w="942" w:type="dxa"/>
            <w:vMerge w:val="continue"/>
            <w:tcBorders>
              <w:top w:val="nil"/>
              <w:bottom w:val="nil"/>
            </w:tcBorders>
            <w:vAlign w:val="top"/>
          </w:tcPr>
          <w:p w14:paraId="4A1DFD0D">
            <w:pPr>
              <w:rPr>
                <w:rFonts w:ascii="Arial"/>
                <w:sz w:val="21"/>
              </w:rPr>
            </w:pPr>
          </w:p>
        </w:tc>
        <w:tc>
          <w:tcPr>
            <w:tcW w:w="1360" w:type="dxa"/>
            <w:vMerge w:val="continue"/>
            <w:tcBorders>
              <w:top w:val="nil"/>
              <w:bottom w:val="nil"/>
            </w:tcBorders>
            <w:vAlign w:val="top"/>
          </w:tcPr>
          <w:p w14:paraId="35FB0F7A">
            <w:pPr>
              <w:rPr>
                <w:rFonts w:ascii="Arial"/>
                <w:sz w:val="21"/>
              </w:rPr>
            </w:pPr>
          </w:p>
        </w:tc>
        <w:tc>
          <w:tcPr>
            <w:tcW w:w="1581" w:type="dxa"/>
            <w:vMerge w:val="continue"/>
            <w:tcBorders>
              <w:top w:val="nil"/>
              <w:bottom w:val="nil"/>
            </w:tcBorders>
            <w:vAlign w:val="top"/>
          </w:tcPr>
          <w:p w14:paraId="72B9FEE0">
            <w:pPr>
              <w:rPr>
                <w:rFonts w:ascii="Arial"/>
                <w:sz w:val="21"/>
              </w:rPr>
            </w:pPr>
          </w:p>
        </w:tc>
        <w:tc>
          <w:tcPr>
            <w:tcW w:w="1586" w:type="dxa"/>
            <w:vAlign w:val="top"/>
          </w:tcPr>
          <w:p w14:paraId="7F21804E">
            <w:pPr>
              <w:pStyle w:val="51"/>
              <w:spacing w:before="110" w:line="229" w:lineRule="auto"/>
              <w:ind w:left="357"/>
              <w:rPr>
                <w:sz w:val="17"/>
                <w:szCs w:val="17"/>
              </w:rPr>
            </w:pPr>
            <w:r>
              <w:rPr>
                <w:spacing w:val="6"/>
                <w:sz w:val="17"/>
                <w:szCs w:val="17"/>
              </w:rPr>
              <w:t>高温杀菌乳</w:t>
            </w:r>
          </w:p>
        </w:tc>
        <w:tc>
          <w:tcPr>
            <w:tcW w:w="682" w:type="dxa"/>
            <w:vAlign w:val="top"/>
          </w:tcPr>
          <w:p w14:paraId="6D50ED7B">
            <w:pPr>
              <w:pStyle w:val="51"/>
              <w:spacing w:before="110" w:line="230" w:lineRule="auto"/>
              <w:ind w:left="267"/>
              <w:rPr>
                <w:sz w:val="17"/>
                <w:szCs w:val="17"/>
              </w:rPr>
            </w:pPr>
            <w:r>
              <w:rPr>
                <w:sz w:val="17"/>
                <w:szCs w:val="17"/>
              </w:rPr>
              <w:t>高</w:t>
            </w:r>
          </w:p>
        </w:tc>
        <w:tc>
          <w:tcPr>
            <w:tcW w:w="8563" w:type="dxa"/>
            <w:vAlign w:val="top"/>
          </w:tcPr>
          <w:p w14:paraId="67D52D2B">
            <w:pPr>
              <w:pStyle w:val="51"/>
              <w:spacing w:before="110" w:line="214" w:lineRule="auto"/>
              <w:ind w:left="39"/>
              <w:rPr>
                <w:rFonts w:ascii="Segoe UI" w:hAnsi="Segoe UI" w:eastAsia="Segoe UI" w:cs="Segoe UI"/>
                <w:sz w:val="17"/>
                <w:szCs w:val="17"/>
              </w:rPr>
            </w:pPr>
            <w:r>
              <w:rPr>
                <w:spacing w:val="9"/>
                <w:sz w:val="17"/>
                <w:szCs w:val="17"/>
              </w:rPr>
              <w:t>蛋白质、酸度、三聚氰胺、铅（以</w:t>
            </w:r>
            <w:r>
              <w:rPr>
                <w:sz w:val="17"/>
                <w:szCs w:val="17"/>
              </w:rPr>
              <w:t>Pb</w:t>
            </w:r>
            <w:r>
              <w:rPr>
                <w:spacing w:val="9"/>
                <w:sz w:val="17"/>
                <w:szCs w:val="17"/>
              </w:rPr>
              <w:t>计）、</w:t>
            </w:r>
            <w:r>
              <w:rPr>
                <w:spacing w:val="-39"/>
                <w:sz w:val="17"/>
                <w:szCs w:val="17"/>
              </w:rPr>
              <w:t xml:space="preserve"> </w:t>
            </w:r>
            <w:r>
              <w:rPr>
                <w:spacing w:val="9"/>
                <w:sz w:val="17"/>
                <w:szCs w:val="17"/>
              </w:rPr>
              <w:t>沙门氏菌、菌</w:t>
            </w:r>
            <w:r>
              <w:rPr>
                <w:spacing w:val="8"/>
                <w:sz w:val="17"/>
                <w:szCs w:val="17"/>
              </w:rPr>
              <w:t>落总数、大肠菌群、丙二醇、黄曲霉毒素M</w:t>
            </w:r>
            <w:r>
              <w:rPr>
                <w:rFonts w:ascii="Segoe UI" w:hAnsi="Segoe UI" w:eastAsia="Segoe UI" w:cs="Segoe UI"/>
                <w:spacing w:val="8"/>
                <w:sz w:val="17"/>
                <w:szCs w:val="17"/>
              </w:rPr>
              <w:t>₁</w:t>
            </w:r>
          </w:p>
        </w:tc>
      </w:tr>
      <w:tr w14:paraId="2CC94A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459" w:type="dxa"/>
            <w:vMerge w:val="continue"/>
            <w:tcBorders>
              <w:top w:val="nil"/>
              <w:bottom w:val="nil"/>
            </w:tcBorders>
            <w:vAlign w:val="top"/>
          </w:tcPr>
          <w:p w14:paraId="51274460">
            <w:pPr>
              <w:rPr>
                <w:rFonts w:ascii="Arial"/>
                <w:sz w:val="21"/>
              </w:rPr>
            </w:pPr>
          </w:p>
        </w:tc>
        <w:tc>
          <w:tcPr>
            <w:tcW w:w="942" w:type="dxa"/>
            <w:vMerge w:val="continue"/>
            <w:tcBorders>
              <w:top w:val="nil"/>
              <w:bottom w:val="nil"/>
            </w:tcBorders>
            <w:vAlign w:val="top"/>
          </w:tcPr>
          <w:p w14:paraId="2BA76601">
            <w:pPr>
              <w:rPr>
                <w:rFonts w:ascii="Arial"/>
                <w:sz w:val="21"/>
              </w:rPr>
            </w:pPr>
          </w:p>
        </w:tc>
        <w:tc>
          <w:tcPr>
            <w:tcW w:w="1360" w:type="dxa"/>
            <w:vMerge w:val="continue"/>
            <w:tcBorders>
              <w:top w:val="nil"/>
              <w:bottom w:val="nil"/>
            </w:tcBorders>
            <w:vAlign w:val="top"/>
          </w:tcPr>
          <w:p w14:paraId="16588EFC">
            <w:pPr>
              <w:rPr>
                <w:rFonts w:ascii="Arial"/>
                <w:sz w:val="21"/>
              </w:rPr>
            </w:pPr>
          </w:p>
        </w:tc>
        <w:tc>
          <w:tcPr>
            <w:tcW w:w="1581" w:type="dxa"/>
            <w:vMerge w:val="continue"/>
            <w:tcBorders>
              <w:top w:val="nil"/>
              <w:bottom w:val="nil"/>
            </w:tcBorders>
            <w:vAlign w:val="top"/>
          </w:tcPr>
          <w:p w14:paraId="63C248C4">
            <w:pPr>
              <w:rPr>
                <w:rFonts w:ascii="Arial"/>
                <w:sz w:val="21"/>
              </w:rPr>
            </w:pPr>
          </w:p>
        </w:tc>
        <w:tc>
          <w:tcPr>
            <w:tcW w:w="1586" w:type="dxa"/>
            <w:vAlign w:val="top"/>
          </w:tcPr>
          <w:p w14:paraId="43EF30F8">
            <w:pPr>
              <w:pStyle w:val="51"/>
              <w:spacing w:before="241" w:line="229" w:lineRule="auto"/>
              <w:ind w:left="537"/>
              <w:rPr>
                <w:sz w:val="17"/>
                <w:szCs w:val="17"/>
              </w:rPr>
            </w:pPr>
            <w:r>
              <w:rPr>
                <w:spacing w:val="4"/>
                <w:sz w:val="17"/>
                <w:szCs w:val="17"/>
              </w:rPr>
              <w:t>发酵乳</w:t>
            </w:r>
          </w:p>
        </w:tc>
        <w:tc>
          <w:tcPr>
            <w:tcW w:w="682" w:type="dxa"/>
            <w:vAlign w:val="top"/>
          </w:tcPr>
          <w:p w14:paraId="27196517">
            <w:pPr>
              <w:pStyle w:val="51"/>
              <w:spacing w:before="240" w:line="230" w:lineRule="auto"/>
              <w:ind w:left="267"/>
              <w:rPr>
                <w:sz w:val="17"/>
                <w:szCs w:val="17"/>
              </w:rPr>
            </w:pPr>
            <w:r>
              <w:rPr>
                <w:sz w:val="17"/>
                <w:szCs w:val="17"/>
              </w:rPr>
              <w:t>高</w:t>
            </w:r>
          </w:p>
        </w:tc>
        <w:tc>
          <w:tcPr>
            <w:tcW w:w="8563" w:type="dxa"/>
            <w:vAlign w:val="top"/>
          </w:tcPr>
          <w:p w14:paraId="1E33160C">
            <w:pPr>
              <w:pStyle w:val="51"/>
              <w:spacing w:before="92" w:line="266" w:lineRule="auto"/>
              <w:ind w:left="41" w:right="26" w:hanging="4"/>
              <w:rPr>
                <w:rFonts w:ascii="Segoe UI" w:hAnsi="Segoe UI" w:eastAsia="Segoe UI" w:cs="Segoe UI"/>
                <w:sz w:val="17"/>
                <w:szCs w:val="17"/>
              </w:rPr>
            </w:pPr>
            <w:r>
              <w:rPr>
                <w:spacing w:val="10"/>
                <w:sz w:val="17"/>
                <w:szCs w:val="17"/>
              </w:rPr>
              <w:t>脂肪、蛋白质、酸度、三聚氰胺、铅（以</w:t>
            </w:r>
            <w:r>
              <w:rPr>
                <w:sz w:val="17"/>
                <w:szCs w:val="17"/>
              </w:rPr>
              <w:t>Pb</w:t>
            </w:r>
            <w:r>
              <w:rPr>
                <w:spacing w:val="10"/>
                <w:sz w:val="17"/>
                <w:szCs w:val="17"/>
              </w:rPr>
              <w:t>计）、山梨酸及其钾盐（以山梨酸计）、</w:t>
            </w:r>
            <w:r>
              <w:rPr>
                <w:spacing w:val="-42"/>
                <w:sz w:val="17"/>
                <w:szCs w:val="17"/>
              </w:rPr>
              <w:t xml:space="preserve"> </w:t>
            </w:r>
            <w:r>
              <w:rPr>
                <w:spacing w:val="10"/>
                <w:sz w:val="17"/>
                <w:szCs w:val="17"/>
              </w:rPr>
              <w:t>甜蜜素（以环已基氨基</w:t>
            </w:r>
            <w:r>
              <w:rPr>
                <w:spacing w:val="6"/>
                <w:sz w:val="17"/>
                <w:szCs w:val="17"/>
              </w:rPr>
              <w:t>磺酸计）、</w:t>
            </w:r>
            <w:r>
              <w:rPr>
                <w:spacing w:val="-38"/>
                <w:sz w:val="17"/>
                <w:szCs w:val="17"/>
              </w:rPr>
              <w:t xml:space="preserve"> </w:t>
            </w:r>
            <w:r>
              <w:rPr>
                <w:spacing w:val="6"/>
                <w:sz w:val="17"/>
                <w:szCs w:val="17"/>
              </w:rPr>
              <w:t>阿斯巴甜、安赛蜜、 金黄色葡萄球菌、沙门氏菌、大肠菌群、霉菌、黄曲霉毒素M</w:t>
            </w:r>
            <w:r>
              <w:rPr>
                <w:rFonts w:ascii="Segoe UI" w:hAnsi="Segoe UI" w:eastAsia="Segoe UI" w:cs="Segoe UI"/>
                <w:spacing w:val="6"/>
                <w:sz w:val="17"/>
                <w:szCs w:val="17"/>
              </w:rPr>
              <w:t>₁</w:t>
            </w:r>
          </w:p>
        </w:tc>
      </w:tr>
      <w:tr w14:paraId="3293B5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8" w:hRule="atLeast"/>
        </w:trPr>
        <w:tc>
          <w:tcPr>
            <w:tcW w:w="459" w:type="dxa"/>
            <w:vMerge w:val="continue"/>
            <w:tcBorders>
              <w:top w:val="nil"/>
            </w:tcBorders>
            <w:vAlign w:val="top"/>
          </w:tcPr>
          <w:p w14:paraId="007C7DEE">
            <w:pPr>
              <w:rPr>
                <w:rFonts w:ascii="Arial"/>
                <w:sz w:val="21"/>
              </w:rPr>
            </w:pPr>
          </w:p>
        </w:tc>
        <w:tc>
          <w:tcPr>
            <w:tcW w:w="942" w:type="dxa"/>
            <w:vMerge w:val="continue"/>
            <w:tcBorders>
              <w:top w:val="nil"/>
            </w:tcBorders>
            <w:vAlign w:val="top"/>
          </w:tcPr>
          <w:p w14:paraId="690F42F1">
            <w:pPr>
              <w:rPr>
                <w:rFonts w:ascii="Arial"/>
                <w:sz w:val="21"/>
              </w:rPr>
            </w:pPr>
          </w:p>
        </w:tc>
        <w:tc>
          <w:tcPr>
            <w:tcW w:w="1360" w:type="dxa"/>
            <w:vMerge w:val="continue"/>
            <w:tcBorders>
              <w:top w:val="nil"/>
            </w:tcBorders>
            <w:vAlign w:val="top"/>
          </w:tcPr>
          <w:p w14:paraId="4956D76C">
            <w:pPr>
              <w:rPr>
                <w:rFonts w:ascii="Arial"/>
                <w:sz w:val="21"/>
              </w:rPr>
            </w:pPr>
          </w:p>
        </w:tc>
        <w:tc>
          <w:tcPr>
            <w:tcW w:w="1581" w:type="dxa"/>
            <w:vMerge w:val="continue"/>
            <w:tcBorders>
              <w:top w:val="nil"/>
            </w:tcBorders>
            <w:vAlign w:val="top"/>
          </w:tcPr>
          <w:p w14:paraId="07B9A349">
            <w:pPr>
              <w:rPr>
                <w:rFonts w:ascii="Arial"/>
                <w:sz w:val="21"/>
              </w:rPr>
            </w:pPr>
          </w:p>
        </w:tc>
        <w:tc>
          <w:tcPr>
            <w:tcW w:w="1586" w:type="dxa"/>
            <w:vAlign w:val="top"/>
          </w:tcPr>
          <w:p w14:paraId="427861D7">
            <w:pPr>
              <w:pStyle w:val="51"/>
              <w:spacing w:before="110" w:line="227" w:lineRule="auto"/>
              <w:ind w:left="532"/>
              <w:rPr>
                <w:sz w:val="17"/>
                <w:szCs w:val="17"/>
              </w:rPr>
            </w:pPr>
            <w:r>
              <w:rPr>
                <w:spacing w:val="6"/>
                <w:sz w:val="17"/>
                <w:szCs w:val="17"/>
              </w:rPr>
              <w:t>调制乳</w:t>
            </w:r>
          </w:p>
        </w:tc>
        <w:tc>
          <w:tcPr>
            <w:tcW w:w="682" w:type="dxa"/>
            <w:vAlign w:val="top"/>
          </w:tcPr>
          <w:p w14:paraId="574D1295">
            <w:pPr>
              <w:pStyle w:val="51"/>
              <w:spacing w:before="110" w:line="230" w:lineRule="auto"/>
              <w:ind w:left="267"/>
              <w:rPr>
                <w:sz w:val="17"/>
                <w:szCs w:val="17"/>
              </w:rPr>
            </w:pPr>
            <w:r>
              <w:rPr>
                <w:sz w:val="17"/>
                <w:szCs w:val="17"/>
              </w:rPr>
              <w:t>高</w:t>
            </w:r>
          </w:p>
        </w:tc>
        <w:tc>
          <w:tcPr>
            <w:tcW w:w="8563" w:type="dxa"/>
            <w:vAlign w:val="top"/>
          </w:tcPr>
          <w:p w14:paraId="7C150166">
            <w:pPr>
              <w:pStyle w:val="51"/>
              <w:spacing w:before="110" w:line="214" w:lineRule="auto"/>
              <w:ind w:left="39"/>
              <w:rPr>
                <w:rFonts w:ascii="Segoe UI" w:hAnsi="Segoe UI" w:eastAsia="Segoe UI" w:cs="Segoe UI"/>
                <w:sz w:val="17"/>
                <w:szCs w:val="17"/>
              </w:rPr>
            </w:pPr>
            <w:r>
              <w:rPr>
                <w:spacing w:val="10"/>
                <w:sz w:val="17"/>
                <w:szCs w:val="17"/>
              </w:rPr>
              <w:t>蛋白质、三聚氰胺、铅（以</w:t>
            </w:r>
            <w:r>
              <w:rPr>
                <w:sz w:val="17"/>
                <w:szCs w:val="17"/>
              </w:rPr>
              <w:t>Pb</w:t>
            </w:r>
            <w:r>
              <w:rPr>
                <w:spacing w:val="10"/>
                <w:sz w:val="17"/>
                <w:szCs w:val="17"/>
              </w:rPr>
              <w:t>计）、商业无菌</w:t>
            </w:r>
            <w:r>
              <w:rPr>
                <w:spacing w:val="9"/>
                <w:sz w:val="17"/>
                <w:szCs w:val="17"/>
              </w:rPr>
              <w:t>、菌落总数、大肠菌群、黄曲霉毒素M</w:t>
            </w:r>
            <w:r>
              <w:rPr>
                <w:rFonts w:ascii="Segoe UI" w:hAnsi="Segoe UI" w:eastAsia="Segoe UI" w:cs="Segoe UI"/>
                <w:spacing w:val="9"/>
                <w:sz w:val="17"/>
                <w:szCs w:val="17"/>
              </w:rPr>
              <w:t>₁</w:t>
            </w:r>
          </w:p>
        </w:tc>
      </w:tr>
    </w:tbl>
    <w:p w14:paraId="60544C0F">
      <w:pPr>
        <w:rPr>
          <w:rFonts w:ascii="Arial"/>
          <w:sz w:val="21"/>
        </w:rPr>
      </w:pPr>
    </w:p>
    <w:p w14:paraId="41B30E9C">
      <w:pPr>
        <w:rPr>
          <w:rFonts w:ascii="Arial" w:hAnsi="Arial" w:eastAsia="Arial" w:cs="Arial"/>
          <w:sz w:val="21"/>
          <w:szCs w:val="21"/>
        </w:rPr>
        <w:sectPr>
          <w:pgSz w:w="16838" w:h="11906"/>
          <w:pgMar w:top="1011" w:right="829" w:bottom="400" w:left="366" w:header="567" w:footer="567" w:gutter="0"/>
          <w:pgNumType w:fmt="decimal"/>
          <w:cols w:space="720" w:num="1"/>
        </w:sectPr>
      </w:pPr>
    </w:p>
    <w:p w14:paraId="1D88F1B6">
      <w:pPr>
        <w:spacing w:before="18"/>
      </w:pPr>
    </w:p>
    <w:p w14:paraId="2B4DB6B1">
      <w:pPr>
        <w:spacing w:before="18"/>
      </w:pPr>
    </w:p>
    <w:tbl>
      <w:tblPr>
        <w:tblStyle w:val="50"/>
        <w:tblW w:w="15173" w:type="dxa"/>
        <w:tblInd w:w="46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59"/>
        <w:gridCol w:w="942"/>
        <w:gridCol w:w="1360"/>
        <w:gridCol w:w="1581"/>
        <w:gridCol w:w="1586"/>
        <w:gridCol w:w="682"/>
        <w:gridCol w:w="8563"/>
      </w:tblGrid>
      <w:tr w14:paraId="085F2C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459" w:type="dxa"/>
            <w:vAlign w:val="top"/>
          </w:tcPr>
          <w:p w14:paraId="1B4428B2">
            <w:pPr>
              <w:spacing w:before="241" w:line="234" w:lineRule="auto"/>
              <w:ind w:left="52"/>
              <w:rPr>
                <w:rFonts w:ascii="黑体" w:hAnsi="黑体" w:eastAsia="黑体" w:cs="黑体"/>
                <w:sz w:val="17"/>
                <w:szCs w:val="17"/>
              </w:rPr>
            </w:pPr>
            <w:r>
              <w:rPr>
                <w:rFonts w:ascii="黑体" w:hAnsi="黑体" w:eastAsia="黑体" w:cs="黑体"/>
                <w:spacing w:val="6"/>
                <w:sz w:val="17"/>
                <w:szCs w:val="17"/>
              </w:rPr>
              <w:t>序号</w:t>
            </w:r>
          </w:p>
        </w:tc>
        <w:tc>
          <w:tcPr>
            <w:tcW w:w="942" w:type="dxa"/>
            <w:vAlign w:val="top"/>
          </w:tcPr>
          <w:p w14:paraId="1995DBF7">
            <w:pPr>
              <w:spacing w:before="90" w:line="232" w:lineRule="auto"/>
              <w:ind w:left="111"/>
              <w:rPr>
                <w:rFonts w:ascii="黑体" w:hAnsi="黑体" w:eastAsia="黑体" w:cs="黑体"/>
                <w:sz w:val="17"/>
                <w:szCs w:val="17"/>
              </w:rPr>
            </w:pPr>
            <w:r>
              <w:rPr>
                <w:rFonts w:ascii="黑体" w:hAnsi="黑体" w:eastAsia="黑体" w:cs="黑体"/>
                <w:spacing w:val="8"/>
                <w:sz w:val="17"/>
                <w:szCs w:val="17"/>
              </w:rPr>
              <w:t>食品大类</w:t>
            </w:r>
          </w:p>
          <w:p w14:paraId="0C4459BE">
            <w:pPr>
              <w:spacing w:before="86" w:line="227" w:lineRule="auto"/>
              <w:ind w:left="237"/>
              <w:rPr>
                <w:rFonts w:ascii="黑体" w:hAnsi="黑体" w:eastAsia="黑体" w:cs="黑体"/>
                <w:sz w:val="17"/>
                <w:szCs w:val="17"/>
              </w:rPr>
            </w:pPr>
            <w:r>
              <w:rPr>
                <w:rFonts w:ascii="黑体" w:hAnsi="黑体" w:eastAsia="黑体" w:cs="黑体"/>
                <w:spacing w:val="-4"/>
                <w:sz w:val="17"/>
                <w:szCs w:val="17"/>
              </w:rPr>
              <w:t>(一级)</w:t>
            </w:r>
          </w:p>
        </w:tc>
        <w:tc>
          <w:tcPr>
            <w:tcW w:w="1360" w:type="dxa"/>
            <w:vAlign w:val="top"/>
          </w:tcPr>
          <w:p w14:paraId="4A54971C">
            <w:pPr>
              <w:spacing w:before="90" w:line="232" w:lineRule="auto"/>
              <w:ind w:left="321"/>
              <w:rPr>
                <w:rFonts w:ascii="黑体" w:hAnsi="黑体" w:eastAsia="黑体" w:cs="黑体"/>
                <w:sz w:val="17"/>
                <w:szCs w:val="17"/>
              </w:rPr>
            </w:pPr>
            <w:r>
              <w:rPr>
                <w:rFonts w:ascii="黑体" w:hAnsi="黑体" w:eastAsia="黑体" w:cs="黑体"/>
                <w:spacing w:val="8"/>
                <w:sz w:val="17"/>
                <w:szCs w:val="17"/>
              </w:rPr>
              <w:t>食品亚类</w:t>
            </w:r>
          </w:p>
          <w:p w14:paraId="4098D904">
            <w:pPr>
              <w:spacing w:before="86" w:line="227" w:lineRule="auto"/>
              <w:ind w:left="444"/>
              <w:rPr>
                <w:rFonts w:ascii="黑体" w:hAnsi="黑体" w:eastAsia="黑体" w:cs="黑体"/>
                <w:sz w:val="17"/>
                <w:szCs w:val="17"/>
              </w:rPr>
            </w:pPr>
            <w:r>
              <w:rPr>
                <w:rFonts w:ascii="黑体" w:hAnsi="黑体" w:eastAsia="黑体" w:cs="黑体"/>
                <w:spacing w:val="-3"/>
                <w:sz w:val="17"/>
                <w:szCs w:val="17"/>
              </w:rPr>
              <w:t>(二级)</w:t>
            </w:r>
          </w:p>
        </w:tc>
        <w:tc>
          <w:tcPr>
            <w:tcW w:w="1581" w:type="dxa"/>
            <w:vAlign w:val="top"/>
          </w:tcPr>
          <w:p w14:paraId="1E343156">
            <w:pPr>
              <w:spacing w:before="90" w:line="232" w:lineRule="auto"/>
              <w:ind w:left="433"/>
              <w:rPr>
                <w:rFonts w:ascii="黑体" w:hAnsi="黑体" w:eastAsia="黑体" w:cs="黑体"/>
                <w:sz w:val="17"/>
                <w:szCs w:val="17"/>
              </w:rPr>
            </w:pPr>
            <w:r>
              <w:rPr>
                <w:rFonts w:ascii="黑体" w:hAnsi="黑体" w:eastAsia="黑体" w:cs="黑体"/>
                <w:spacing w:val="8"/>
                <w:sz w:val="17"/>
                <w:szCs w:val="17"/>
              </w:rPr>
              <w:t>食品品种</w:t>
            </w:r>
          </w:p>
          <w:p w14:paraId="369B4253">
            <w:pPr>
              <w:spacing w:before="86" w:line="227" w:lineRule="auto"/>
              <w:ind w:left="558"/>
              <w:rPr>
                <w:rFonts w:ascii="黑体" w:hAnsi="黑体" w:eastAsia="黑体" w:cs="黑体"/>
                <w:sz w:val="17"/>
                <w:szCs w:val="17"/>
              </w:rPr>
            </w:pPr>
            <w:r>
              <w:rPr>
                <w:rFonts w:ascii="黑体" w:hAnsi="黑体" w:eastAsia="黑体" w:cs="黑体"/>
                <w:spacing w:val="-4"/>
                <w:sz w:val="17"/>
                <w:szCs w:val="17"/>
              </w:rPr>
              <w:t>(三级)</w:t>
            </w:r>
          </w:p>
        </w:tc>
        <w:tc>
          <w:tcPr>
            <w:tcW w:w="1586" w:type="dxa"/>
            <w:vAlign w:val="top"/>
          </w:tcPr>
          <w:p w14:paraId="3A8425D7">
            <w:pPr>
              <w:spacing w:before="90" w:line="232" w:lineRule="auto"/>
              <w:ind w:left="436"/>
              <w:rPr>
                <w:rFonts w:ascii="黑体" w:hAnsi="黑体" w:eastAsia="黑体" w:cs="黑体"/>
                <w:sz w:val="17"/>
                <w:szCs w:val="17"/>
              </w:rPr>
            </w:pPr>
            <w:r>
              <w:rPr>
                <w:rFonts w:ascii="黑体" w:hAnsi="黑体" w:eastAsia="黑体" w:cs="黑体"/>
                <w:spacing w:val="8"/>
                <w:sz w:val="17"/>
                <w:szCs w:val="17"/>
              </w:rPr>
              <w:t>食品细类</w:t>
            </w:r>
          </w:p>
          <w:p w14:paraId="4ED8B8D4">
            <w:pPr>
              <w:spacing w:before="86" w:line="227" w:lineRule="auto"/>
              <w:ind w:left="561"/>
              <w:rPr>
                <w:rFonts w:ascii="黑体" w:hAnsi="黑体" w:eastAsia="黑体" w:cs="黑体"/>
                <w:sz w:val="17"/>
                <w:szCs w:val="17"/>
              </w:rPr>
            </w:pPr>
            <w:r>
              <w:rPr>
                <w:rFonts w:ascii="黑体" w:hAnsi="黑体" w:eastAsia="黑体" w:cs="黑体"/>
                <w:spacing w:val="-4"/>
                <w:sz w:val="17"/>
                <w:szCs w:val="17"/>
              </w:rPr>
              <w:t>(四级)</w:t>
            </w:r>
          </w:p>
        </w:tc>
        <w:tc>
          <w:tcPr>
            <w:tcW w:w="682" w:type="dxa"/>
            <w:vAlign w:val="top"/>
          </w:tcPr>
          <w:p w14:paraId="745F106D">
            <w:pPr>
              <w:spacing w:before="89" w:line="233" w:lineRule="auto"/>
              <w:ind w:left="166"/>
              <w:rPr>
                <w:rFonts w:ascii="黑体" w:hAnsi="黑体" w:eastAsia="黑体" w:cs="黑体"/>
                <w:sz w:val="17"/>
                <w:szCs w:val="17"/>
              </w:rPr>
            </w:pPr>
            <w:r>
              <w:rPr>
                <w:rFonts w:ascii="黑体" w:hAnsi="黑体" w:eastAsia="黑体" w:cs="黑体"/>
                <w:spacing w:val="6"/>
                <w:sz w:val="17"/>
                <w:szCs w:val="17"/>
              </w:rPr>
              <w:t>风险</w:t>
            </w:r>
          </w:p>
          <w:p w14:paraId="2DB2FA88">
            <w:pPr>
              <w:spacing w:before="85" w:line="227" w:lineRule="auto"/>
              <w:ind w:left="163"/>
              <w:rPr>
                <w:rFonts w:ascii="黑体" w:hAnsi="黑体" w:eastAsia="黑体" w:cs="黑体"/>
                <w:sz w:val="17"/>
                <w:szCs w:val="17"/>
              </w:rPr>
            </w:pPr>
            <w:r>
              <w:rPr>
                <w:rFonts w:ascii="黑体" w:hAnsi="黑体" w:eastAsia="黑体" w:cs="黑体"/>
                <w:spacing w:val="7"/>
                <w:sz w:val="17"/>
                <w:szCs w:val="17"/>
              </w:rPr>
              <w:t>等级</w:t>
            </w:r>
          </w:p>
        </w:tc>
        <w:tc>
          <w:tcPr>
            <w:tcW w:w="8563" w:type="dxa"/>
            <w:vAlign w:val="top"/>
          </w:tcPr>
          <w:p w14:paraId="6A50E3F1">
            <w:pPr>
              <w:spacing w:before="241" w:line="232" w:lineRule="auto"/>
              <w:ind w:left="3744"/>
              <w:rPr>
                <w:rFonts w:ascii="黑体" w:hAnsi="黑体" w:eastAsia="黑体" w:cs="黑体"/>
                <w:sz w:val="17"/>
                <w:szCs w:val="17"/>
              </w:rPr>
            </w:pPr>
            <w:r>
              <w:rPr>
                <w:rFonts w:ascii="黑体" w:hAnsi="黑体" w:eastAsia="黑体" w:cs="黑体"/>
                <w:spacing w:val="8"/>
                <w:sz w:val="17"/>
                <w:szCs w:val="17"/>
              </w:rPr>
              <w:t>监督抽检项目</w:t>
            </w:r>
          </w:p>
        </w:tc>
      </w:tr>
      <w:tr w14:paraId="3C3BAF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4" w:hRule="atLeast"/>
        </w:trPr>
        <w:tc>
          <w:tcPr>
            <w:tcW w:w="459" w:type="dxa"/>
            <w:vMerge w:val="restart"/>
            <w:tcBorders>
              <w:bottom w:val="nil"/>
            </w:tcBorders>
            <w:vAlign w:val="top"/>
          </w:tcPr>
          <w:p w14:paraId="7A6ACA6A">
            <w:pPr>
              <w:rPr>
                <w:rFonts w:ascii="Arial"/>
                <w:sz w:val="21"/>
              </w:rPr>
            </w:pPr>
          </w:p>
        </w:tc>
        <w:tc>
          <w:tcPr>
            <w:tcW w:w="942" w:type="dxa"/>
            <w:vMerge w:val="restart"/>
            <w:tcBorders>
              <w:bottom w:val="nil"/>
            </w:tcBorders>
            <w:vAlign w:val="top"/>
          </w:tcPr>
          <w:p w14:paraId="69FCD0F8">
            <w:pPr>
              <w:rPr>
                <w:rFonts w:ascii="Arial"/>
                <w:sz w:val="21"/>
              </w:rPr>
            </w:pPr>
          </w:p>
        </w:tc>
        <w:tc>
          <w:tcPr>
            <w:tcW w:w="1360" w:type="dxa"/>
            <w:vMerge w:val="restart"/>
            <w:tcBorders>
              <w:bottom w:val="nil"/>
            </w:tcBorders>
            <w:vAlign w:val="top"/>
          </w:tcPr>
          <w:p w14:paraId="24095459">
            <w:pPr>
              <w:rPr>
                <w:rFonts w:ascii="Arial"/>
                <w:sz w:val="21"/>
              </w:rPr>
            </w:pPr>
          </w:p>
        </w:tc>
        <w:tc>
          <w:tcPr>
            <w:tcW w:w="1581" w:type="dxa"/>
            <w:vAlign w:val="top"/>
          </w:tcPr>
          <w:p w14:paraId="2B206D60">
            <w:pPr>
              <w:spacing w:line="328" w:lineRule="auto"/>
              <w:rPr>
                <w:rFonts w:ascii="Arial"/>
                <w:sz w:val="21"/>
              </w:rPr>
            </w:pPr>
          </w:p>
          <w:p w14:paraId="68FB2C46">
            <w:pPr>
              <w:pStyle w:val="51"/>
              <w:spacing w:before="56" w:line="229" w:lineRule="auto"/>
              <w:ind w:left="620"/>
              <w:rPr>
                <w:sz w:val="17"/>
                <w:szCs w:val="17"/>
              </w:rPr>
            </w:pPr>
            <w:r>
              <w:rPr>
                <w:spacing w:val="2"/>
                <w:sz w:val="17"/>
                <w:szCs w:val="17"/>
              </w:rPr>
              <w:t>乳粉</w:t>
            </w:r>
          </w:p>
        </w:tc>
        <w:tc>
          <w:tcPr>
            <w:tcW w:w="1586" w:type="dxa"/>
            <w:vAlign w:val="top"/>
          </w:tcPr>
          <w:p w14:paraId="47E05EB8">
            <w:pPr>
              <w:pStyle w:val="51"/>
              <w:spacing w:before="86" w:line="229" w:lineRule="auto"/>
              <w:jc w:val="right"/>
              <w:rPr>
                <w:sz w:val="17"/>
                <w:szCs w:val="17"/>
              </w:rPr>
            </w:pPr>
            <w:r>
              <w:rPr>
                <w:spacing w:val="1"/>
                <w:sz w:val="17"/>
                <w:szCs w:val="17"/>
              </w:rPr>
              <w:t>乳粉（全脂、脱脂、</w:t>
            </w:r>
          </w:p>
          <w:p w14:paraId="51234FA4">
            <w:pPr>
              <w:pStyle w:val="51"/>
              <w:spacing w:before="89" w:line="227" w:lineRule="auto"/>
              <w:ind w:left="36"/>
              <w:rPr>
                <w:sz w:val="17"/>
                <w:szCs w:val="17"/>
              </w:rPr>
            </w:pPr>
            <w:r>
              <w:rPr>
                <w:spacing w:val="-2"/>
                <w:sz w:val="17"/>
                <w:szCs w:val="17"/>
              </w:rPr>
              <w:t>部分脱脂）和调制乳</w:t>
            </w:r>
          </w:p>
          <w:p w14:paraId="0CC4B6D6">
            <w:pPr>
              <w:pStyle w:val="51"/>
              <w:spacing w:before="91" w:line="225" w:lineRule="auto"/>
              <w:ind w:left="712"/>
              <w:rPr>
                <w:sz w:val="17"/>
                <w:szCs w:val="17"/>
              </w:rPr>
            </w:pPr>
            <w:r>
              <w:rPr>
                <w:sz w:val="17"/>
                <w:szCs w:val="17"/>
              </w:rPr>
              <w:t>粉</w:t>
            </w:r>
          </w:p>
        </w:tc>
        <w:tc>
          <w:tcPr>
            <w:tcW w:w="682" w:type="dxa"/>
            <w:vAlign w:val="top"/>
          </w:tcPr>
          <w:p w14:paraId="7C3A9EC8">
            <w:pPr>
              <w:spacing w:line="329" w:lineRule="auto"/>
              <w:rPr>
                <w:rFonts w:ascii="Arial"/>
                <w:sz w:val="21"/>
              </w:rPr>
            </w:pPr>
          </w:p>
          <w:p w14:paraId="13903A13">
            <w:pPr>
              <w:pStyle w:val="51"/>
              <w:spacing w:before="55" w:line="230" w:lineRule="auto"/>
              <w:ind w:left="267"/>
              <w:rPr>
                <w:sz w:val="17"/>
                <w:szCs w:val="17"/>
              </w:rPr>
            </w:pPr>
            <w:r>
              <w:rPr>
                <w:sz w:val="17"/>
                <w:szCs w:val="17"/>
              </w:rPr>
              <w:t>高</w:t>
            </w:r>
          </w:p>
        </w:tc>
        <w:tc>
          <w:tcPr>
            <w:tcW w:w="8563" w:type="dxa"/>
            <w:vAlign w:val="top"/>
          </w:tcPr>
          <w:p w14:paraId="6B5A9153">
            <w:pPr>
              <w:spacing w:line="329" w:lineRule="auto"/>
              <w:rPr>
                <w:rFonts w:ascii="Arial"/>
                <w:sz w:val="21"/>
              </w:rPr>
            </w:pPr>
          </w:p>
          <w:p w14:paraId="17412323">
            <w:pPr>
              <w:pStyle w:val="51"/>
              <w:spacing w:before="55" w:line="228" w:lineRule="auto"/>
              <w:ind w:left="39"/>
              <w:rPr>
                <w:sz w:val="17"/>
                <w:szCs w:val="17"/>
              </w:rPr>
            </w:pPr>
            <w:r>
              <w:rPr>
                <w:spacing w:val="4"/>
                <w:sz w:val="17"/>
                <w:szCs w:val="17"/>
              </w:rPr>
              <w:t>蛋白质、脂肪、 复原乳酸度、杂质度、水分、</w:t>
            </w:r>
            <w:r>
              <w:rPr>
                <w:spacing w:val="60"/>
                <w:sz w:val="17"/>
                <w:szCs w:val="17"/>
              </w:rPr>
              <w:t xml:space="preserve"> </w:t>
            </w:r>
            <w:r>
              <w:rPr>
                <w:spacing w:val="4"/>
                <w:sz w:val="17"/>
                <w:szCs w:val="17"/>
              </w:rPr>
              <w:t>三聚氰胺、铅（以</w:t>
            </w:r>
            <w:r>
              <w:rPr>
                <w:sz w:val="17"/>
                <w:szCs w:val="17"/>
              </w:rPr>
              <w:t>Pb</w:t>
            </w:r>
            <w:r>
              <w:rPr>
                <w:spacing w:val="4"/>
                <w:sz w:val="17"/>
                <w:szCs w:val="17"/>
              </w:rPr>
              <w:t>计）、菌落总数、大肠菌群</w:t>
            </w:r>
          </w:p>
        </w:tc>
      </w:tr>
      <w:tr w14:paraId="434E45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trPr>
        <w:tc>
          <w:tcPr>
            <w:tcW w:w="459" w:type="dxa"/>
            <w:vMerge w:val="continue"/>
            <w:tcBorders>
              <w:top w:val="nil"/>
              <w:bottom w:val="nil"/>
            </w:tcBorders>
            <w:vAlign w:val="top"/>
          </w:tcPr>
          <w:p w14:paraId="19F50CD5">
            <w:pPr>
              <w:rPr>
                <w:rFonts w:ascii="Arial"/>
                <w:sz w:val="21"/>
              </w:rPr>
            </w:pPr>
          </w:p>
        </w:tc>
        <w:tc>
          <w:tcPr>
            <w:tcW w:w="942" w:type="dxa"/>
            <w:vMerge w:val="continue"/>
            <w:tcBorders>
              <w:top w:val="nil"/>
              <w:bottom w:val="nil"/>
            </w:tcBorders>
            <w:vAlign w:val="top"/>
          </w:tcPr>
          <w:p w14:paraId="3EC9D29D">
            <w:pPr>
              <w:rPr>
                <w:rFonts w:ascii="Arial"/>
                <w:sz w:val="21"/>
              </w:rPr>
            </w:pPr>
          </w:p>
        </w:tc>
        <w:tc>
          <w:tcPr>
            <w:tcW w:w="1360" w:type="dxa"/>
            <w:vMerge w:val="continue"/>
            <w:tcBorders>
              <w:top w:val="nil"/>
              <w:bottom w:val="nil"/>
            </w:tcBorders>
            <w:vAlign w:val="top"/>
          </w:tcPr>
          <w:p w14:paraId="7FCE9CA9">
            <w:pPr>
              <w:rPr>
                <w:rFonts w:ascii="Arial"/>
                <w:sz w:val="21"/>
              </w:rPr>
            </w:pPr>
          </w:p>
        </w:tc>
        <w:tc>
          <w:tcPr>
            <w:tcW w:w="1581" w:type="dxa"/>
            <w:vAlign w:val="top"/>
          </w:tcPr>
          <w:p w14:paraId="5C54DD11">
            <w:pPr>
              <w:spacing w:line="330" w:lineRule="auto"/>
              <w:rPr>
                <w:rFonts w:ascii="Arial"/>
                <w:sz w:val="21"/>
              </w:rPr>
            </w:pPr>
          </w:p>
          <w:p w14:paraId="50995905">
            <w:pPr>
              <w:pStyle w:val="51"/>
              <w:spacing w:before="55" w:line="325" w:lineRule="auto"/>
              <w:ind w:left="258" w:right="69" w:hanging="178"/>
              <w:rPr>
                <w:sz w:val="17"/>
                <w:szCs w:val="17"/>
              </w:rPr>
            </w:pPr>
            <w:r>
              <w:rPr>
                <w:spacing w:val="8"/>
                <w:sz w:val="17"/>
                <w:szCs w:val="17"/>
              </w:rPr>
              <w:t>乳清粉和乳清蛋白</w:t>
            </w:r>
            <w:r>
              <w:rPr>
                <w:spacing w:val="6"/>
                <w:sz w:val="17"/>
                <w:szCs w:val="17"/>
              </w:rPr>
              <w:t>粉(企业原料)</w:t>
            </w:r>
          </w:p>
        </w:tc>
        <w:tc>
          <w:tcPr>
            <w:tcW w:w="1586" w:type="dxa"/>
            <w:vAlign w:val="top"/>
          </w:tcPr>
          <w:p w14:paraId="0C9CFF7B">
            <w:pPr>
              <w:pStyle w:val="51"/>
              <w:spacing w:before="87" w:line="228" w:lineRule="auto"/>
              <w:ind w:left="35"/>
              <w:rPr>
                <w:sz w:val="17"/>
                <w:szCs w:val="17"/>
              </w:rPr>
            </w:pPr>
            <w:r>
              <w:rPr>
                <w:spacing w:val="-2"/>
                <w:sz w:val="17"/>
                <w:szCs w:val="17"/>
              </w:rPr>
              <w:t>脱盐乳清粉、非脱盐</w:t>
            </w:r>
          </w:p>
          <w:p w14:paraId="5FE84CD8">
            <w:pPr>
              <w:pStyle w:val="51"/>
              <w:spacing w:before="90" w:line="227" w:lineRule="auto"/>
              <w:ind w:left="37"/>
              <w:rPr>
                <w:sz w:val="17"/>
                <w:szCs w:val="17"/>
              </w:rPr>
            </w:pPr>
            <w:r>
              <w:rPr>
                <w:spacing w:val="-2"/>
                <w:sz w:val="17"/>
                <w:szCs w:val="17"/>
              </w:rPr>
              <w:t>乳清粉、浓缩乳清蛋</w:t>
            </w:r>
          </w:p>
          <w:p w14:paraId="18C5DC3A">
            <w:pPr>
              <w:pStyle w:val="51"/>
              <w:spacing w:before="90" w:line="228" w:lineRule="auto"/>
              <w:ind w:left="62"/>
              <w:rPr>
                <w:sz w:val="17"/>
                <w:szCs w:val="17"/>
              </w:rPr>
            </w:pPr>
            <w:r>
              <w:rPr>
                <w:spacing w:val="-5"/>
                <w:sz w:val="17"/>
                <w:szCs w:val="17"/>
              </w:rPr>
              <w:t>白粉、分离乳清蛋白</w:t>
            </w:r>
          </w:p>
          <w:p w14:paraId="64867EBE">
            <w:pPr>
              <w:pStyle w:val="51"/>
              <w:spacing w:before="89" w:line="225" w:lineRule="auto"/>
              <w:ind w:left="712"/>
              <w:rPr>
                <w:sz w:val="17"/>
                <w:szCs w:val="17"/>
              </w:rPr>
            </w:pPr>
            <w:r>
              <w:rPr>
                <w:sz w:val="17"/>
                <w:szCs w:val="17"/>
              </w:rPr>
              <w:t>粉</w:t>
            </w:r>
          </w:p>
        </w:tc>
        <w:tc>
          <w:tcPr>
            <w:tcW w:w="682" w:type="dxa"/>
            <w:vAlign w:val="top"/>
          </w:tcPr>
          <w:p w14:paraId="05F6B10A">
            <w:pPr>
              <w:rPr>
                <w:rFonts w:ascii="Arial"/>
                <w:sz w:val="21"/>
              </w:rPr>
            </w:pPr>
          </w:p>
          <w:p w14:paraId="51CD1532">
            <w:pPr>
              <w:rPr>
                <w:rFonts w:ascii="Arial"/>
                <w:sz w:val="21"/>
              </w:rPr>
            </w:pPr>
          </w:p>
          <w:p w14:paraId="07FB454B">
            <w:pPr>
              <w:pStyle w:val="51"/>
              <w:spacing w:before="55" w:line="230" w:lineRule="auto"/>
              <w:ind w:left="267"/>
              <w:rPr>
                <w:sz w:val="17"/>
                <w:szCs w:val="17"/>
              </w:rPr>
            </w:pPr>
            <w:r>
              <w:rPr>
                <w:sz w:val="17"/>
                <w:szCs w:val="17"/>
              </w:rPr>
              <w:t>高</w:t>
            </w:r>
          </w:p>
        </w:tc>
        <w:tc>
          <w:tcPr>
            <w:tcW w:w="8563" w:type="dxa"/>
            <w:vAlign w:val="top"/>
          </w:tcPr>
          <w:p w14:paraId="3A98EC93">
            <w:pPr>
              <w:rPr>
                <w:rFonts w:ascii="Arial"/>
                <w:sz w:val="21"/>
              </w:rPr>
            </w:pPr>
          </w:p>
          <w:p w14:paraId="13E60B31">
            <w:pPr>
              <w:rPr>
                <w:rFonts w:ascii="Arial"/>
                <w:sz w:val="21"/>
              </w:rPr>
            </w:pPr>
          </w:p>
          <w:p w14:paraId="05925C8E">
            <w:pPr>
              <w:pStyle w:val="51"/>
              <w:spacing w:before="55" w:line="228" w:lineRule="auto"/>
              <w:ind w:left="39"/>
              <w:rPr>
                <w:sz w:val="17"/>
                <w:szCs w:val="17"/>
              </w:rPr>
            </w:pPr>
            <w:r>
              <w:rPr>
                <w:spacing w:val="8"/>
                <w:sz w:val="17"/>
                <w:szCs w:val="17"/>
              </w:rPr>
              <w:t>蛋白质、三聚氰胺</w:t>
            </w:r>
          </w:p>
        </w:tc>
      </w:tr>
      <w:tr w14:paraId="624035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5" w:hRule="atLeast"/>
        </w:trPr>
        <w:tc>
          <w:tcPr>
            <w:tcW w:w="459" w:type="dxa"/>
            <w:vMerge w:val="continue"/>
            <w:tcBorders>
              <w:top w:val="nil"/>
              <w:bottom w:val="nil"/>
            </w:tcBorders>
            <w:vAlign w:val="top"/>
          </w:tcPr>
          <w:p w14:paraId="0B737F81">
            <w:pPr>
              <w:rPr>
                <w:rFonts w:ascii="Arial"/>
                <w:sz w:val="21"/>
              </w:rPr>
            </w:pPr>
          </w:p>
        </w:tc>
        <w:tc>
          <w:tcPr>
            <w:tcW w:w="942" w:type="dxa"/>
            <w:vMerge w:val="continue"/>
            <w:tcBorders>
              <w:top w:val="nil"/>
              <w:bottom w:val="nil"/>
            </w:tcBorders>
            <w:vAlign w:val="top"/>
          </w:tcPr>
          <w:p w14:paraId="429601C1">
            <w:pPr>
              <w:rPr>
                <w:rFonts w:ascii="Arial"/>
                <w:sz w:val="21"/>
              </w:rPr>
            </w:pPr>
          </w:p>
        </w:tc>
        <w:tc>
          <w:tcPr>
            <w:tcW w:w="1360" w:type="dxa"/>
            <w:vMerge w:val="continue"/>
            <w:tcBorders>
              <w:top w:val="nil"/>
              <w:bottom w:val="nil"/>
            </w:tcBorders>
            <w:vAlign w:val="top"/>
          </w:tcPr>
          <w:p w14:paraId="2990F8A2">
            <w:pPr>
              <w:rPr>
                <w:rFonts w:ascii="Arial"/>
                <w:sz w:val="21"/>
              </w:rPr>
            </w:pPr>
          </w:p>
        </w:tc>
        <w:tc>
          <w:tcPr>
            <w:tcW w:w="1581" w:type="dxa"/>
            <w:vMerge w:val="restart"/>
            <w:tcBorders>
              <w:bottom w:val="nil"/>
            </w:tcBorders>
            <w:vAlign w:val="top"/>
          </w:tcPr>
          <w:p w14:paraId="618B8272">
            <w:pPr>
              <w:spacing w:line="322" w:lineRule="auto"/>
              <w:rPr>
                <w:rFonts w:ascii="Arial"/>
                <w:sz w:val="21"/>
              </w:rPr>
            </w:pPr>
          </w:p>
          <w:p w14:paraId="2765BE0C">
            <w:pPr>
              <w:spacing w:line="322" w:lineRule="auto"/>
              <w:rPr>
                <w:rFonts w:ascii="Arial"/>
                <w:sz w:val="21"/>
              </w:rPr>
            </w:pPr>
          </w:p>
          <w:p w14:paraId="15DC1D9F">
            <w:pPr>
              <w:pStyle w:val="51"/>
              <w:spacing w:before="55" w:line="327" w:lineRule="auto"/>
              <w:ind w:left="35" w:right="25" w:firstLine="89"/>
              <w:rPr>
                <w:sz w:val="17"/>
                <w:szCs w:val="17"/>
              </w:rPr>
            </w:pPr>
            <w:r>
              <w:rPr>
                <w:spacing w:val="2"/>
                <w:sz w:val="17"/>
                <w:szCs w:val="17"/>
              </w:rPr>
              <w:t>其他乳制品</w:t>
            </w:r>
            <w:r>
              <w:rPr>
                <w:spacing w:val="-42"/>
                <w:sz w:val="17"/>
                <w:szCs w:val="17"/>
              </w:rPr>
              <w:t xml:space="preserve"> </w:t>
            </w:r>
            <w:r>
              <w:rPr>
                <w:spacing w:val="2"/>
                <w:sz w:val="17"/>
                <w:szCs w:val="17"/>
              </w:rPr>
              <w:t>(浓缩</w:t>
            </w:r>
            <w:r>
              <w:rPr>
                <w:spacing w:val="13"/>
                <w:sz w:val="17"/>
                <w:szCs w:val="17"/>
              </w:rPr>
              <w:t>乳制品、奶油、干</w:t>
            </w:r>
            <w:r>
              <w:rPr>
                <w:spacing w:val="3"/>
                <w:sz w:val="17"/>
                <w:szCs w:val="17"/>
              </w:rPr>
              <w:t>酪、</w:t>
            </w:r>
            <w:r>
              <w:rPr>
                <w:spacing w:val="-44"/>
                <w:sz w:val="17"/>
                <w:szCs w:val="17"/>
              </w:rPr>
              <w:t xml:space="preserve"> </w:t>
            </w:r>
            <w:r>
              <w:rPr>
                <w:spacing w:val="3"/>
                <w:sz w:val="17"/>
                <w:szCs w:val="17"/>
              </w:rPr>
              <w:t>固态成型产品)</w:t>
            </w:r>
          </w:p>
        </w:tc>
        <w:tc>
          <w:tcPr>
            <w:tcW w:w="1586" w:type="dxa"/>
            <w:vAlign w:val="top"/>
          </w:tcPr>
          <w:p w14:paraId="303FFE61">
            <w:pPr>
              <w:pStyle w:val="51"/>
              <w:spacing w:before="89" w:line="223" w:lineRule="auto"/>
              <w:ind w:left="355"/>
              <w:rPr>
                <w:sz w:val="17"/>
                <w:szCs w:val="17"/>
              </w:rPr>
            </w:pPr>
            <w:r>
              <w:rPr>
                <w:spacing w:val="6"/>
                <w:sz w:val="17"/>
                <w:szCs w:val="17"/>
              </w:rPr>
              <w:t>浓缩乳制品</w:t>
            </w:r>
          </w:p>
        </w:tc>
        <w:tc>
          <w:tcPr>
            <w:tcW w:w="682" w:type="dxa"/>
            <w:vAlign w:val="top"/>
          </w:tcPr>
          <w:p w14:paraId="104DA1D4">
            <w:pPr>
              <w:pStyle w:val="51"/>
              <w:spacing w:before="89" w:line="223" w:lineRule="auto"/>
              <w:ind w:left="267"/>
              <w:rPr>
                <w:sz w:val="17"/>
                <w:szCs w:val="17"/>
              </w:rPr>
            </w:pPr>
            <w:r>
              <w:rPr>
                <w:sz w:val="17"/>
                <w:szCs w:val="17"/>
              </w:rPr>
              <w:t>高</w:t>
            </w:r>
          </w:p>
        </w:tc>
        <w:tc>
          <w:tcPr>
            <w:tcW w:w="8563" w:type="dxa"/>
            <w:vAlign w:val="top"/>
          </w:tcPr>
          <w:p w14:paraId="7C469CAE">
            <w:pPr>
              <w:pStyle w:val="51"/>
              <w:spacing w:before="89" w:line="223" w:lineRule="auto"/>
              <w:ind w:left="39"/>
              <w:rPr>
                <w:sz w:val="17"/>
                <w:szCs w:val="17"/>
              </w:rPr>
            </w:pPr>
            <w:r>
              <w:rPr>
                <w:spacing w:val="9"/>
                <w:sz w:val="17"/>
                <w:szCs w:val="17"/>
              </w:rPr>
              <w:t>蛋白质、三聚氰胺、商业无菌、菌落总数、大肠菌群</w:t>
            </w:r>
          </w:p>
        </w:tc>
      </w:tr>
      <w:tr w14:paraId="23AB2D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459" w:type="dxa"/>
            <w:vMerge w:val="continue"/>
            <w:tcBorders>
              <w:top w:val="nil"/>
              <w:bottom w:val="nil"/>
            </w:tcBorders>
            <w:vAlign w:val="top"/>
          </w:tcPr>
          <w:p w14:paraId="43ADD153">
            <w:pPr>
              <w:rPr>
                <w:rFonts w:ascii="Arial"/>
                <w:sz w:val="21"/>
              </w:rPr>
            </w:pPr>
          </w:p>
        </w:tc>
        <w:tc>
          <w:tcPr>
            <w:tcW w:w="942" w:type="dxa"/>
            <w:vMerge w:val="continue"/>
            <w:tcBorders>
              <w:top w:val="nil"/>
              <w:bottom w:val="nil"/>
            </w:tcBorders>
            <w:vAlign w:val="top"/>
          </w:tcPr>
          <w:p w14:paraId="1CEDD25C">
            <w:pPr>
              <w:rPr>
                <w:rFonts w:ascii="Arial"/>
                <w:sz w:val="21"/>
              </w:rPr>
            </w:pPr>
          </w:p>
        </w:tc>
        <w:tc>
          <w:tcPr>
            <w:tcW w:w="1360" w:type="dxa"/>
            <w:vMerge w:val="continue"/>
            <w:tcBorders>
              <w:top w:val="nil"/>
              <w:bottom w:val="nil"/>
            </w:tcBorders>
            <w:vAlign w:val="top"/>
          </w:tcPr>
          <w:p w14:paraId="3966BC95">
            <w:pPr>
              <w:rPr>
                <w:rFonts w:ascii="Arial"/>
                <w:sz w:val="21"/>
              </w:rPr>
            </w:pPr>
          </w:p>
        </w:tc>
        <w:tc>
          <w:tcPr>
            <w:tcW w:w="1581" w:type="dxa"/>
            <w:vMerge w:val="continue"/>
            <w:tcBorders>
              <w:top w:val="nil"/>
              <w:bottom w:val="nil"/>
            </w:tcBorders>
            <w:vAlign w:val="top"/>
          </w:tcPr>
          <w:p w14:paraId="545AC1FB">
            <w:pPr>
              <w:rPr>
                <w:rFonts w:ascii="Arial"/>
                <w:sz w:val="21"/>
              </w:rPr>
            </w:pPr>
          </w:p>
        </w:tc>
        <w:tc>
          <w:tcPr>
            <w:tcW w:w="1586" w:type="dxa"/>
            <w:vAlign w:val="top"/>
          </w:tcPr>
          <w:p w14:paraId="5011E335">
            <w:pPr>
              <w:pStyle w:val="51"/>
              <w:spacing w:before="90" w:line="274" w:lineRule="auto"/>
              <w:ind w:left="620" w:right="26" w:hanging="584"/>
              <w:rPr>
                <w:sz w:val="17"/>
                <w:szCs w:val="17"/>
              </w:rPr>
            </w:pPr>
            <w:r>
              <w:rPr>
                <w:spacing w:val="-2"/>
                <w:sz w:val="17"/>
                <w:szCs w:val="17"/>
              </w:rPr>
              <w:t>稀奶油、奶油和无水</w:t>
            </w:r>
            <w:r>
              <w:rPr>
                <w:spacing w:val="4"/>
                <w:sz w:val="17"/>
                <w:szCs w:val="17"/>
              </w:rPr>
              <w:t>奶油</w:t>
            </w:r>
          </w:p>
        </w:tc>
        <w:tc>
          <w:tcPr>
            <w:tcW w:w="682" w:type="dxa"/>
            <w:vAlign w:val="top"/>
          </w:tcPr>
          <w:p w14:paraId="2D7C6205">
            <w:pPr>
              <w:pStyle w:val="51"/>
              <w:spacing w:before="238" w:line="230" w:lineRule="auto"/>
              <w:ind w:left="267"/>
              <w:rPr>
                <w:sz w:val="17"/>
                <w:szCs w:val="17"/>
              </w:rPr>
            </w:pPr>
            <w:r>
              <w:rPr>
                <w:sz w:val="17"/>
                <w:szCs w:val="17"/>
              </w:rPr>
              <w:t>高</w:t>
            </w:r>
          </w:p>
        </w:tc>
        <w:tc>
          <w:tcPr>
            <w:tcW w:w="8563" w:type="dxa"/>
            <w:vAlign w:val="top"/>
          </w:tcPr>
          <w:p w14:paraId="55A33C8D">
            <w:pPr>
              <w:pStyle w:val="51"/>
              <w:spacing w:before="90" w:line="274" w:lineRule="auto"/>
              <w:ind w:left="38" w:hanging="1"/>
              <w:rPr>
                <w:sz w:val="17"/>
                <w:szCs w:val="17"/>
              </w:rPr>
            </w:pPr>
            <w:r>
              <w:rPr>
                <w:spacing w:val="8"/>
                <w:sz w:val="17"/>
                <w:szCs w:val="17"/>
              </w:rPr>
              <w:t>脂肪、酸度、三聚氰胺、脱氢乙酸及其钠盐（以脱氢</w:t>
            </w:r>
            <w:r>
              <w:rPr>
                <w:spacing w:val="7"/>
                <w:sz w:val="17"/>
                <w:szCs w:val="17"/>
              </w:rPr>
              <w:t>乙酸计）、沙门氏菌、商业无菌、菌落总数、大肠菌群、</w:t>
            </w:r>
            <w:r>
              <w:rPr>
                <w:spacing w:val="3"/>
                <w:sz w:val="17"/>
                <w:szCs w:val="17"/>
              </w:rPr>
              <w:t>霉菌</w:t>
            </w:r>
          </w:p>
        </w:tc>
      </w:tr>
      <w:tr w14:paraId="77A980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459" w:type="dxa"/>
            <w:vMerge w:val="continue"/>
            <w:tcBorders>
              <w:top w:val="nil"/>
              <w:bottom w:val="nil"/>
            </w:tcBorders>
            <w:vAlign w:val="top"/>
          </w:tcPr>
          <w:p w14:paraId="12B70DD4">
            <w:pPr>
              <w:rPr>
                <w:rFonts w:ascii="Arial"/>
                <w:sz w:val="21"/>
              </w:rPr>
            </w:pPr>
          </w:p>
        </w:tc>
        <w:tc>
          <w:tcPr>
            <w:tcW w:w="942" w:type="dxa"/>
            <w:vMerge w:val="continue"/>
            <w:tcBorders>
              <w:top w:val="nil"/>
              <w:bottom w:val="nil"/>
            </w:tcBorders>
            <w:vAlign w:val="top"/>
          </w:tcPr>
          <w:p w14:paraId="210FD981">
            <w:pPr>
              <w:rPr>
                <w:rFonts w:ascii="Arial"/>
                <w:sz w:val="21"/>
              </w:rPr>
            </w:pPr>
          </w:p>
        </w:tc>
        <w:tc>
          <w:tcPr>
            <w:tcW w:w="1360" w:type="dxa"/>
            <w:vMerge w:val="continue"/>
            <w:tcBorders>
              <w:top w:val="nil"/>
              <w:bottom w:val="nil"/>
            </w:tcBorders>
            <w:vAlign w:val="top"/>
          </w:tcPr>
          <w:p w14:paraId="2A206329">
            <w:pPr>
              <w:rPr>
                <w:rFonts w:ascii="Arial"/>
                <w:sz w:val="21"/>
              </w:rPr>
            </w:pPr>
          </w:p>
        </w:tc>
        <w:tc>
          <w:tcPr>
            <w:tcW w:w="1581" w:type="dxa"/>
            <w:vMerge w:val="continue"/>
            <w:tcBorders>
              <w:top w:val="nil"/>
              <w:bottom w:val="nil"/>
            </w:tcBorders>
            <w:vAlign w:val="top"/>
          </w:tcPr>
          <w:p w14:paraId="4D8C27BA">
            <w:pPr>
              <w:rPr>
                <w:rFonts w:ascii="Arial"/>
                <w:sz w:val="21"/>
              </w:rPr>
            </w:pPr>
          </w:p>
        </w:tc>
        <w:tc>
          <w:tcPr>
            <w:tcW w:w="1586" w:type="dxa"/>
            <w:vAlign w:val="top"/>
          </w:tcPr>
          <w:p w14:paraId="77BACC8D">
            <w:pPr>
              <w:pStyle w:val="51"/>
              <w:spacing w:before="88" w:line="275" w:lineRule="auto"/>
              <w:ind w:left="532" w:right="26" w:hanging="491"/>
              <w:rPr>
                <w:sz w:val="17"/>
                <w:szCs w:val="17"/>
              </w:rPr>
            </w:pPr>
            <w:r>
              <w:rPr>
                <w:spacing w:val="-2"/>
                <w:sz w:val="17"/>
                <w:szCs w:val="17"/>
              </w:rPr>
              <w:t>干酪、再制干酪、干</w:t>
            </w:r>
            <w:r>
              <w:rPr>
                <w:spacing w:val="5"/>
                <w:sz w:val="17"/>
                <w:szCs w:val="17"/>
              </w:rPr>
              <w:t>酪制品</w:t>
            </w:r>
          </w:p>
        </w:tc>
        <w:tc>
          <w:tcPr>
            <w:tcW w:w="682" w:type="dxa"/>
            <w:vAlign w:val="top"/>
          </w:tcPr>
          <w:p w14:paraId="6B0BEFA6">
            <w:pPr>
              <w:pStyle w:val="51"/>
              <w:spacing w:before="238" w:line="230" w:lineRule="auto"/>
              <w:ind w:left="267"/>
              <w:rPr>
                <w:sz w:val="17"/>
                <w:szCs w:val="17"/>
              </w:rPr>
            </w:pPr>
            <w:r>
              <w:rPr>
                <w:sz w:val="17"/>
                <w:szCs w:val="17"/>
              </w:rPr>
              <w:t>高</w:t>
            </w:r>
          </w:p>
        </w:tc>
        <w:tc>
          <w:tcPr>
            <w:tcW w:w="8563" w:type="dxa"/>
            <w:vAlign w:val="top"/>
          </w:tcPr>
          <w:p w14:paraId="3DD0D22B">
            <w:pPr>
              <w:pStyle w:val="51"/>
              <w:spacing w:before="237" w:line="227" w:lineRule="auto"/>
              <w:ind w:left="42"/>
              <w:rPr>
                <w:sz w:val="17"/>
                <w:szCs w:val="17"/>
              </w:rPr>
            </w:pPr>
            <w:r>
              <w:rPr>
                <w:spacing w:val="10"/>
                <w:sz w:val="17"/>
                <w:szCs w:val="17"/>
              </w:rPr>
              <w:t>三聚氰胺、金黄色葡萄球菌、沙门氏菌、单核细胞增</w:t>
            </w:r>
            <w:r>
              <w:rPr>
                <w:spacing w:val="9"/>
                <w:sz w:val="17"/>
                <w:szCs w:val="17"/>
              </w:rPr>
              <w:t>生李斯特氏菌、菌落总数、大肠菌群、霉菌</w:t>
            </w:r>
          </w:p>
        </w:tc>
      </w:tr>
      <w:tr w14:paraId="72C519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459" w:type="dxa"/>
            <w:vMerge w:val="continue"/>
            <w:tcBorders>
              <w:top w:val="nil"/>
            </w:tcBorders>
            <w:vAlign w:val="top"/>
          </w:tcPr>
          <w:p w14:paraId="28474142">
            <w:pPr>
              <w:rPr>
                <w:rFonts w:ascii="Arial"/>
                <w:sz w:val="21"/>
              </w:rPr>
            </w:pPr>
          </w:p>
        </w:tc>
        <w:tc>
          <w:tcPr>
            <w:tcW w:w="942" w:type="dxa"/>
            <w:vMerge w:val="continue"/>
            <w:tcBorders>
              <w:top w:val="nil"/>
            </w:tcBorders>
            <w:vAlign w:val="top"/>
          </w:tcPr>
          <w:p w14:paraId="6F3BD521">
            <w:pPr>
              <w:rPr>
                <w:rFonts w:ascii="Arial"/>
                <w:sz w:val="21"/>
              </w:rPr>
            </w:pPr>
          </w:p>
        </w:tc>
        <w:tc>
          <w:tcPr>
            <w:tcW w:w="1360" w:type="dxa"/>
            <w:vMerge w:val="continue"/>
            <w:tcBorders>
              <w:top w:val="nil"/>
            </w:tcBorders>
            <w:vAlign w:val="top"/>
          </w:tcPr>
          <w:p w14:paraId="35B0F5CB">
            <w:pPr>
              <w:rPr>
                <w:rFonts w:ascii="Arial"/>
                <w:sz w:val="21"/>
              </w:rPr>
            </w:pPr>
          </w:p>
        </w:tc>
        <w:tc>
          <w:tcPr>
            <w:tcW w:w="1581" w:type="dxa"/>
            <w:vMerge w:val="continue"/>
            <w:tcBorders>
              <w:top w:val="nil"/>
            </w:tcBorders>
            <w:vAlign w:val="top"/>
          </w:tcPr>
          <w:p w14:paraId="706D5F97">
            <w:pPr>
              <w:rPr>
                <w:rFonts w:ascii="Arial"/>
                <w:sz w:val="21"/>
              </w:rPr>
            </w:pPr>
          </w:p>
        </w:tc>
        <w:tc>
          <w:tcPr>
            <w:tcW w:w="1586" w:type="dxa"/>
            <w:vAlign w:val="top"/>
          </w:tcPr>
          <w:p w14:paraId="6FCDCF2C">
            <w:pPr>
              <w:pStyle w:val="51"/>
              <w:spacing w:before="88" w:line="275" w:lineRule="auto"/>
              <w:ind w:left="540" w:right="26" w:hanging="505"/>
              <w:rPr>
                <w:sz w:val="17"/>
                <w:szCs w:val="17"/>
              </w:rPr>
            </w:pPr>
            <w:r>
              <w:rPr>
                <w:spacing w:val="-2"/>
                <w:sz w:val="17"/>
                <w:szCs w:val="17"/>
              </w:rPr>
              <w:t>奶片、奶条等固态成</w:t>
            </w:r>
            <w:r>
              <w:rPr>
                <w:spacing w:val="3"/>
                <w:sz w:val="17"/>
                <w:szCs w:val="17"/>
              </w:rPr>
              <w:t>型产品</w:t>
            </w:r>
          </w:p>
        </w:tc>
        <w:tc>
          <w:tcPr>
            <w:tcW w:w="682" w:type="dxa"/>
            <w:vAlign w:val="top"/>
          </w:tcPr>
          <w:p w14:paraId="78512104">
            <w:pPr>
              <w:pStyle w:val="51"/>
              <w:spacing w:before="240" w:line="230" w:lineRule="auto"/>
              <w:ind w:left="267"/>
              <w:rPr>
                <w:sz w:val="17"/>
                <w:szCs w:val="17"/>
              </w:rPr>
            </w:pPr>
            <w:r>
              <w:rPr>
                <w:sz w:val="17"/>
                <w:szCs w:val="17"/>
              </w:rPr>
              <w:t>高</w:t>
            </w:r>
          </w:p>
        </w:tc>
        <w:tc>
          <w:tcPr>
            <w:tcW w:w="8563" w:type="dxa"/>
            <w:vAlign w:val="top"/>
          </w:tcPr>
          <w:p w14:paraId="0F90340F">
            <w:pPr>
              <w:pStyle w:val="51"/>
              <w:spacing w:before="240" w:line="227" w:lineRule="auto"/>
              <w:ind w:left="39"/>
              <w:rPr>
                <w:sz w:val="17"/>
                <w:szCs w:val="17"/>
              </w:rPr>
            </w:pPr>
            <w:r>
              <w:rPr>
                <w:spacing w:val="9"/>
                <w:sz w:val="17"/>
                <w:szCs w:val="17"/>
              </w:rPr>
              <w:t>蛋白质、脱氢乙酸及其钠盐（以脱氢乙酸计）、三聚氰胺、沙门氏菌</w:t>
            </w:r>
          </w:p>
        </w:tc>
      </w:tr>
      <w:tr w14:paraId="693542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459" w:type="dxa"/>
            <w:vMerge w:val="restart"/>
            <w:tcBorders>
              <w:bottom w:val="nil"/>
            </w:tcBorders>
            <w:vAlign w:val="top"/>
          </w:tcPr>
          <w:p w14:paraId="63B89465">
            <w:pPr>
              <w:spacing w:line="241" w:lineRule="auto"/>
              <w:rPr>
                <w:rFonts w:ascii="Arial"/>
                <w:sz w:val="21"/>
              </w:rPr>
            </w:pPr>
          </w:p>
          <w:p w14:paraId="4C6D81E0">
            <w:pPr>
              <w:spacing w:line="242" w:lineRule="auto"/>
              <w:rPr>
                <w:rFonts w:ascii="Arial"/>
                <w:sz w:val="21"/>
              </w:rPr>
            </w:pPr>
          </w:p>
          <w:p w14:paraId="224FD2C3">
            <w:pPr>
              <w:spacing w:line="242" w:lineRule="auto"/>
              <w:rPr>
                <w:rFonts w:ascii="Arial"/>
                <w:sz w:val="21"/>
              </w:rPr>
            </w:pPr>
          </w:p>
          <w:p w14:paraId="554CD299">
            <w:pPr>
              <w:spacing w:line="242" w:lineRule="auto"/>
              <w:rPr>
                <w:rFonts w:ascii="Arial"/>
                <w:sz w:val="21"/>
              </w:rPr>
            </w:pPr>
          </w:p>
          <w:p w14:paraId="662EA734">
            <w:pPr>
              <w:spacing w:line="242" w:lineRule="auto"/>
              <w:rPr>
                <w:rFonts w:ascii="Arial"/>
                <w:sz w:val="21"/>
              </w:rPr>
            </w:pPr>
          </w:p>
          <w:p w14:paraId="12D175D0">
            <w:pPr>
              <w:spacing w:line="242" w:lineRule="auto"/>
              <w:rPr>
                <w:rFonts w:ascii="Arial"/>
                <w:sz w:val="21"/>
              </w:rPr>
            </w:pPr>
          </w:p>
          <w:p w14:paraId="189F69A7">
            <w:pPr>
              <w:spacing w:line="242" w:lineRule="auto"/>
              <w:rPr>
                <w:rFonts w:ascii="Arial"/>
                <w:sz w:val="21"/>
              </w:rPr>
            </w:pPr>
          </w:p>
          <w:p w14:paraId="27491E32">
            <w:pPr>
              <w:pStyle w:val="51"/>
              <w:spacing w:before="55" w:line="227" w:lineRule="exact"/>
              <w:ind w:left="190"/>
              <w:rPr>
                <w:sz w:val="17"/>
                <w:szCs w:val="17"/>
              </w:rPr>
            </w:pPr>
            <w:r>
              <w:rPr>
                <w:position w:val="1"/>
                <w:sz w:val="17"/>
                <w:szCs w:val="17"/>
              </w:rPr>
              <w:t>6</w:t>
            </w:r>
          </w:p>
        </w:tc>
        <w:tc>
          <w:tcPr>
            <w:tcW w:w="942" w:type="dxa"/>
            <w:vMerge w:val="restart"/>
            <w:tcBorders>
              <w:bottom w:val="nil"/>
            </w:tcBorders>
            <w:vAlign w:val="top"/>
          </w:tcPr>
          <w:p w14:paraId="01624677">
            <w:pPr>
              <w:spacing w:line="241" w:lineRule="auto"/>
              <w:rPr>
                <w:rFonts w:ascii="Arial"/>
                <w:sz w:val="21"/>
              </w:rPr>
            </w:pPr>
          </w:p>
          <w:p w14:paraId="71CE1088">
            <w:pPr>
              <w:spacing w:line="241" w:lineRule="auto"/>
              <w:rPr>
                <w:rFonts w:ascii="Arial"/>
                <w:sz w:val="21"/>
              </w:rPr>
            </w:pPr>
          </w:p>
          <w:p w14:paraId="39D49ADC">
            <w:pPr>
              <w:spacing w:line="242" w:lineRule="auto"/>
              <w:rPr>
                <w:rFonts w:ascii="Arial"/>
                <w:sz w:val="21"/>
              </w:rPr>
            </w:pPr>
          </w:p>
          <w:p w14:paraId="49BE20C7">
            <w:pPr>
              <w:spacing w:line="242" w:lineRule="auto"/>
              <w:rPr>
                <w:rFonts w:ascii="Arial"/>
                <w:sz w:val="21"/>
              </w:rPr>
            </w:pPr>
          </w:p>
          <w:p w14:paraId="7AE35F5F">
            <w:pPr>
              <w:spacing w:line="242" w:lineRule="auto"/>
              <w:rPr>
                <w:rFonts w:ascii="Arial"/>
                <w:sz w:val="21"/>
              </w:rPr>
            </w:pPr>
          </w:p>
          <w:p w14:paraId="3F0D0827">
            <w:pPr>
              <w:spacing w:line="242" w:lineRule="auto"/>
              <w:rPr>
                <w:rFonts w:ascii="Arial"/>
                <w:sz w:val="21"/>
              </w:rPr>
            </w:pPr>
          </w:p>
          <w:p w14:paraId="1587389B">
            <w:pPr>
              <w:spacing w:line="242" w:lineRule="auto"/>
              <w:rPr>
                <w:rFonts w:ascii="Arial"/>
                <w:sz w:val="21"/>
              </w:rPr>
            </w:pPr>
          </w:p>
          <w:p w14:paraId="669E90AC">
            <w:pPr>
              <w:pStyle w:val="51"/>
              <w:spacing w:before="56" w:line="226" w:lineRule="auto"/>
              <w:ind w:left="296"/>
              <w:rPr>
                <w:sz w:val="17"/>
                <w:szCs w:val="17"/>
              </w:rPr>
            </w:pPr>
            <w:r>
              <w:rPr>
                <w:spacing w:val="4"/>
                <w:sz w:val="17"/>
                <w:szCs w:val="17"/>
              </w:rPr>
              <w:t>饮料</w:t>
            </w:r>
          </w:p>
        </w:tc>
        <w:tc>
          <w:tcPr>
            <w:tcW w:w="1360" w:type="dxa"/>
            <w:vMerge w:val="restart"/>
            <w:tcBorders>
              <w:bottom w:val="nil"/>
            </w:tcBorders>
            <w:vAlign w:val="top"/>
          </w:tcPr>
          <w:p w14:paraId="28795BAA">
            <w:pPr>
              <w:spacing w:line="241" w:lineRule="auto"/>
              <w:rPr>
                <w:rFonts w:ascii="Arial"/>
                <w:sz w:val="21"/>
              </w:rPr>
            </w:pPr>
          </w:p>
          <w:p w14:paraId="44788843">
            <w:pPr>
              <w:spacing w:line="241" w:lineRule="auto"/>
              <w:rPr>
                <w:rFonts w:ascii="Arial"/>
                <w:sz w:val="21"/>
              </w:rPr>
            </w:pPr>
          </w:p>
          <w:p w14:paraId="0EA33F50">
            <w:pPr>
              <w:spacing w:line="242" w:lineRule="auto"/>
              <w:rPr>
                <w:rFonts w:ascii="Arial"/>
                <w:sz w:val="21"/>
              </w:rPr>
            </w:pPr>
          </w:p>
          <w:p w14:paraId="6503C872">
            <w:pPr>
              <w:spacing w:line="242" w:lineRule="auto"/>
              <w:rPr>
                <w:rFonts w:ascii="Arial"/>
                <w:sz w:val="21"/>
              </w:rPr>
            </w:pPr>
          </w:p>
          <w:p w14:paraId="73190CA7">
            <w:pPr>
              <w:spacing w:line="242" w:lineRule="auto"/>
              <w:rPr>
                <w:rFonts w:ascii="Arial"/>
                <w:sz w:val="21"/>
              </w:rPr>
            </w:pPr>
          </w:p>
          <w:p w14:paraId="12F8F933">
            <w:pPr>
              <w:spacing w:line="242" w:lineRule="auto"/>
              <w:rPr>
                <w:rFonts w:ascii="Arial"/>
                <w:sz w:val="21"/>
              </w:rPr>
            </w:pPr>
          </w:p>
          <w:p w14:paraId="58BE9079">
            <w:pPr>
              <w:spacing w:line="242" w:lineRule="auto"/>
              <w:rPr>
                <w:rFonts w:ascii="Arial"/>
                <w:sz w:val="21"/>
              </w:rPr>
            </w:pPr>
          </w:p>
          <w:p w14:paraId="0CE92F5C">
            <w:pPr>
              <w:pStyle w:val="51"/>
              <w:spacing w:before="56" w:line="226" w:lineRule="auto"/>
              <w:ind w:left="506"/>
              <w:rPr>
                <w:sz w:val="17"/>
                <w:szCs w:val="17"/>
              </w:rPr>
            </w:pPr>
            <w:r>
              <w:rPr>
                <w:spacing w:val="4"/>
                <w:sz w:val="17"/>
                <w:szCs w:val="17"/>
              </w:rPr>
              <w:t>饮料</w:t>
            </w:r>
          </w:p>
        </w:tc>
        <w:tc>
          <w:tcPr>
            <w:tcW w:w="1581" w:type="dxa"/>
            <w:vMerge w:val="restart"/>
            <w:tcBorders>
              <w:bottom w:val="nil"/>
            </w:tcBorders>
            <w:vAlign w:val="top"/>
          </w:tcPr>
          <w:p w14:paraId="6B31FB69">
            <w:pPr>
              <w:spacing w:line="262" w:lineRule="auto"/>
              <w:rPr>
                <w:rFonts w:ascii="Arial"/>
                <w:sz w:val="21"/>
              </w:rPr>
            </w:pPr>
          </w:p>
          <w:p w14:paraId="175808DE">
            <w:pPr>
              <w:spacing w:line="263" w:lineRule="auto"/>
              <w:rPr>
                <w:rFonts w:ascii="Arial"/>
                <w:sz w:val="21"/>
              </w:rPr>
            </w:pPr>
          </w:p>
          <w:p w14:paraId="1AD5724F">
            <w:pPr>
              <w:spacing w:line="263" w:lineRule="auto"/>
              <w:rPr>
                <w:rFonts w:ascii="Arial"/>
                <w:sz w:val="21"/>
              </w:rPr>
            </w:pPr>
          </w:p>
          <w:p w14:paraId="375C401F">
            <w:pPr>
              <w:pStyle w:val="51"/>
              <w:spacing w:before="56" w:line="229" w:lineRule="auto"/>
              <w:ind w:left="356"/>
              <w:rPr>
                <w:sz w:val="17"/>
                <w:szCs w:val="17"/>
              </w:rPr>
            </w:pPr>
            <w:r>
              <w:rPr>
                <w:spacing w:val="6"/>
                <w:sz w:val="17"/>
                <w:szCs w:val="17"/>
              </w:rPr>
              <w:t>包装饮用水</w:t>
            </w:r>
          </w:p>
        </w:tc>
        <w:tc>
          <w:tcPr>
            <w:tcW w:w="1586" w:type="dxa"/>
            <w:vAlign w:val="top"/>
          </w:tcPr>
          <w:p w14:paraId="0975171E">
            <w:pPr>
              <w:pStyle w:val="51"/>
              <w:spacing w:before="239" w:line="228" w:lineRule="auto"/>
              <w:ind w:left="171"/>
              <w:rPr>
                <w:sz w:val="17"/>
                <w:szCs w:val="17"/>
              </w:rPr>
            </w:pPr>
            <w:r>
              <w:rPr>
                <w:spacing w:val="8"/>
                <w:sz w:val="17"/>
                <w:szCs w:val="17"/>
              </w:rPr>
              <w:t>饮用天然矿泉水</w:t>
            </w:r>
          </w:p>
        </w:tc>
        <w:tc>
          <w:tcPr>
            <w:tcW w:w="682" w:type="dxa"/>
            <w:vAlign w:val="top"/>
          </w:tcPr>
          <w:p w14:paraId="2F1450DC">
            <w:pPr>
              <w:pStyle w:val="51"/>
              <w:spacing w:before="239" w:line="230" w:lineRule="auto"/>
              <w:ind w:left="173"/>
              <w:rPr>
                <w:sz w:val="17"/>
                <w:szCs w:val="17"/>
              </w:rPr>
            </w:pPr>
            <w:r>
              <w:rPr>
                <w:spacing w:val="2"/>
                <w:sz w:val="17"/>
                <w:szCs w:val="17"/>
              </w:rPr>
              <w:t>一般</w:t>
            </w:r>
          </w:p>
        </w:tc>
        <w:tc>
          <w:tcPr>
            <w:tcW w:w="8563" w:type="dxa"/>
            <w:vAlign w:val="top"/>
          </w:tcPr>
          <w:p w14:paraId="45841458">
            <w:pPr>
              <w:pStyle w:val="51"/>
              <w:spacing w:before="88" w:line="275" w:lineRule="auto"/>
              <w:ind w:left="37" w:right="25"/>
              <w:rPr>
                <w:sz w:val="17"/>
                <w:szCs w:val="17"/>
              </w:rPr>
            </w:pPr>
            <w:r>
              <w:rPr>
                <w:spacing w:val="9"/>
                <w:sz w:val="17"/>
                <w:szCs w:val="17"/>
              </w:rPr>
              <w:t>界限指标、铅（以</w:t>
            </w:r>
            <w:r>
              <w:rPr>
                <w:sz w:val="17"/>
                <w:szCs w:val="17"/>
              </w:rPr>
              <w:t>Pb</w:t>
            </w:r>
            <w:r>
              <w:rPr>
                <w:spacing w:val="9"/>
                <w:sz w:val="17"/>
                <w:szCs w:val="17"/>
              </w:rPr>
              <w:t>计）</w:t>
            </w:r>
            <w:r>
              <w:rPr>
                <w:spacing w:val="-50"/>
                <w:sz w:val="17"/>
                <w:szCs w:val="17"/>
              </w:rPr>
              <w:t xml:space="preserve"> </w:t>
            </w:r>
            <w:r>
              <w:rPr>
                <w:spacing w:val="9"/>
                <w:sz w:val="17"/>
                <w:szCs w:val="17"/>
              </w:rPr>
              <w:t>、总砷（以</w:t>
            </w:r>
            <w:r>
              <w:rPr>
                <w:sz w:val="17"/>
                <w:szCs w:val="17"/>
              </w:rPr>
              <w:t>As</w:t>
            </w:r>
            <w:r>
              <w:rPr>
                <w:spacing w:val="9"/>
                <w:sz w:val="17"/>
                <w:szCs w:val="17"/>
              </w:rPr>
              <w:t>计）、镉（以</w:t>
            </w:r>
            <w:r>
              <w:rPr>
                <w:sz w:val="17"/>
                <w:szCs w:val="17"/>
              </w:rPr>
              <w:t>Cd</w:t>
            </w:r>
            <w:r>
              <w:rPr>
                <w:spacing w:val="9"/>
                <w:sz w:val="17"/>
                <w:szCs w:val="17"/>
              </w:rPr>
              <w:t>计）、总汞（以</w:t>
            </w:r>
            <w:r>
              <w:rPr>
                <w:sz w:val="17"/>
                <w:szCs w:val="17"/>
              </w:rPr>
              <w:t>Hg</w:t>
            </w:r>
            <w:r>
              <w:rPr>
                <w:spacing w:val="9"/>
                <w:sz w:val="17"/>
                <w:szCs w:val="17"/>
              </w:rPr>
              <w:t>计）、镍、溴酸盐</w:t>
            </w:r>
            <w:r>
              <w:rPr>
                <w:spacing w:val="8"/>
                <w:sz w:val="17"/>
                <w:szCs w:val="17"/>
              </w:rPr>
              <w:t>、硝酸盐（以</w:t>
            </w:r>
            <w:r>
              <w:rPr>
                <w:sz w:val="17"/>
                <w:szCs w:val="17"/>
              </w:rPr>
              <w:t>NO</w:t>
            </w:r>
            <w:r>
              <w:rPr>
                <w:spacing w:val="8"/>
                <w:position w:val="-2"/>
                <w:sz w:val="8"/>
                <w:szCs w:val="8"/>
              </w:rPr>
              <w:t>3</w:t>
            </w:r>
            <w:r>
              <w:rPr>
                <w:spacing w:val="8"/>
                <w:position w:val="9"/>
                <w:sz w:val="8"/>
                <w:szCs w:val="8"/>
              </w:rPr>
              <w:t>-</w:t>
            </w:r>
            <w:r>
              <w:rPr>
                <w:spacing w:val="9"/>
                <w:sz w:val="17"/>
                <w:szCs w:val="17"/>
              </w:rPr>
              <w:t>计）、亚硝酸盐（以</w:t>
            </w:r>
            <w:r>
              <w:rPr>
                <w:sz w:val="17"/>
                <w:szCs w:val="17"/>
              </w:rPr>
              <w:t>NO</w:t>
            </w:r>
            <w:r>
              <w:rPr>
                <w:spacing w:val="9"/>
                <w:position w:val="-2"/>
                <w:sz w:val="8"/>
                <w:szCs w:val="8"/>
              </w:rPr>
              <w:t>2</w:t>
            </w:r>
            <w:r>
              <w:rPr>
                <w:spacing w:val="9"/>
                <w:position w:val="9"/>
                <w:sz w:val="8"/>
                <w:szCs w:val="8"/>
              </w:rPr>
              <w:t>-</w:t>
            </w:r>
            <w:r>
              <w:rPr>
                <w:spacing w:val="9"/>
                <w:sz w:val="17"/>
                <w:szCs w:val="17"/>
              </w:rPr>
              <w:t>计）、大肠菌群、铜绿假单胞菌</w:t>
            </w:r>
          </w:p>
        </w:tc>
      </w:tr>
      <w:tr w14:paraId="103961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459" w:type="dxa"/>
            <w:vMerge w:val="continue"/>
            <w:tcBorders>
              <w:top w:val="nil"/>
              <w:bottom w:val="nil"/>
            </w:tcBorders>
            <w:vAlign w:val="top"/>
          </w:tcPr>
          <w:p w14:paraId="48253DB0">
            <w:pPr>
              <w:rPr>
                <w:rFonts w:ascii="Arial"/>
                <w:sz w:val="21"/>
              </w:rPr>
            </w:pPr>
          </w:p>
        </w:tc>
        <w:tc>
          <w:tcPr>
            <w:tcW w:w="942" w:type="dxa"/>
            <w:vMerge w:val="continue"/>
            <w:tcBorders>
              <w:top w:val="nil"/>
              <w:bottom w:val="nil"/>
            </w:tcBorders>
            <w:vAlign w:val="top"/>
          </w:tcPr>
          <w:p w14:paraId="39AC3DF4">
            <w:pPr>
              <w:rPr>
                <w:rFonts w:ascii="Arial"/>
                <w:sz w:val="21"/>
              </w:rPr>
            </w:pPr>
          </w:p>
        </w:tc>
        <w:tc>
          <w:tcPr>
            <w:tcW w:w="1360" w:type="dxa"/>
            <w:vMerge w:val="continue"/>
            <w:tcBorders>
              <w:top w:val="nil"/>
              <w:bottom w:val="nil"/>
            </w:tcBorders>
            <w:vAlign w:val="top"/>
          </w:tcPr>
          <w:p w14:paraId="4A5BDB9C">
            <w:pPr>
              <w:rPr>
                <w:rFonts w:ascii="Arial"/>
                <w:sz w:val="21"/>
              </w:rPr>
            </w:pPr>
          </w:p>
        </w:tc>
        <w:tc>
          <w:tcPr>
            <w:tcW w:w="1581" w:type="dxa"/>
            <w:vMerge w:val="continue"/>
            <w:tcBorders>
              <w:top w:val="nil"/>
              <w:bottom w:val="nil"/>
            </w:tcBorders>
            <w:vAlign w:val="top"/>
          </w:tcPr>
          <w:p w14:paraId="755AAA17">
            <w:pPr>
              <w:rPr>
                <w:rFonts w:ascii="Arial"/>
                <w:sz w:val="21"/>
              </w:rPr>
            </w:pPr>
          </w:p>
        </w:tc>
        <w:tc>
          <w:tcPr>
            <w:tcW w:w="1586" w:type="dxa"/>
            <w:vAlign w:val="top"/>
          </w:tcPr>
          <w:p w14:paraId="0DEA5891">
            <w:pPr>
              <w:pStyle w:val="51"/>
              <w:spacing w:before="238" w:line="229" w:lineRule="auto"/>
              <w:ind w:left="351"/>
              <w:rPr>
                <w:sz w:val="17"/>
                <w:szCs w:val="17"/>
              </w:rPr>
            </w:pPr>
            <w:r>
              <w:rPr>
                <w:spacing w:val="7"/>
                <w:sz w:val="17"/>
                <w:szCs w:val="17"/>
              </w:rPr>
              <w:t>饮用纯净水</w:t>
            </w:r>
          </w:p>
        </w:tc>
        <w:tc>
          <w:tcPr>
            <w:tcW w:w="682" w:type="dxa"/>
            <w:vAlign w:val="top"/>
          </w:tcPr>
          <w:p w14:paraId="55B110FD">
            <w:pPr>
              <w:pStyle w:val="51"/>
              <w:spacing w:before="239" w:line="227" w:lineRule="auto"/>
              <w:ind w:left="170"/>
              <w:rPr>
                <w:sz w:val="17"/>
                <w:szCs w:val="17"/>
              </w:rPr>
            </w:pPr>
            <w:r>
              <w:rPr>
                <w:spacing w:val="3"/>
                <w:sz w:val="17"/>
                <w:szCs w:val="17"/>
              </w:rPr>
              <w:t>较高</w:t>
            </w:r>
          </w:p>
        </w:tc>
        <w:tc>
          <w:tcPr>
            <w:tcW w:w="8563" w:type="dxa"/>
            <w:vAlign w:val="top"/>
          </w:tcPr>
          <w:p w14:paraId="6407282D">
            <w:pPr>
              <w:pStyle w:val="51"/>
              <w:spacing w:before="87" w:line="275" w:lineRule="auto"/>
              <w:ind w:left="42" w:right="26" w:firstLine="14"/>
              <w:rPr>
                <w:sz w:val="17"/>
                <w:szCs w:val="17"/>
              </w:rPr>
            </w:pPr>
            <w:r>
              <w:rPr>
                <w:spacing w:val="10"/>
                <w:sz w:val="17"/>
                <w:szCs w:val="17"/>
              </w:rPr>
              <w:t>电导率、耗氧量（以O</w:t>
            </w:r>
            <w:r>
              <w:rPr>
                <w:spacing w:val="10"/>
                <w:position w:val="-2"/>
                <w:sz w:val="8"/>
                <w:szCs w:val="8"/>
              </w:rPr>
              <w:t>2</w:t>
            </w:r>
            <w:r>
              <w:rPr>
                <w:spacing w:val="10"/>
                <w:sz w:val="17"/>
                <w:szCs w:val="17"/>
              </w:rPr>
              <w:t>计）、铅（以</w:t>
            </w:r>
            <w:r>
              <w:rPr>
                <w:sz w:val="17"/>
                <w:szCs w:val="17"/>
              </w:rPr>
              <w:t>Pb</w:t>
            </w:r>
            <w:r>
              <w:rPr>
                <w:spacing w:val="10"/>
                <w:sz w:val="17"/>
                <w:szCs w:val="17"/>
              </w:rPr>
              <w:t>计）、总砷（以</w:t>
            </w:r>
            <w:r>
              <w:rPr>
                <w:sz w:val="17"/>
                <w:szCs w:val="17"/>
              </w:rPr>
              <w:t>As</w:t>
            </w:r>
            <w:r>
              <w:rPr>
                <w:spacing w:val="10"/>
                <w:sz w:val="17"/>
                <w:szCs w:val="17"/>
              </w:rPr>
              <w:t>计）、镉（以</w:t>
            </w:r>
            <w:r>
              <w:rPr>
                <w:sz w:val="17"/>
                <w:szCs w:val="17"/>
              </w:rPr>
              <w:t>Cd</w:t>
            </w:r>
            <w:r>
              <w:rPr>
                <w:spacing w:val="10"/>
                <w:sz w:val="17"/>
                <w:szCs w:val="17"/>
              </w:rPr>
              <w:t>计）、</w:t>
            </w:r>
            <w:r>
              <w:rPr>
                <w:spacing w:val="9"/>
                <w:sz w:val="17"/>
                <w:szCs w:val="17"/>
              </w:rPr>
              <w:t>亚硝酸盐（以</w:t>
            </w:r>
            <w:r>
              <w:rPr>
                <w:sz w:val="17"/>
                <w:szCs w:val="17"/>
              </w:rPr>
              <w:t>NO</w:t>
            </w:r>
            <w:r>
              <w:rPr>
                <w:spacing w:val="9"/>
                <w:position w:val="-2"/>
                <w:sz w:val="8"/>
                <w:szCs w:val="8"/>
              </w:rPr>
              <w:t>2</w:t>
            </w:r>
            <w:r>
              <w:rPr>
                <w:spacing w:val="9"/>
                <w:position w:val="9"/>
                <w:sz w:val="8"/>
                <w:szCs w:val="8"/>
              </w:rPr>
              <w:t>-</w:t>
            </w:r>
            <w:r>
              <w:rPr>
                <w:spacing w:val="9"/>
                <w:sz w:val="17"/>
                <w:szCs w:val="17"/>
              </w:rPr>
              <w:t>计）、余氯（游离氯）、溴酸盐、三氯甲烷、大肠菌群、铜</w:t>
            </w:r>
            <w:r>
              <w:rPr>
                <w:spacing w:val="8"/>
                <w:sz w:val="17"/>
                <w:szCs w:val="17"/>
              </w:rPr>
              <w:t>绿假单胞菌</w:t>
            </w:r>
          </w:p>
        </w:tc>
      </w:tr>
      <w:tr w14:paraId="07C7F9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459" w:type="dxa"/>
            <w:vMerge w:val="continue"/>
            <w:tcBorders>
              <w:top w:val="nil"/>
              <w:bottom w:val="nil"/>
            </w:tcBorders>
            <w:vAlign w:val="top"/>
          </w:tcPr>
          <w:p w14:paraId="76A09F86">
            <w:pPr>
              <w:rPr>
                <w:rFonts w:ascii="Arial"/>
                <w:sz w:val="21"/>
              </w:rPr>
            </w:pPr>
          </w:p>
        </w:tc>
        <w:tc>
          <w:tcPr>
            <w:tcW w:w="942" w:type="dxa"/>
            <w:vMerge w:val="continue"/>
            <w:tcBorders>
              <w:top w:val="nil"/>
              <w:bottom w:val="nil"/>
            </w:tcBorders>
            <w:vAlign w:val="top"/>
          </w:tcPr>
          <w:p w14:paraId="6C592D85">
            <w:pPr>
              <w:rPr>
                <w:rFonts w:ascii="Arial"/>
                <w:sz w:val="21"/>
              </w:rPr>
            </w:pPr>
          </w:p>
        </w:tc>
        <w:tc>
          <w:tcPr>
            <w:tcW w:w="1360" w:type="dxa"/>
            <w:vMerge w:val="continue"/>
            <w:tcBorders>
              <w:top w:val="nil"/>
              <w:bottom w:val="nil"/>
            </w:tcBorders>
            <w:vAlign w:val="top"/>
          </w:tcPr>
          <w:p w14:paraId="6F3B7720">
            <w:pPr>
              <w:rPr>
                <w:rFonts w:ascii="Arial"/>
                <w:sz w:val="21"/>
              </w:rPr>
            </w:pPr>
          </w:p>
        </w:tc>
        <w:tc>
          <w:tcPr>
            <w:tcW w:w="1581" w:type="dxa"/>
            <w:vMerge w:val="continue"/>
            <w:tcBorders>
              <w:top w:val="nil"/>
            </w:tcBorders>
            <w:vAlign w:val="top"/>
          </w:tcPr>
          <w:p w14:paraId="400606C3">
            <w:pPr>
              <w:rPr>
                <w:rFonts w:ascii="Arial"/>
                <w:sz w:val="21"/>
              </w:rPr>
            </w:pPr>
          </w:p>
        </w:tc>
        <w:tc>
          <w:tcPr>
            <w:tcW w:w="1586" w:type="dxa"/>
            <w:vAlign w:val="top"/>
          </w:tcPr>
          <w:p w14:paraId="59AE1AE6">
            <w:pPr>
              <w:pStyle w:val="51"/>
              <w:spacing w:before="240" w:line="227" w:lineRule="auto"/>
              <w:ind w:left="262"/>
              <w:rPr>
                <w:sz w:val="17"/>
                <w:szCs w:val="17"/>
              </w:rPr>
            </w:pPr>
            <w:r>
              <w:rPr>
                <w:spacing w:val="7"/>
                <w:sz w:val="17"/>
                <w:szCs w:val="17"/>
              </w:rPr>
              <w:t>其他类饮用水</w:t>
            </w:r>
          </w:p>
        </w:tc>
        <w:tc>
          <w:tcPr>
            <w:tcW w:w="682" w:type="dxa"/>
            <w:vAlign w:val="top"/>
          </w:tcPr>
          <w:p w14:paraId="002B7424">
            <w:pPr>
              <w:pStyle w:val="51"/>
              <w:spacing w:before="240" w:line="227" w:lineRule="auto"/>
              <w:ind w:left="170"/>
              <w:rPr>
                <w:sz w:val="17"/>
                <w:szCs w:val="17"/>
              </w:rPr>
            </w:pPr>
            <w:r>
              <w:rPr>
                <w:spacing w:val="3"/>
                <w:sz w:val="17"/>
                <w:szCs w:val="17"/>
              </w:rPr>
              <w:t>较高</w:t>
            </w:r>
          </w:p>
        </w:tc>
        <w:tc>
          <w:tcPr>
            <w:tcW w:w="8563" w:type="dxa"/>
            <w:vAlign w:val="top"/>
          </w:tcPr>
          <w:p w14:paraId="52A66A4D">
            <w:pPr>
              <w:pStyle w:val="51"/>
              <w:spacing w:before="90" w:line="274" w:lineRule="auto"/>
              <w:ind w:left="37"/>
              <w:rPr>
                <w:sz w:val="17"/>
                <w:szCs w:val="17"/>
              </w:rPr>
            </w:pPr>
            <w:r>
              <w:rPr>
                <w:spacing w:val="3"/>
                <w:sz w:val="17"/>
                <w:szCs w:val="17"/>
              </w:rPr>
              <w:t>耗氧量（以O</w:t>
            </w:r>
            <w:r>
              <w:rPr>
                <w:spacing w:val="3"/>
                <w:position w:val="-2"/>
                <w:sz w:val="8"/>
                <w:szCs w:val="8"/>
              </w:rPr>
              <w:t>2</w:t>
            </w:r>
            <w:r>
              <w:rPr>
                <w:spacing w:val="3"/>
                <w:sz w:val="17"/>
                <w:szCs w:val="17"/>
              </w:rPr>
              <w:t>计）、铅（以</w:t>
            </w:r>
            <w:r>
              <w:rPr>
                <w:sz w:val="17"/>
                <w:szCs w:val="17"/>
              </w:rPr>
              <w:t>Pb</w:t>
            </w:r>
            <w:r>
              <w:rPr>
                <w:spacing w:val="3"/>
                <w:sz w:val="17"/>
                <w:szCs w:val="17"/>
              </w:rPr>
              <w:t>计）、总砷（以</w:t>
            </w:r>
            <w:r>
              <w:rPr>
                <w:sz w:val="17"/>
                <w:szCs w:val="17"/>
              </w:rPr>
              <w:t>As</w:t>
            </w:r>
            <w:r>
              <w:rPr>
                <w:spacing w:val="3"/>
                <w:sz w:val="17"/>
                <w:szCs w:val="17"/>
              </w:rPr>
              <w:t>计）、镉（以</w:t>
            </w:r>
            <w:r>
              <w:rPr>
                <w:sz w:val="17"/>
                <w:szCs w:val="17"/>
              </w:rPr>
              <w:t>Cd</w:t>
            </w:r>
            <w:r>
              <w:rPr>
                <w:spacing w:val="3"/>
                <w:sz w:val="17"/>
                <w:szCs w:val="17"/>
              </w:rPr>
              <w:t>计）、亚硝酸盐（以</w:t>
            </w:r>
            <w:r>
              <w:rPr>
                <w:sz w:val="17"/>
                <w:szCs w:val="17"/>
              </w:rPr>
              <w:t>NO</w:t>
            </w:r>
            <w:r>
              <w:rPr>
                <w:spacing w:val="3"/>
                <w:position w:val="-2"/>
                <w:sz w:val="8"/>
                <w:szCs w:val="8"/>
              </w:rPr>
              <w:t>2</w:t>
            </w:r>
            <w:r>
              <w:rPr>
                <w:spacing w:val="3"/>
                <w:position w:val="9"/>
                <w:sz w:val="8"/>
                <w:szCs w:val="8"/>
              </w:rPr>
              <w:t>-</w:t>
            </w:r>
            <w:r>
              <w:rPr>
                <w:spacing w:val="3"/>
                <w:sz w:val="17"/>
                <w:szCs w:val="17"/>
              </w:rPr>
              <w:t>计）、余氯（游离氯）、</w:t>
            </w:r>
            <w:r>
              <w:rPr>
                <w:spacing w:val="8"/>
                <w:sz w:val="17"/>
                <w:szCs w:val="17"/>
              </w:rPr>
              <w:t>溴酸盐、三氯甲烷、大肠菌群、铜绿假单胞菌</w:t>
            </w:r>
          </w:p>
        </w:tc>
      </w:tr>
      <w:tr w14:paraId="2BBE53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trPr>
        <w:tc>
          <w:tcPr>
            <w:tcW w:w="459" w:type="dxa"/>
            <w:vMerge w:val="continue"/>
            <w:tcBorders>
              <w:top w:val="nil"/>
              <w:bottom w:val="nil"/>
            </w:tcBorders>
            <w:vAlign w:val="top"/>
          </w:tcPr>
          <w:p w14:paraId="7F16B87A">
            <w:pPr>
              <w:rPr>
                <w:rFonts w:ascii="Arial"/>
                <w:sz w:val="21"/>
              </w:rPr>
            </w:pPr>
          </w:p>
        </w:tc>
        <w:tc>
          <w:tcPr>
            <w:tcW w:w="942" w:type="dxa"/>
            <w:vMerge w:val="continue"/>
            <w:tcBorders>
              <w:top w:val="nil"/>
              <w:bottom w:val="nil"/>
            </w:tcBorders>
            <w:vAlign w:val="top"/>
          </w:tcPr>
          <w:p w14:paraId="4F2F34AE">
            <w:pPr>
              <w:rPr>
                <w:rFonts w:ascii="Arial"/>
                <w:sz w:val="21"/>
              </w:rPr>
            </w:pPr>
          </w:p>
        </w:tc>
        <w:tc>
          <w:tcPr>
            <w:tcW w:w="1360" w:type="dxa"/>
            <w:vMerge w:val="continue"/>
            <w:tcBorders>
              <w:top w:val="nil"/>
              <w:bottom w:val="nil"/>
            </w:tcBorders>
            <w:vAlign w:val="top"/>
          </w:tcPr>
          <w:p w14:paraId="4ABF5DE9">
            <w:pPr>
              <w:rPr>
                <w:rFonts w:ascii="Arial"/>
                <w:sz w:val="21"/>
              </w:rPr>
            </w:pPr>
          </w:p>
        </w:tc>
        <w:tc>
          <w:tcPr>
            <w:tcW w:w="1581" w:type="dxa"/>
            <w:vAlign w:val="top"/>
          </w:tcPr>
          <w:p w14:paraId="239F67D4">
            <w:pPr>
              <w:rPr>
                <w:rFonts w:ascii="Arial"/>
                <w:sz w:val="21"/>
              </w:rPr>
            </w:pPr>
          </w:p>
          <w:p w14:paraId="08837249">
            <w:pPr>
              <w:rPr>
                <w:rFonts w:ascii="Arial"/>
                <w:sz w:val="21"/>
              </w:rPr>
            </w:pPr>
          </w:p>
          <w:p w14:paraId="009E4A43">
            <w:pPr>
              <w:pStyle w:val="51"/>
              <w:spacing w:before="56" w:line="226" w:lineRule="auto"/>
              <w:ind w:left="79"/>
              <w:rPr>
                <w:sz w:val="17"/>
                <w:szCs w:val="17"/>
              </w:rPr>
            </w:pPr>
            <w:r>
              <w:rPr>
                <w:spacing w:val="8"/>
                <w:sz w:val="17"/>
                <w:szCs w:val="17"/>
              </w:rPr>
              <w:t>果蔬汁类及其饮料</w:t>
            </w:r>
          </w:p>
        </w:tc>
        <w:tc>
          <w:tcPr>
            <w:tcW w:w="1586" w:type="dxa"/>
            <w:vAlign w:val="top"/>
          </w:tcPr>
          <w:p w14:paraId="50970FE3">
            <w:pPr>
              <w:rPr>
                <w:rFonts w:ascii="Arial"/>
                <w:sz w:val="21"/>
              </w:rPr>
            </w:pPr>
          </w:p>
          <w:p w14:paraId="3E167685">
            <w:pPr>
              <w:rPr>
                <w:rFonts w:ascii="Arial"/>
                <w:sz w:val="21"/>
              </w:rPr>
            </w:pPr>
          </w:p>
          <w:p w14:paraId="71C365B6">
            <w:pPr>
              <w:pStyle w:val="51"/>
              <w:spacing w:before="56" w:line="226" w:lineRule="auto"/>
              <w:ind w:left="82"/>
              <w:rPr>
                <w:sz w:val="17"/>
                <w:szCs w:val="17"/>
              </w:rPr>
            </w:pPr>
            <w:r>
              <w:rPr>
                <w:spacing w:val="8"/>
                <w:sz w:val="17"/>
                <w:szCs w:val="17"/>
              </w:rPr>
              <w:t>果蔬汁类及其饮料</w:t>
            </w:r>
          </w:p>
        </w:tc>
        <w:tc>
          <w:tcPr>
            <w:tcW w:w="682" w:type="dxa"/>
            <w:vAlign w:val="top"/>
          </w:tcPr>
          <w:p w14:paraId="7CCB2B90">
            <w:pPr>
              <w:rPr>
                <w:rFonts w:ascii="Arial"/>
                <w:sz w:val="21"/>
              </w:rPr>
            </w:pPr>
          </w:p>
          <w:p w14:paraId="75B2EA5D">
            <w:pPr>
              <w:spacing w:line="241" w:lineRule="auto"/>
              <w:rPr>
                <w:rFonts w:ascii="Arial"/>
                <w:sz w:val="21"/>
              </w:rPr>
            </w:pPr>
          </w:p>
          <w:p w14:paraId="32A10527">
            <w:pPr>
              <w:pStyle w:val="51"/>
              <w:spacing w:before="55" w:line="230" w:lineRule="auto"/>
              <w:ind w:left="173"/>
              <w:rPr>
                <w:sz w:val="17"/>
                <w:szCs w:val="17"/>
              </w:rPr>
            </w:pPr>
            <w:r>
              <w:rPr>
                <w:spacing w:val="2"/>
                <w:sz w:val="17"/>
                <w:szCs w:val="17"/>
              </w:rPr>
              <w:t>一般</w:t>
            </w:r>
          </w:p>
        </w:tc>
        <w:tc>
          <w:tcPr>
            <w:tcW w:w="8563" w:type="dxa"/>
            <w:vAlign w:val="top"/>
          </w:tcPr>
          <w:p w14:paraId="70785336">
            <w:pPr>
              <w:pStyle w:val="51"/>
              <w:spacing w:before="89" w:line="325" w:lineRule="auto"/>
              <w:ind w:left="37" w:right="26"/>
              <w:rPr>
                <w:sz w:val="17"/>
                <w:szCs w:val="17"/>
              </w:rPr>
            </w:pPr>
            <w:r>
              <w:rPr>
                <w:spacing w:val="5"/>
                <w:sz w:val="17"/>
                <w:szCs w:val="17"/>
              </w:rPr>
              <w:t>铅(以</w:t>
            </w:r>
            <w:r>
              <w:rPr>
                <w:sz w:val="17"/>
                <w:szCs w:val="17"/>
              </w:rPr>
              <w:t>Pb</w:t>
            </w:r>
            <w:r>
              <w:rPr>
                <w:spacing w:val="5"/>
                <w:sz w:val="17"/>
                <w:szCs w:val="17"/>
              </w:rPr>
              <w:t>计)、展青霉素、苯甲酸及其钠盐(以苯甲酸计)、山梨酸及其钾盐(以山梨酸计)、脱氢乙</w:t>
            </w:r>
            <w:r>
              <w:rPr>
                <w:spacing w:val="4"/>
                <w:sz w:val="17"/>
                <w:szCs w:val="17"/>
              </w:rPr>
              <w:t>酸及其钠盐(以</w:t>
            </w:r>
            <w:r>
              <w:rPr>
                <w:spacing w:val="8"/>
                <w:sz w:val="17"/>
                <w:szCs w:val="17"/>
              </w:rPr>
              <w:t>脱氢乙酸计)、纳他霉素、</w:t>
            </w:r>
            <w:r>
              <w:rPr>
                <w:spacing w:val="-13"/>
                <w:sz w:val="17"/>
                <w:szCs w:val="17"/>
              </w:rPr>
              <w:t xml:space="preserve"> </w:t>
            </w:r>
            <w:r>
              <w:rPr>
                <w:spacing w:val="8"/>
                <w:sz w:val="17"/>
                <w:szCs w:val="17"/>
              </w:rPr>
              <w:t>防腐剂混合使用时各自用量占其最大使用量的比例之和、安赛蜜、甜蜜素(以环己</w:t>
            </w:r>
            <w:r>
              <w:rPr>
                <w:spacing w:val="4"/>
                <w:sz w:val="17"/>
                <w:szCs w:val="17"/>
              </w:rPr>
              <w:t>基氨基磺酸计)、阿斯巴甜、</w:t>
            </w:r>
            <w:r>
              <w:rPr>
                <w:spacing w:val="-41"/>
                <w:sz w:val="17"/>
                <w:szCs w:val="17"/>
              </w:rPr>
              <w:t xml:space="preserve"> </w:t>
            </w:r>
            <w:r>
              <w:rPr>
                <w:spacing w:val="4"/>
                <w:sz w:val="17"/>
                <w:szCs w:val="17"/>
              </w:rPr>
              <w:t>合成着色剂(柠檬黄、</w:t>
            </w:r>
            <w:r>
              <w:rPr>
                <w:spacing w:val="-33"/>
                <w:sz w:val="17"/>
                <w:szCs w:val="17"/>
              </w:rPr>
              <w:t xml:space="preserve"> </w:t>
            </w:r>
            <w:r>
              <w:rPr>
                <w:spacing w:val="4"/>
                <w:sz w:val="17"/>
                <w:szCs w:val="17"/>
              </w:rPr>
              <w:t>新红、苋菜红、</w:t>
            </w:r>
            <w:r>
              <w:rPr>
                <w:spacing w:val="-47"/>
                <w:sz w:val="17"/>
                <w:szCs w:val="17"/>
              </w:rPr>
              <w:t xml:space="preserve"> </w:t>
            </w:r>
            <w:r>
              <w:rPr>
                <w:spacing w:val="4"/>
                <w:sz w:val="17"/>
                <w:szCs w:val="17"/>
              </w:rPr>
              <w:t>靛蓝、胭脂</w:t>
            </w:r>
            <w:r>
              <w:rPr>
                <w:spacing w:val="3"/>
                <w:sz w:val="17"/>
                <w:szCs w:val="17"/>
              </w:rPr>
              <w:t>红、日落黄、 诱惑红、</w:t>
            </w:r>
            <w:r>
              <w:rPr>
                <w:spacing w:val="-40"/>
                <w:sz w:val="17"/>
                <w:szCs w:val="17"/>
              </w:rPr>
              <w:t xml:space="preserve"> </w:t>
            </w:r>
            <w:r>
              <w:rPr>
                <w:spacing w:val="3"/>
                <w:sz w:val="17"/>
                <w:szCs w:val="17"/>
              </w:rPr>
              <w:t>亮蓝、</w:t>
            </w:r>
          </w:p>
          <w:p w14:paraId="7605EB14">
            <w:pPr>
              <w:pStyle w:val="51"/>
              <w:spacing w:before="2" w:line="221" w:lineRule="auto"/>
              <w:ind w:left="37"/>
              <w:rPr>
                <w:sz w:val="17"/>
                <w:szCs w:val="17"/>
              </w:rPr>
            </w:pPr>
            <w:r>
              <w:rPr>
                <w:spacing w:val="9"/>
                <w:sz w:val="17"/>
                <w:szCs w:val="17"/>
              </w:rPr>
              <w:t>酸性红、喹啉黄、赤藓红)、菌落总数、大肠菌群、霉</w:t>
            </w:r>
            <w:r>
              <w:rPr>
                <w:spacing w:val="8"/>
                <w:sz w:val="17"/>
                <w:szCs w:val="17"/>
              </w:rPr>
              <w:t>菌、酵母</w:t>
            </w:r>
          </w:p>
        </w:tc>
      </w:tr>
      <w:tr w14:paraId="6214DF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7" w:hRule="atLeast"/>
        </w:trPr>
        <w:tc>
          <w:tcPr>
            <w:tcW w:w="459" w:type="dxa"/>
            <w:vMerge w:val="continue"/>
            <w:tcBorders>
              <w:top w:val="nil"/>
            </w:tcBorders>
            <w:vAlign w:val="top"/>
          </w:tcPr>
          <w:p w14:paraId="721A558A">
            <w:pPr>
              <w:rPr>
                <w:rFonts w:ascii="Arial"/>
                <w:sz w:val="21"/>
              </w:rPr>
            </w:pPr>
          </w:p>
        </w:tc>
        <w:tc>
          <w:tcPr>
            <w:tcW w:w="942" w:type="dxa"/>
            <w:vMerge w:val="continue"/>
            <w:tcBorders>
              <w:top w:val="nil"/>
            </w:tcBorders>
            <w:vAlign w:val="top"/>
          </w:tcPr>
          <w:p w14:paraId="0E81DADB">
            <w:pPr>
              <w:rPr>
                <w:rFonts w:ascii="Arial"/>
                <w:sz w:val="21"/>
              </w:rPr>
            </w:pPr>
          </w:p>
        </w:tc>
        <w:tc>
          <w:tcPr>
            <w:tcW w:w="1360" w:type="dxa"/>
            <w:vMerge w:val="continue"/>
            <w:tcBorders>
              <w:top w:val="nil"/>
            </w:tcBorders>
            <w:vAlign w:val="top"/>
          </w:tcPr>
          <w:p w14:paraId="01350902">
            <w:pPr>
              <w:rPr>
                <w:rFonts w:ascii="Arial"/>
                <w:sz w:val="21"/>
              </w:rPr>
            </w:pPr>
          </w:p>
        </w:tc>
        <w:tc>
          <w:tcPr>
            <w:tcW w:w="1581" w:type="dxa"/>
            <w:vAlign w:val="top"/>
          </w:tcPr>
          <w:p w14:paraId="499C8CC6">
            <w:pPr>
              <w:pStyle w:val="51"/>
              <w:spacing w:before="239" w:line="226" w:lineRule="auto"/>
              <w:ind w:left="440"/>
              <w:rPr>
                <w:sz w:val="17"/>
                <w:szCs w:val="17"/>
              </w:rPr>
            </w:pPr>
            <w:r>
              <w:rPr>
                <w:spacing w:val="6"/>
                <w:sz w:val="17"/>
                <w:szCs w:val="17"/>
              </w:rPr>
              <w:t>蛋白饮料</w:t>
            </w:r>
          </w:p>
        </w:tc>
        <w:tc>
          <w:tcPr>
            <w:tcW w:w="1586" w:type="dxa"/>
            <w:vAlign w:val="top"/>
          </w:tcPr>
          <w:p w14:paraId="5EADF247">
            <w:pPr>
              <w:pStyle w:val="51"/>
              <w:spacing w:before="239" w:line="226" w:lineRule="auto"/>
              <w:ind w:left="443"/>
              <w:rPr>
                <w:sz w:val="17"/>
                <w:szCs w:val="17"/>
              </w:rPr>
            </w:pPr>
            <w:r>
              <w:rPr>
                <w:spacing w:val="6"/>
                <w:sz w:val="17"/>
                <w:szCs w:val="17"/>
              </w:rPr>
              <w:t>蛋白饮料</w:t>
            </w:r>
          </w:p>
        </w:tc>
        <w:tc>
          <w:tcPr>
            <w:tcW w:w="682" w:type="dxa"/>
            <w:vAlign w:val="top"/>
          </w:tcPr>
          <w:p w14:paraId="7CA8BA70">
            <w:pPr>
              <w:pStyle w:val="51"/>
              <w:spacing w:before="240" w:line="230" w:lineRule="auto"/>
              <w:ind w:left="173"/>
              <w:rPr>
                <w:sz w:val="17"/>
                <w:szCs w:val="17"/>
              </w:rPr>
            </w:pPr>
            <w:r>
              <w:rPr>
                <w:spacing w:val="2"/>
                <w:sz w:val="17"/>
                <w:szCs w:val="17"/>
              </w:rPr>
              <w:t>一般</w:t>
            </w:r>
          </w:p>
        </w:tc>
        <w:tc>
          <w:tcPr>
            <w:tcW w:w="8563" w:type="dxa"/>
            <w:vAlign w:val="top"/>
          </w:tcPr>
          <w:p w14:paraId="3725AE15">
            <w:pPr>
              <w:pStyle w:val="51"/>
              <w:spacing w:before="90" w:line="275" w:lineRule="auto"/>
              <w:ind w:left="37" w:right="26" w:firstLine="2"/>
              <w:rPr>
                <w:sz w:val="17"/>
                <w:szCs w:val="17"/>
              </w:rPr>
            </w:pPr>
            <w:r>
              <w:rPr>
                <w:spacing w:val="5"/>
                <w:sz w:val="17"/>
                <w:szCs w:val="17"/>
              </w:rPr>
              <w:t>蛋白质、乳酸菌数、氰化物（以</w:t>
            </w:r>
            <w:r>
              <w:rPr>
                <w:sz w:val="17"/>
                <w:szCs w:val="17"/>
              </w:rPr>
              <w:t>HCN</w:t>
            </w:r>
            <w:r>
              <w:rPr>
                <w:spacing w:val="5"/>
                <w:sz w:val="17"/>
                <w:szCs w:val="17"/>
              </w:rPr>
              <w:t>计）、三聚氰胺、脱氢乙酸及其钠盐(以脱氢乙酸计)、安赛蜜、甜蜜素（以</w:t>
            </w:r>
            <w:r>
              <w:rPr>
                <w:spacing w:val="6"/>
                <w:sz w:val="17"/>
                <w:szCs w:val="17"/>
              </w:rPr>
              <w:t>环己基氨基磺酸计）、阿斯巴甜、</w:t>
            </w:r>
            <w:r>
              <w:rPr>
                <w:spacing w:val="50"/>
                <w:sz w:val="17"/>
                <w:szCs w:val="17"/>
              </w:rPr>
              <w:t xml:space="preserve"> </w:t>
            </w:r>
            <w:r>
              <w:rPr>
                <w:spacing w:val="6"/>
                <w:sz w:val="17"/>
                <w:szCs w:val="17"/>
              </w:rPr>
              <w:t>菌落总数、大肠菌群、霉菌</w:t>
            </w:r>
            <w:r>
              <w:rPr>
                <w:spacing w:val="5"/>
                <w:sz w:val="17"/>
                <w:szCs w:val="17"/>
              </w:rPr>
              <w:t>、酵母、商业无菌</w:t>
            </w:r>
          </w:p>
        </w:tc>
      </w:tr>
    </w:tbl>
    <w:p w14:paraId="784D2BEB">
      <w:pPr>
        <w:rPr>
          <w:rFonts w:ascii="Arial"/>
          <w:sz w:val="21"/>
        </w:rPr>
      </w:pPr>
    </w:p>
    <w:p w14:paraId="093C72FC">
      <w:pPr>
        <w:rPr>
          <w:rFonts w:ascii="Arial" w:hAnsi="Arial" w:eastAsia="Arial" w:cs="Arial"/>
          <w:sz w:val="21"/>
          <w:szCs w:val="21"/>
        </w:rPr>
        <w:sectPr>
          <w:footerReference r:id="rId10" w:type="default"/>
          <w:pgSz w:w="16838" w:h="11906"/>
          <w:pgMar w:top="1011" w:right="829" w:bottom="400" w:left="363" w:header="567" w:footer="567" w:gutter="0"/>
          <w:pgNumType w:fmt="decimal"/>
          <w:cols w:space="720" w:num="1"/>
        </w:sectPr>
      </w:pPr>
    </w:p>
    <w:p w14:paraId="26EF03F9">
      <w:pPr>
        <w:spacing w:before="18"/>
      </w:pPr>
    </w:p>
    <w:p w14:paraId="673F371B">
      <w:pPr>
        <w:spacing w:before="18"/>
      </w:pPr>
    </w:p>
    <w:tbl>
      <w:tblPr>
        <w:tblStyle w:val="50"/>
        <w:tblW w:w="15173" w:type="dxa"/>
        <w:tblInd w:w="46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59"/>
        <w:gridCol w:w="942"/>
        <w:gridCol w:w="1360"/>
        <w:gridCol w:w="1581"/>
        <w:gridCol w:w="1586"/>
        <w:gridCol w:w="682"/>
        <w:gridCol w:w="8563"/>
      </w:tblGrid>
      <w:tr w14:paraId="56CEF2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459" w:type="dxa"/>
            <w:vAlign w:val="top"/>
          </w:tcPr>
          <w:p w14:paraId="66EE2039">
            <w:pPr>
              <w:spacing w:before="241" w:line="234" w:lineRule="auto"/>
              <w:ind w:left="52"/>
              <w:rPr>
                <w:rFonts w:ascii="黑体" w:hAnsi="黑体" w:eastAsia="黑体" w:cs="黑体"/>
                <w:sz w:val="17"/>
                <w:szCs w:val="17"/>
              </w:rPr>
            </w:pPr>
            <w:r>
              <w:rPr>
                <w:rFonts w:ascii="黑体" w:hAnsi="黑体" w:eastAsia="黑体" w:cs="黑体"/>
                <w:spacing w:val="6"/>
                <w:sz w:val="17"/>
                <w:szCs w:val="17"/>
              </w:rPr>
              <w:t>序号</w:t>
            </w:r>
          </w:p>
        </w:tc>
        <w:tc>
          <w:tcPr>
            <w:tcW w:w="942" w:type="dxa"/>
            <w:vAlign w:val="top"/>
          </w:tcPr>
          <w:p w14:paraId="4FC31886">
            <w:pPr>
              <w:spacing w:before="90" w:line="232" w:lineRule="auto"/>
              <w:ind w:left="111"/>
              <w:rPr>
                <w:rFonts w:ascii="黑体" w:hAnsi="黑体" w:eastAsia="黑体" w:cs="黑体"/>
                <w:sz w:val="17"/>
                <w:szCs w:val="17"/>
              </w:rPr>
            </w:pPr>
            <w:r>
              <w:rPr>
                <w:rFonts w:ascii="黑体" w:hAnsi="黑体" w:eastAsia="黑体" w:cs="黑体"/>
                <w:spacing w:val="8"/>
                <w:sz w:val="17"/>
                <w:szCs w:val="17"/>
              </w:rPr>
              <w:t>食品大类</w:t>
            </w:r>
          </w:p>
          <w:p w14:paraId="37D31C15">
            <w:pPr>
              <w:spacing w:before="86" w:line="227" w:lineRule="auto"/>
              <w:ind w:left="237"/>
              <w:rPr>
                <w:rFonts w:ascii="黑体" w:hAnsi="黑体" w:eastAsia="黑体" w:cs="黑体"/>
                <w:sz w:val="17"/>
                <w:szCs w:val="17"/>
              </w:rPr>
            </w:pPr>
            <w:r>
              <w:rPr>
                <w:rFonts w:ascii="黑体" w:hAnsi="黑体" w:eastAsia="黑体" w:cs="黑体"/>
                <w:spacing w:val="-4"/>
                <w:sz w:val="17"/>
                <w:szCs w:val="17"/>
              </w:rPr>
              <w:t>(一级)</w:t>
            </w:r>
          </w:p>
        </w:tc>
        <w:tc>
          <w:tcPr>
            <w:tcW w:w="1360" w:type="dxa"/>
            <w:vAlign w:val="top"/>
          </w:tcPr>
          <w:p w14:paraId="6A3D2718">
            <w:pPr>
              <w:spacing w:before="90" w:line="232" w:lineRule="auto"/>
              <w:ind w:left="321"/>
              <w:rPr>
                <w:rFonts w:ascii="黑体" w:hAnsi="黑体" w:eastAsia="黑体" w:cs="黑体"/>
                <w:sz w:val="17"/>
                <w:szCs w:val="17"/>
              </w:rPr>
            </w:pPr>
            <w:r>
              <w:rPr>
                <w:rFonts w:ascii="黑体" w:hAnsi="黑体" w:eastAsia="黑体" w:cs="黑体"/>
                <w:spacing w:val="8"/>
                <w:sz w:val="17"/>
                <w:szCs w:val="17"/>
              </w:rPr>
              <w:t>食品亚类</w:t>
            </w:r>
          </w:p>
          <w:p w14:paraId="30808E55">
            <w:pPr>
              <w:spacing w:before="86" w:line="227" w:lineRule="auto"/>
              <w:ind w:left="444"/>
              <w:rPr>
                <w:rFonts w:ascii="黑体" w:hAnsi="黑体" w:eastAsia="黑体" w:cs="黑体"/>
                <w:sz w:val="17"/>
                <w:szCs w:val="17"/>
              </w:rPr>
            </w:pPr>
            <w:r>
              <w:rPr>
                <w:rFonts w:ascii="黑体" w:hAnsi="黑体" w:eastAsia="黑体" w:cs="黑体"/>
                <w:spacing w:val="-3"/>
                <w:sz w:val="17"/>
                <w:szCs w:val="17"/>
              </w:rPr>
              <w:t>(二级)</w:t>
            </w:r>
          </w:p>
        </w:tc>
        <w:tc>
          <w:tcPr>
            <w:tcW w:w="1581" w:type="dxa"/>
            <w:vAlign w:val="top"/>
          </w:tcPr>
          <w:p w14:paraId="0AE4031E">
            <w:pPr>
              <w:spacing w:before="90" w:line="232" w:lineRule="auto"/>
              <w:ind w:left="433"/>
              <w:rPr>
                <w:rFonts w:ascii="黑体" w:hAnsi="黑体" w:eastAsia="黑体" w:cs="黑体"/>
                <w:sz w:val="17"/>
                <w:szCs w:val="17"/>
              </w:rPr>
            </w:pPr>
            <w:r>
              <w:rPr>
                <w:rFonts w:ascii="黑体" w:hAnsi="黑体" w:eastAsia="黑体" w:cs="黑体"/>
                <w:spacing w:val="8"/>
                <w:sz w:val="17"/>
                <w:szCs w:val="17"/>
              </w:rPr>
              <w:t>食品品种</w:t>
            </w:r>
          </w:p>
          <w:p w14:paraId="3FC7D65C">
            <w:pPr>
              <w:spacing w:before="86" w:line="227" w:lineRule="auto"/>
              <w:ind w:left="558"/>
              <w:rPr>
                <w:rFonts w:ascii="黑体" w:hAnsi="黑体" w:eastAsia="黑体" w:cs="黑体"/>
                <w:sz w:val="17"/>
                <w:szCs w:val="17"/>
              </w:rPr>
            </w:pPr>
            <w:r>
              <w:rPr>
                <w:rFonts w:ascii="黑体" w:hAnsi="黑体" w:eastAsia="黑体" w:cs="黑体"/>
                <w:spacing w:val="-4"/>
                <w:sz w:val="17"/>
                <w:szCs w:val="17"/>
              </w:rPr>
              <w:t>(三级)</w:t>
            </w:r>
          </w:p>
        </w:tc>
        <w:tc>
          <w:tcPr>
            <w:tcW w:w="1586" w:type="dxa"/>
            <w:vAlign w:val="top"/>
          </w:tcPr>
          <w:p w14:paraId="1BE8587E">
            <w:pPr>
              <w:spacing w:before="90" w:line="232" w:lineRule="auto"/>
              <w:ind w:left="436"/>
              <w:rPr>
                <w:rFonts w:ascii="黑体" w:hAnsi="黑体" w:eastAsia="黑体" w:cs="黑体"/>
                <w:sz w:val="17"/>
                <w:szCs w:val="17"/>
              </w:rPr>
            </w:pPr>
            <w:r>
              <w:rPr>
                <w:rFonts w:ascii="黑体" w:hAnsi="黑体" w:eastAsia="黑体" w:cs="黑体"/>
                <w:spacing w:val="8"/>
                <w:sz w:val="17"/>
                <w:szCs w:val="17"/>
              </w:rPr>
              <w:t>食品细类</w:t>
            </w:r>
          </w:p>
          <w:p w14:paraId="6D48CEAA">
            <w:pPr>
              <w:spacing w:before="86" w:line="227" w:lineRule="auto"/>
              <w:ind w:left="561"/>
              <w:rPr>
                <w:rFonts w:ascii="黑体" w:hAnsi="黑体" w:eastAsia="黑体" w:cs="黑体"/>
                <w:sz w:val="17"/>
                <w:szCs w:val="17"/>
              </w:rPr>
            </w:pPr>
            <w:r>
              <w:rPr>
                <w:rFonts w:ascii="黑体" w:hAnsi="黑体" w:eastAsia="黑体" w:cs="黑体"/>
                <w:spacing w:val="-4"/>
                <w:sz w:val="17"/>
                <w:szCs w:val="17"/>
              </w:rPr>
              <w:t>(四级)</w:t>
            </w:r>
          </w:p>
        </w:tc>
        <w:tc>
          <w:tcPr>
            <w:tcW w:w="682" w:type="dxa"/>
            <w:vAlign w:val="top"/>
          </w:tcPr>
          <w:p w14:paraId="42C8B995">
            <w:pPr>
              <w:spacing w:before="89" w:line="233" w:lineRule="auto"/>
              <w:ind w:left="166"/>
              <w:rPr>
                <w:rFonts w:ascii="黑体" w:hAnsi="黑体" w:eastAsia="黑体" w:cs="黑体"/>
                <w:sz w:val="17"/>
                <w:szCs w:val="17"/>
              </w:rPr>
            </w:pPr>
            <w:r>
              <w:rPr>
                <w:rFonts w:ascii="黑体" w:hAnsi="黑体" w:eastAsia="黑体" w:cs="黑体"/>
                <w:spacing w:val="6"/>
                <w:sz w:val="17"/>
                <w:szCs w:val="17"/>
              </w:rPr>
              <w:t>风险</w:t>
            </w:r>
          </w:p>
          <w:p w14:paraId="136DC5B9">
            <w:pPr>
              <w:spacing w:before="85" w:line="227" w:lineRule="auto"/>
              <w:ind w:left="163"/>
              <w:rPr>
                <w:rFonts w:ascii="黑体" w:hAnsi="黑体" w:eastAsia="黑体" w:cs="黑体"/>
                <w:sz w:val="17"/>
                <w:szCs w:val="17"/>
              </w:rPr>
            </w:pPr>
            <w:r>
              <w:rPr>
                <w:rFonts w:ascii="黑体" w:hAnsi="黑体" w:eastAsia="黑体" w:cs="黑体"/>
                <w:spacing w:val="7"/>
                <w:sz w:val="17"/>
                <w:szCs w:val="17"/>
              </w:rPr>
              <w:t>等级</w:t>
            </w:r>
          </w:p>
        </w:tc>
        <w:tc>
          <w:tcPr>
            <w:tcW w:w="8563" w:type="dxa"/>
            <w:vAlign w:val="top"/>
          </w:tcPr>
          <w:p w14:paraId="3A37FDD3">
            <w:pPr>
              <w:spacing w:before="241" w:line="232" w:lineRule="auto"/>
              <w:ind w:left="3744"/>
              <w:rPr>
                <w:rFonts w:ascii="黑体" w:hAnsi="黑体" w:eastAsia="黑体" w:cs="黑体"/>
                <w:sz w:val="17"/>
                <w:szCs w:val="17"/>
              </w:rPr>
            </w:pPr>
            <w:r>
              <w:rPr>
                <w:rFonts w:ascii="黑体" w:hAnsi="黑体" w:eastAsia="黑体" w:cs="黑体"/>
                <w:spacing w:val="8"/>
                <w:sz w:val="17"/>
                <w:szCs w:val="17"/>
              </w:rPr>
              <w:t>监督抽检项目</w:t>
            </w:r>
          </w:p>
        </w:tc>
      </w:tr>
      <w:tr w14:paraId="513101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4" w:hRule="atLeast"/>
        </w:trPr>
        <w:tc>
          <w:tcPr>
            <w:tcW w:w="459" w:type="dxa"/>
            <w:vMerge w:val="restart"/>
            <w:tcBorders>
              <w:bottom w:val="nil"/>
            </w:tcBorders>
            <w:vAlign w:val="top"/>
          </w:tcPr>
          <w:p w14:paraId="0B7CB071">
            <w:pPr>
              <w:rPr>
                <w:rFonts w:ascii="Arial"/>
                <w:sz w:val="21"/>
              </w:rPr>
            </w:pPr>
          </w:p>
        </w:tc>
        <w:tc>
          <w:tcPr>
            <w:tcW w:w="942" w:type="dxa"/>
            <w:vMerge w:val="restart"/>
            <w:tcBorders>
              <w:bottom w:val="nil"/>
            </w:tcBorders>
            <w:vAlign w:val="top"/>
          </w:tcPr>
          <w:p w14:paraId="444E60E5">
            <w:pPr>
              <w:rPr>
                <w:rFonts w:ascii="Arial"/>
                <w:sz w:val="21"/>
              </w:rPr>
            </w:pPr>
          </w:p>
        </w:tc>
        <w:tc>
          <w:tcPr>
            <w:tcW w:w="1360" w:type="dxa"/>
            <w:vMerge w:val="restart"/>
            <w:tcBorders>
              <w:bottom w:val="nil"/>
            </w:tcBorders>
            <w:vAlign w:val="top"/>
          </w:tcPr>
          <w:p w14:paraId="7A7030C6">
            <w:pPr>
              <w:rPr>
                <w:rFonts w:ascii="Arial"/>
                <w:sz w:val="21"/>
              </w:rPr>
            </w:pPr>
          </w:p>
        </w:tc>
        <w:tc>
          <w:tcPr>
            <w:tcW w:w="1581" w:type="dxa"/>
            <w:vAlign w:val="top"/>
          </w:tcPr>
          <w:p w14:paraId="32A68EB1">
            <w:pPr>
              <w:spacing w:line="329" w:lineRule="auto"/>
              <w:rPr>
                <w:rFonts w:ascii="Arial"/>
                <w:sz w:val="21"/>
              </w:rPr>
            </w:pPr>
          </w:p>
          <w:p w14:paraId="433F36AF">
            <w:pPr>
              <w:pStyle w:val="51"/>
              <w:spacing w:before="55" w:line="226" w:lineRule="auto"/>
              <w:ind w:left="169"/>
              <w:rPr>
                <w:sz w:val="17"/>
                <w:szCs w:val="17"/>
              </w:rPr>
            </w:pPr>
            <w:r>
              <w:rPr>
                <w:spacing w:val="7"/>
                <w:sz w:val="17"/>
                <w:szCs w:val="17"/>
              </w:rPr>
              <w:t>碳酸饮料(汽水)</w:t>
            </w:r>
          </w:p>
        </w:tc>
        <w:tc>
          <w:tcPr>
            <w:tcW w:w="1586" w:type="dxa"/>
            <w:vAlign w:val="top"/>
          </w:tcPr>
          <w:p w14:paraId="6662DE86">
            <w:pPr>
              <w:spacing w:line="329" w:lineRule="auto"/>
              <w:rPr>
                <w:rFonts w:ascii="Arial"/>
                <w:sz w:val="21"/>
              </w:rPr>
            </w:pPr>
          </w:p>
          <w:p w14:paraId="03C54C94">
            <w:pPr>
              <w:pStyle w:val="51"/>
              <w:spacing w:before="55" w:line="226" w:lineRule="auto"/>
              <w:ind w:left="172"/>
              <w:rPr>
                <w:sz w:val="17"/>
                <w:szCs w:val="17"/>
              </w:rPr>
            </w:pPr>
            <w:r>
              <w:rPr>
                <w:spacing w:val="7"/>
                <w:sz w:val="17"/>
                <w:szCs w:val="17"/>
              </w:rPr>
              <w:t>碳酸饮料(汽水)</w:t>
            </w:r>
          </w:p>
        </w:tc>
        <w:tc>
          <w:tcPr>
            <w:tcW w:w="682" w:type="dxa"/>
            <w:vAlign w:val="top"/>
          </w:tcPr>
          <w:p w14:paraId="266DC7FD">
            <w:pPr>
              <w:spacing w:line="329" w:lineRule="auto"/>
              <w:rPr>
                <w:rFonts w:ascii="Arial"/>
                <w:sz w:val="21"/>
              </w:rPr>
            </w:pPr>
          </w:p>
          <w:p w14:paraId="64B3ED8E">
            <w:pPr>
              <w:pStyle w:val="51"/>
              <w:spacing w:before="55" w:line="230" w:lineRule="auto"/>
              <w:ind w:left="173"/>
              <w:rPr>
                <w:sz w:val="17"/>
                <w:szCs w:val="17"/>
              </w:rPr>
            </w:pPr>
            <w:r>
              <w:rPr>
                <w:spacing w:val="2"/>
                <w:sz w:val="17"/>
                <w:szCs w:val="17"/>
              </w:rPr>
              <w:t>一般</w:t>
            </w:r>
          </w:p>
        </w:tc>
        <w:tc>
          <w:tcPr>
            <w:tcW w:w="8563" w:type="dxa"/>
            <w:vAlign w:val="top"/>
          </w:tcPr>
          <w:p w14:paraId="4A98383E">
            <w:pPr>
              <w:pStyle w:val="51"/>
              <w:spacing w:before="87" w:line="292" w:lineRule="auto"/>
              <w:ind w:left="39" w:firstLine="3"/>
              <w:jc w:val="both"/>
              <w:rPr>
                <w:sz w:val="17"/>
                <w:szCs w:val="17"/>
              </w:rPr>
            </w:pPr>
            <w:r>
              <w:rPr>
                <w:spacing w:val="9"/>
                <w:sz w:val="17"/>
                <w:szCs w:val="17"/>
              </w:rPr>
              <w:t>二氧化碳气容量、苯甲酸及其钠盐（以苯甲酸计）、山梨酸及其钾盐（以山梨酸计）、防腐剂混合使用时各</w:t>
            </w:r>
            <w:r>
              <w:rPr>
                <w:spacing w:val="8"/>
                <w:sz w:val="17"/>
                <w:szCs w:val="17"/>
              </w:rPr>
              <w:t>自用量占其最大使用量的比例之和、安赛蜜、甜</w:t>
            </w:r>
            <w:r>
              <w:rPr>
                <w:spacing w:val="7"/>
                <w:sz w:val="17"/>
                <w:szCs w:val="17"/>
              </w:rPr>
              <w:t>蜜素（以环己基氨基磺酸计）、阿斯巴甜、菌落总数、霉菌、</w:t>
            </w:r>
            <w:r>
              <w:rPr>
                <w:spacing w:val="2"/>
                <w:sz w:val="17"/>
                <w:szCs w:val="17"/>
              </w:rPr>
              <w:t>酵母</w:t>
            </w:r>
          </w:p>
        </w:tc>
      </w:tr>
      <w:tr w14:paraId="730CA3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459" w:type="dxa"/>
            <w:vMerge w:val="continue"/>
            <w:tcBorders>
              <w:top w:val="nil"/>
              <w:bottom w:val="nil"/>
            </w:tcBorders>
            <w:vAlign w:val="top"/>
          </w:tcPr>
          <w:p w14:paraId="5E9C8372">
            <w:pPr>
              <w:rPr>
                <w:rFonts w:ascii="Arial"/>
                <w:sz w:val="21"/>
              </w:rPr>
            </w:pPr>
          </w:p>
        </w:tc>
        <w:tc>
          <w:tcPr>
            <w:tcW w:w="942" w:type="dxa"/>
            <w:vMerge w:val="continue"/>
            <w:tcBorders>
              <w:top w:val="nil"/>
              <w:bottom w:val="nil"/>
            </w:tcBorders>
            <w:vAlign w:val="top"/>
          </w:tcPr>
          <w:p w14:paraId="17CF8AAA">
            <w:pPr>
              <w:rPr>
                <w:rFonts w:ascii="Arial"/>
                <w:sz w:val="21"/>
              </w:rPr>
            </w:pPr>
          </w:p>
        </w:tc>
        <w:tc>
          <w:tcPr>
            <w:tcW w:w="1360" w:type="dxa"/>
            <w:vMerge w:val="continue"/>
            <w:tcBorders>
              <w:top w:val="nil"/>
              <w:bottom w:val="nil"/>
            </w:tcBorders>
            <w:vAlign w:val="top"/>
          </w:tcPr>
          <w:p w14:paraId="0A4CA128">
            <w:pPr>
              <w:rPr>
                <w:rFonts w:ascii="Arial"/>
                <w:sz w:val="21"/>
              </w:rPr>
            </w:pPr>
          </w:p>
        </w:tc>
        <w:tc>
          <w:tcPr>
            <w:tcW w:w="1581" w:type="dxa"/>
            <w:vAlign w:val="top"/>
          </w:tcPr>
          <w:p w14:paraId="0848C067">
            <w:pPr>
              <w:pStyle w:val="51"/>
              <w:spacing w:before="238" w:line="226" w:lineRule="auto"/>
              <w:ind w:left="528"/>
              <w:rPr>
                <w:sz w:val="17"/>
                <w:szCs w:val="17"/>
              </w:rPr>
            </w:pPr>
            <w:r>
              <w:rPr>
                <w:spacing w:val="6"/>
                <w:sz w:val="17"/>
                <w:szCs w:val="17"/>
              </w:rPr>
              <w:t>茶饮料</w:t>
            </w:r>
          </w:p>
        </w:tc>
        <w:tc>
          <w:tcPr>
            <w:tcW w:w="1586" w:type="dxa"/>
            <w:vAlign w:val="top"/>
          </w:tcPr>
          <w:p w14:paraId="0439D95B">
            <w:pPr>
              <w:pStyle w:val="51"/>
              <w:spacing w:before="238" w:line="226" w:lineRule="auto"/>
              <w:ind w:left="531"/>
              <w:rPr>
                <w:sz w:val="17"/>
                <w:szCs w:val="17"/>
              </w:rPr>
            </w:pPr>
            <w:r>
              <w:rPr>
                <w:spacing w:val="6"/>
                <w:sz w:val="17"/>
                <w:szCs w:val="17"/>
              </w:rPr>
              <w:t>茶饮料</w:t>
            </w:r>
          </w:p>
        </w:tc>
        <w:tc>
          <w:tcPr>
            <w:tcW w:w="682" w:type="dxa"/>
            <w:vAlign w:val="top"/>
          </w:tcPr>
          <w:p w14:paraId="4825A9DD">
            <w:pPr>
              <w:pStyle w:val="51"/>
              <w:spacing w:before="238" w:line="230" w:lineRule="auto"/>
              <w:ind w:left="173"/>
              <w:rPr>
                <w:sz w:val="17"/>
                <w:szCs w:val="17"/>
              </w:rPr>
            </w:pPr>
            <w:r>
              <w:rPr>
                <w:spacing w:val="2"/>
                <w:sz w:val="17"/>
                <w:szCs w:val="17"/>
              </w:rPr>
              <w:t>一般</w:t>
            </w:r>
          </w:p>
        </w:tc>
        <w:tc>
          <w:tcPr>
            <w:tcW w:w="8563" w:type="dxa"/>
            <w:vAlign w:val="top"/>
          </w:tcPr>
          <w:p w14:paraId="7FC4B61C">
            <w:pPr>
              <w:pStyle w:val="51"/>
              <w:spacing w:before="86" w:line="276" w:lineRule="auto"/>
              <w:ind w:left="38" w:right="72" w:hanging="1"/>
              <w:rPr>
                <w:sz w:val="17"/>
                <w:szCs w:val="17"/>
              </w:rPr>
            </w:pPr>
            <w:r>
              <w:rPr>
                <w:spacing w:val="7"/>
                <w:sz w:val="17"/>
                <w:szCs w:val="17"/>
              </w:rPr>
              <w:t>茶多酚、咖啡因、脱氢乙酸及其钠盐（以脱氢乙酸计）、</w:t>
            </w:r>
            <w:r>
              <w:rPr>
                <w:spacing w:val="48"/>
                <w:sz w:val="17"/>
                <w:szCs w:val="17"/>
              </w:rPr>
              <w:t xml:space="preserve"> </w:t>
            </w:r>
            <w:r>
              <w:rPr>
                <w:spacing w:val="7"/>
                <w:sz w:val="17"/>
                <w:szCs w:val="17"/>
              </w:rPr>
              <w:t>安赛蜜、甜蜜素（以环己基氨基磺酸计</w:t>
            </w:r>
            <w:r>
              <w:rPr>
                <w:spacing w:val="6"/>
                <w:sz w:val="17"/>
                <w:szCs w:val="17"/>
              </w:rPr>
              <w:t>）、阿斯巴</w:t>
            </w:r>
            <w:r>
              <w:rPr>
                <w:spacing w:val="7"/>
                <w:sz w:val="17"/>
                <w:szCs w:val="17"/>
              </w:rPr>
              <w:t>甜、菌落总数</w:t>
            </w:r>
          </w:p>
        </w:tc>
      </w:tr>
      <w:tr w14:paraId="79A11C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04" w:hRule="atLeast"/>
        </w:trPr>
        <w:tc>
          <w:tcPr>
            <w:tcW w:w="459" w:type="dxa"/>
            <w:vMerge w:val="continue"/>
            <w:tcBorders>
              <w:top w:val="nil"/>
              <w:bottom w:val="nil"/>
            </w:tcBorders>
            <w:vAlign w:val="top"/>
          </w:tcPr>
          <w:p w14:paraId="66291E53">
            <w:pPr>
              <w:rPr>
                <w:rFonts w:ascii="Arial"/>
                <w:sz w:val="21"/>
              </w:rPr>
            </w:pPr>
          </w:p>
        </w:tc>
        <w:tc>
          <w:tcPr>
            <w:tcW w:w="942" w:type="dxa"/>
            <w:vMerge w:val="continue"/>
            <w:tcBorders>
              <w:top w:val="nil"/>
              <w:bottom w:val="nil"/>
            </w:tcBorders>
            <w:vAlign w:val="top"/>
          </w:tcPr>
          <w:p w14:paraId="4FA5080F">
            <w:pPr>
              <w:rPr>
                <w:rFonts w:ascii="Arial"/>
                <w:sz w:val="21"/>
              </w:rPr>
            </w:pPr>
          </w:p>
        </w:tc>
        <w:tc>
          <w:tcPr>
            <w:tcW w:w="1360" w:type="dxa"/>
            <w:vMerge w:val="continue"/>
            <w:tcBorders>
              <w:top w:val="nil"/>
              <w:bottom w:val="nil"/>
            </w:tcBorders>
            <w:vAlign w:val="top"/>
          </w:tcPr>
          <w:p w14:paraId="53BACF8C">
            <w:pPr>
              <w:rPr>
                <w:rFonts w:ascii="Arial"/>
                <w:sz w:val="21"/>
              </w:rPr>
            </w:pPr>
          </w:p>
        </w:tc>
        <w:tc>
          <w:tcPr>
            <w:tcW w:w="1581" w:type="dxa"/>
            <w:vAlign w:val="top"/>
          </w:tcPr>
          <w:p w14:paraId="66D9ADFA">
            <w:pPr>
              <w:spacing w:line="314" w:lineRule="auto"/>
              <w:rPr>
                <w:rFonts w:ascii="Arial"/>
                <w:sz w:val="21"/>
              </w:rPr>
            </w:pPr>
          </w:p>
          <w:p w14:paraId="0E39BB2D">
            <w:pPr>
              <w:spacing w:line="315" w:lineRule="auto"/>
              <w:rPr>
                <w:rFonts w:ascii="Arial"/>
                <w:sz w:val="21"/>
              </w:rPr>
            </w:pPr>
          </w:p>
          <w:p w14:paraId="3BCD9837">
            <w:pPr>
              <w:pStyle w:val="51"/>
              <w:spacing w:before="55" w:line="226" w:lineRule="auto"/>
              <w:ind w:left="457"/>
              <w:rPr>
                <w:sz w:val="17"/>
                <w:szCs w:val="17"/>
              </w:rPr>
            </w:pPr>
            <w:r>
              <w:rPr>
                <w:spacing w:val="2"/>
                <w:sz w:val="17"/>
                <w:szCs w:val="17"/>
              </w:rPr>
              <w:t>固体饮料</w:t>
            </w:r>
          </w:p>
        </w:tc>
        <w:tc>
          <w:tcPr>
            <w:tcW w:w="1586" w:type="dxa"/>
            <w:vAlign w:val="top"/>
          </w:tcPr>
          <w:p w14:paraId="6AC1D3F8">
            <w:pPr>
              <w:spacing w:line="314" w:lineRule="auto"/>
              <w:rPr>
                <w:rFonts w:ascii="Arial"/>
                <w:sz w:val="21"/>
              </w:rPr>
            </w:pPr>
          </w:p>
          <w:p w14:paraId="6A0B17B0">
            <w:pPr>
              <w:spacing w:line="315" w:lineRule="auto"/>
              <w:rPr>
                <w:rFonts w:ascii="Arial"/>
                <w:sz w:val="21"/>
              </w:rPr>
            </w:pPr>
          </w:p>
          <w:p w14:paraId="4565BF93">
            <w:pPr>
              <w:pStyle w:val="51"/>
              <w:spacing w:before="55" w:line="226" w:lineRule="auto"/>
              <w:ind w:left="460"/>
              <w:rPr>
                <w:sz w:val="17"/>
                <w:szCs w:val="17"/>
              </w:rPr>
            </w:pPr>
            <w:r>
              <w:rPr>
                <w:spacing w:val="2"/>
                <w:sz w:val="17"/>
                <w:szCs w:val="17"/>
              </w:rPr>
              <w:t>固体饮料</w:t>
            </w:r>
          </w:p>
        </w:tc>
        <w:tc>
          <w:tcPr>
            <w:tcW w:w="682" w:type="dxa"/>
            <w:vAlign w:val="top"/>
          </w:tcPr>
          <w:p w14:paraId="5487FCA9">
            <w:pPr>
              <w:spacing w:line="315" w:lineRule="auto"/>
              <w:rPr>
                <w:rFonts w:ascii="Arial"/>
                <w:sz w:val="21"/>
              </w:rPr>
            </w:pPr>
          </w:p>
          <w:p w14:paraId="448A7190">
            <w:pPr>
              <w:spacing w:line="315" w:lineRule="auto"/>
              <w:rPr>
                <w:rFonts w:ascii="Arial"/>
                <w:sz w:val="21"/>
              </w:rPr>
            </w:pPr>
          </w:p>
          <w:p w14:paraId="60F09DC5">
            <w:pPr>
              <w:pStyle w:val="51"/>
              <w:spacing w:before="55" w:line="227" w:lineRule="auto"/>
              <w:ind w:left="170"/>
              <w:rPr>
                <w:sz w:val="17"/>
                <w:szCs w:val="17"/>
              </w:rPr>
            </w:pPr>
            <w:r>
              <w:rPr>
                <w:spacing w:val="3"/>
                <w:sz w:val="17"/>
                <w:szCs w:val="17"/>
              </w:rPr>
              <w:t>较高</w:t>
            </w:r>
          </w:p>
        </w:tc>
        <w:tc>
          <w:tcPr>
            <w:tcW w:w="8563" w:type="dxa"/>
            <w:vAlign w:val="top"/>
          </w:tcPr>
          <w:p w14:paraId="47A4A507">
            <w:pPr>
              <w:pStyle w:val="51"/>
              <w:spacing w:before="89" w:line="305" w:lineRule="auto"/>
              <w:ind w:left="37" w:right="26" w:firstLine="2"/>
              <w:jc w:val="both"/>
              <w:rPr>
                <w:sz w:val="17"/>
                <w:szCs w:val="17"/>
              </w:rPr>
            </w:pPr>
            <w:r>
              <w:rPr>
                <w:spacing w:val="8"/>
                <w:sz w:val="17"/>
                <w:szCs w:val="17"/>
              </w:rPr>
              <w:t>蛋白质、乳酸菌数、西地那非、他达拉非、西布曲明、</w:t>
            </w:r>
            <w:r>
              <w:rPr>
                <w:spacing w:val="-46"/>
                <w:sz w:val="17"/>
                <w:szCs w:val="17"/>
              </w:rPr>
              <w:t xml:space="preserve"> </w:t>
            </w:r>
            <w:r>
              <w:rPr>
                <w:spacing w:val="8"/>
                <w:sz w:val="17"/>
                <w:szCs w:val="17"/>
              </w:rPr>
              <w:t>比沙可啶、铅(以</w:t>
            </w:r>
            <w:r>
              <w:rPr>
                <w:sz w:val="17"/>
                <w:szCs w:val="17"/>
              </w:rPr>
              <w:t>Pb</w:t>
            </w:r>
            <w:r>
              <w:rPr>
                <w:spacing w:val="8"/>
                <w:sz w:val="17"/>
                <w:szCs w:val="17"/>
              </w:rPr>
              <w:t>计)、氰化物(以</w:t>
            </w:r>
            <w:r>
              <w:rPr>
                <w:sz w:val="17"/>
                <w:szCs w:val="17"/>
              </w:rPr>
              <w:t>HCN</w:t>
            </w:r>
            <w:r>
              <w:rPr>
                <w:spacing w:val="8"/>
                <w:sz w:val="17"/>
                <w:szCs w:val="17"/>
              </w:rPr>
              <w:t>计)、苯甲酸及</w:t>
            </w:r>
            <w:r>
              <w:rPr>
                <w:spacing w:val="9"/>
                <w:sz w:val="17"/>
                <w:szCs w:val="17"/>
              </w:rPr>
              <w:t>其钠盐(以苯甲酸计)、山梨酸及其钾盐(以山梨酸计)、防腐剂混合使用时各自用量占其最大使用量的比例之</w:t>
            </w:r>
            <w:r>
              <w:rPr>
                <w:spacing w:val="8"/>
                <w:sz w:val="17"/>
                <w:szCs w:val="17"/>
              </w:rPr>
              <w:t>和、糖精钠(以糖精计)、安赛蜜、甜蜜素(以环己基氨基磺酸计)、阿斯巴甜、合成着色剂(柠檬黄、新红、苋菜红、靛蓝、胭脂红、</w:t>
            </w:r>
            <w:r>
              <w:rPr>
                <w:spacing w:val="-33"/>
                <w:sz w:val="17"/>
                <w:szCs w:val="17"/>
              </w:rPr>
              <w:t xml:space="preserve"> </w:t>
            </w:r>
            <w:r>
              <w:rPr>
                <w:spacing w:val="8"/>
                <w:sz w:val="17"/>
                <w:szCs w:val="17"/>
              </w:rPr>
              <w:t>日落黄、诱惑红、亮蓝、酸性红、喹啉黄、</w:t>
            </w:r>
            <w:r>
              <w:rPr>
                <w:spacing w:val="7"/>
                <w:sz w:val="17"/>
                <w:szCs w:val="17"/>
              </w:rPr>
              <w:t>赤藓红)、相同色泽着色剂混合使用时各自</w:t>
            </w:r>
            <w:r>
              <w:rPr>
                <w:spacing w:val="9"/>
                <w:sz w:val="17"/>
                <w:szCs w:val="17"/>
              </w:rPr>
              <w:t>用量占其最大使用量的比例之和、菌落总数、大肠菌群、霉菌</w:t>
            </w:r>
          </w:p>
        </w:tc>
      </w:tr>
      <w:tr w14:paraId="68E794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trPr>
        <w:tc>
          <w:tcPr>
            <w:tcW w:w="459" w:type="dxa"/>
            <w:vMerge w:val="continue"/>
            <w:tcBorders>
              <w:top w:val="nil"/>
            </w:tcBorders>
            <w:vAlign w:val="top"/>
          </w:tcPr>
          <w:p w14:paraId="0F147275">
            <w:pPr>
              <w:rPr>
                <w:rFonts w:ascii="Arial"/>
                <w:sz w:val="21"/>
              </w:rPr>
            </w:pPr>
          </w:p>
        </w:tc>
        <w:tc>
          <w:tcPr>
            <w:tcW w:w="942" w:type="dxa"/>
            <w:vMerge w:val="continue"/>
            <w:tcBorders>
              <w:top w:val="nil"/>
            </w:tcBorders>
            <w:vAlign w:val="top"/>
          </w:tcPr>
          <w:p w14:paraId="098EF833">
            <w:pPr>
              <w:rPr>
                <w:rFonts w:ascii="Arial"/>
                <w:sz w:val="21"/>
              </w:rPr>
            </w:pPr>
          </w:p>
        </w:tc>
        <w:tc>
          <w:tcPr>
            <w:tcW w:w="1360" w:type="dxa"/>
            <w:vMerge w:val="continue"/>
            <w:tcBorders>
              <w:top w:val="nil"/>
            </w:tcBorders>
            <w:vAlign w:val="top"/>
          </w:tcPr>
          <w:p w14:paraId="4FE89EE4">
            <w:pPr>
              <w:rPr>
                <w:rFonts w:ascii="Arial"/>
                <w:sz w:val="21"/>
              </w:rPr>
            </w:pPr>
          </w:p>
        </w:tc>
        <w:tc>
          <w:tcPr>
            <w:tcW w:w="1581" w:type="dxa"/>
            <w:vAlign w:val="top"/>
          </w:tcPr>
          <w:p w14:paraId="4CDBFCD6">
            <w:pPr>
              <w:rPr>
                <w:rFonts w:ascii="Arial"/>
                <w:sz w:val="21"/>
              </w:rPr>
            </w:pPr>
          </w:p>
          <w:p w14:paraId="0C17C381">
            <w:pPr>
              <w:rPr>
                <w:rFonts w:ascii="Arial"/>
                <w:sz w:val="21"/>
              </w:rPr>
            </w:pPr>
          </w:p>
          <w:p w14:paraId="7ECD0BAB">
            <w:pPr>
              <w:pStyle w:val="51"/>
              <w:spacing w:before="55" w:line="226" w:lineRule="auto"/>
              <w:ind w:left="439"/>
              <w:rPr>
                <w:sz w:val="17"/>
                <w:szCs w:val="17"/>
              </w:rPr>
            </w:pPr>
            <w:r>
              <w:rPr>
                <w:spacing w:val="6"/>
                <w:sz w:val="17"/>
                <w:szCs w:val="17"/>
              </w:rPr>
              <w:t>其他饮料</w:t>
            </w:r>
          </w:p>
        </w:tc>
        <w:tc>
          <w:tcPr>
            <w:tcW w:w="1586" w:type="dxa"/>
            <w:vAlign w:val="top"/>
          </w:tcPr>
          <w:p w14:paraId="7380B39E">
            <w:pPr>
              <w:rPr>
                <w:rFonts w:ascii="Arial"/>
                <w:sz w:val="21"/>
              </w:rPr>
            </w:pPr>
          </w:p>
          <w:p w14:paraId="0F7780E4">
            <w:pPr>
              <w:rPr>
                <w:rFonts w:ascii="Arial"/>
                <w:sz w:val="21"/>
              </w:rPr>
            </w:pPr>
          </w:p>
          <w:p w14:paraId="32E9C242">
            <w:pPr>
              <w:pStyle w:val="51"/>
              <w:spacing w:before="55" w:line="226" w:lineRule="auto"/>
              <w:ind w:left="442"/>
              <w:rPr>
                <w:sz w:val="17"/>
                <w:szCs w:val="17"/>
              </w:rPr>
            </w:pPr>
            <w:r>
              <w:rPr>
                <w:spacing w:val="6"/>
                <w:sz w:val="17"/>
                <w:szCs w:val="17"/>
              </w:rPr>
              <w:t>其他饮料</w:t>
            </w:r>
          </w:p>
        </w:tc>
        <w:tc>
          <w:tcPr>
            <w:tcW w:w="682" w:type="dxa"/>
            <w:vAlign w:val="top"/>
          </w:tcPr>
          <w:p w14:paraId="12ABF116">
            <w:pPr>
              <w:rPr>
                <w:rFonts w:ascii="Arial"/>
                <w:sz w:val="21"/>
              </w:rPr>
            </w:pPr>
          </w:p>
          <w:p w14:paraId="1EE840C2">
            <w:pPr>
              <w:rPr>
                <w:rFonts w:ascii="Arial"/>
                <w:sz w:val="21"/>
              </w:rPr>
            </w:pPr>
          </w:p>
          <w:p w14:paraId="4D8551E1">
            <w:pPr>
              <w:pStyle w:val="51"/>
              <w:spacing w:before="55" w:line="227" w:lineRule="auto"/>
              <w:ind w:left="170"/>
              <w:rPr>
                <w:sz w:val="17"/>
                <w:szCs w:val="17"/>
              </w:rPr>
            </w:pPr>
            <w:r>
              <w:rPr>
                <w:spacing w:val="3"/>
                <w:sz w:val="17"/>
                <w:szCs w:val="17"/>
              </w:rPr>
              <w:t>较高</w:t>
            </w:r>
          </w:p>
        </w:tc>
        <w:tc>
          <w:tcPr>
            <w:tcW w:w="8563" w:type="dxa"/>
            <w:vAlign w:val="top"/>
          </w:tcPr>
          <w:p w14:paraId="198E5E39">
            <w:pPr>
              <w:pStyle w:val="51"/>
              <w:spacing w:before="89" w:line="300" w:lineRule="auto"/>
              <w:ind w:left="37" w:right="72" w:firstLine="2"/>
              <w:rPr>
                <w:sz w:val="17"/>
                <w:szCs w:val="17"/>
              </w:rPr>
            </w:pPr>
            <w:r>
              <w:rPr>
                <w:spacing w:val="9"/>
                <w:sz w:val="17"/>
                <w:szCs w:val="17"/>
              </w:rPr>
              <w:t>苯甲酸及其钠盐（以苯甲酸计）、山梨酸及其钾盐（以山梨酸计）、脱氢乙酸及其钠盐（以脱氢乙酸计</w:t>
            </w:r>
            <w:r>
              <w:rPr>
                <w:spacing w:val="8"/>
                <w:sz w:val="17"/>
                <w:szCs w:val="17"/>
              </w:rPr>
              <w:t>）、</w:t>
            </w:r>
            <w:r>
              <w:rPr>
                <w:spacing w:val="6"/>
                <w:sz w:val="17"/>
                <w:szCs w:val="17"/>
              </w:rPr>
              <w:t>防腐剂混合使用时各自用量占其最大使用量的比例之和、糖精钠（以糖精计）、</w:t>
            </w:r>
            <w:r>
              <w:rPr>
                <w:spacing w:val="51"/>
                <w:sz w:val="17"/>
                <w:szCs w:val="17"/>
              </w:rPr>
              <w:t xml:space="preserve"> </w:t>
            </w:r>
            <w:r>
              <w:rPr>
                <w:spacing w:val="6"/>
                <w:sz w:val="17"/>
                <w:szCs w:val="17"/>
              </w:rPr>
              <w:t>安赛蜜、</w:t>
            </w:r>
            <w:r>
              <w:rPr>
                <w:spacing w:val="-47"/>
                <w:sz w:val="17"/>
                <w:szCs w:val="17"/>
              </w:rPr>
              <w:t xml:space="preserve"> </w:t>
            </w:r>
            <w:r>
              <w:rPr>
                <w:spacing w:val="6"/>
                <w:sz w:val="17"/>
                <w:szCs w:val="17"/>
              </w:rPr>
              <w:t>甜蜜素（以环己基</w:t>
            </w:r>
            <w:r>
              <w:rPr>
                <w:spacing w:val="1"/>
                <w:sz w:val="17"/>
                <w:szCs w:val="17"/>
              </w:rPr>
              <w:t>氨基磺酸计）、 阿斯巴甜、</w:t>
            </w:r>
            <w:r>
              <w:rPr>
                <w:spacing w:val="-42"/>
                <w:sz w:val="17"/>
                <w:szCs w:val="17"/>
              </w:rPr>
              <w:t xml:space="preserve"> </w:t>
            </w:r>
            <w:r>
              <w:rPr>
                <w:spacing w:val="1"/>
                <w:sz w:val="17"/>
                <w:szCs w:val="17"/>
              </w:rPr>
              <w:t>合成着色剂（柠檬黄、新红、</w:t>
            </w:r>
            <w:r>
              <w:rPr>
                <w:spacing w:val="48"/>
                <w:sz w:val="17"/>
                <w:szCs w:val="17"/>
              </w:rPr>
              <w:t xml:space="preserve"> </w:t>
            </w:r>
            <w:r>
              <w:rPr>
                <w:spacing w:val="1"/>
                <w:sz w:val="17"/>
                <w:szCs w:val="17"/>
              </w:rPr>
              <w:t>苋</w:t>
            </w:r>
            <w:r>
              <w:rPr>
                <w:sz w:val="17"/>
                <w:szCs w:val="17"/>
              </w:rPr>
              <w:t>菜红、</w:t>
            </w:r>
            <w:r>
              <w:rPr>
                <w:spacing w:val="-47"/>
                <w:sz w:val="17"/>
                <w:szCs w:val="17"/>
              </w:rPr>
              <w:t xml:space="preserve"> </w:t>
            </w:r>
            <w:r>
              <w:rPr>
                <w:sz w:val="17"/>
                <w:szCs w:val="17"/>
              </w:rPr>
              <w:t>靛蓝、胭脂红、日落黄、 诱惑红、</w:t>
            </w:r>
            <w:r>
              <w:rPr>
                <w:spacing w:val="-40"/>
                <w:sz w:val="17"/>
                <w:szCs w:val="17"/>
              </w:rPr>
              <w:t xml:space="preserve"> </w:t>
            </w:r>
            <w:r>
              <w:rPr>
                <w:sz w:val="17"/>
                <w:szCs w:val="17"/>
              </w:rPr>
              <w:t>亮蓝、</w:t>
            </w:r>
            <w:r>
              <w:rPr>
                <w:spacing w:val="9"/>
                <w:sz w:val="17"/>
                <w:szCs w:val="17"/>
              </w:rPr>
              <w:t>酸性红、喹啉黄、赤藓红）、菌落总数、大肠菌群、霉菌、酵母</w:t>
            </w:r>
          </w:p>
        </w:tc>
      </w:tr>
      <w:tr w14:paraId="5C8188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459" w:type="dxa"/>
            <w:vMerge w:val="restart"/>
            <w:tcBorders>
              <w:bottom w:val="nil"/>
            </w:tcBorders>
            <w:vAlign w:val="top"/>
          </w:tcPr>
          <w:p w14:paraId="4B64C52E">
            <w:pPr>
              <w:spacing w:line="251" w:lineRule="auto"/>
              <w:rPr>
                <w:rFonts w:ascii="Arial"/>
                <w:sz w:val="21"/>
              </w:rPr>
            </w:pPr>
          </w:p>
          <w:p w14:paraId="0FBA9324">
            <w:pPr>
              <w:spacing w:line="251" w:lineRule="auto"/>
              <w:rPr>
                <w:rFonts w:ascii="Arial"/>
                <w:sz w:val="21"/>
              </w:rPr>
            </w:pPr>
          </w:p>
          <w:p w14:paraId="479CF0AC">
            <w:pPr>
              <w:spacing w:line="251" w:lineRule="auto"/>
              <w:rPr>
                <w:rFonts w:ascii="Arial"/>
                <w:sz w:val="21"/>
              </w:rPr>
            </w:pPr>
          </w:p>
          <w:p w14:paraId="6D39B5D5">
            <w:pPr>
              <w:spacing w:line="251" w:lineRule="auto"/>
              <w:rPr>
                <w:rFonts w:ascii="Arial"/>
                <w:sz w:val="21"/>
              </w:rPr>
            </w:pPr>
          </w:p>
          <w:p w14:paraId="4758DC54">
            <w:pPr>
              <w:spacing w:line="251" w:lineRule="auto"/>
              <w:rPr>
                <w:rFonts w:ascii="Arial"/>
                <w:sz w:val="21"/>
              </w:rPr>
            </w:pPr>
          </w:p>
          <w:p w14:paraId="3273F260">
            <w:pPr>
              <w:spacing w:line="252" w:lineRule="auto"/>
              <w:rPr>
                <w:rFonts w:ascii="Arial"/>
                <w:sz w:val="21"/>
              </w:rPr>
            </w:pPr>
          </w:p>
          <w:p w14:paraId="2658BDF2">
            <w:pPr>
              <w:spacing w:line="252" w:lineRule="auto"/>
              <w:rPr>
                <w:rFonts w:ascii="Arial"/>
                <w:sz w:val="21"/>
              </w:rPr>
            </w:pPr>
          </w:p>
          <w:p w14:paraId="37A9E33F">
            <w:pPr>
              <w:pStyle w:val="51"/>
              <w:spacing w:before="55" w:line="227" w:lineRule="exact"/>
              <w:ind w:left="193"/>
              <w:rPr>
                <w:sz w:val="17"/>
                <w:szCs w:val="17"/>
              </w:rPr>
            </w:pPr>
            <w:r>
              <w:rPr>
                <w:position w:val="1"/>
                <w:sz w:val="17"/>
                <w:szCs w:val="17"/>
              </w:rPr>
              <w:t>7</w:t>
            </w:r>
          </w:p>
        </w:tc>
        <w:tc>
          <w:tcPr>
            <w:tcW w:w="942" w:type="dxa"/>
            <w:vMerge w:val="restart"/>
            <w:tcBorders>
              <w:bottom w:val="nil"/>
            </w:tcBorders>
            <w:vAlign w:val="top"/>
          </w:tcPr>
          <w:p w14:paraId="69949F73">
            <w:pPr>
              <w:spacing w:line="251" w:lineRule="auto"/>
              <w:rPr>
                <w:rFonts w:ascii="Arial"/>
                <w:sz w:val="21"/>
              </w:rPr>
            </w:pPr>
          </w:p>
          <w:p w14:paraId="3904F4D2">
            <w:pPr>
              <w:spacing w:line="251" w:lineRule="auto"/>
              <w:rPr>
                <w:rFonts w:ascii="Arial"/>
                <w:sz w:val="21"/>
              </w:rPr>
            </w:pPr>
          </w:p>
          <w:p w14:paraId="4CA1B30A">
            <w:pPr>
              <w:spacing w:line="251" w:lineRule="auto"/>
              <w:rPr>
                <w:rFonts w:ascii="Arial"/>
                <w:sz w:val="21"/>
              </w:rPr>
            </w:pPr>
          </w:p>
          <w:p w14:paraId="4BD75051">
            <w:pPr>
              <w:spacing w:line="251" w:lineRule="auto"/>
              <w:rPr>
                <w:rFonts w:ascii="Arial"/>
                <w:sz w:val="21"/>
              </w:rPr>
            </w:pPr>
          </w:p>
          <w:p w14:paraId="0F3A9973">
            <w:pPr>
              <w:spacing w:line="251" w:lineRule="auto"/>
              <w:rPr>
                <w:rFonts w:ascii="Arial"/>
                <w:sz w:val="21"/>
              </w:rPr>
            </w:pPr>
          </w:p>
          <w:p w14:paraId="5C7B33FB">
            <w:pPr>
              <w:spacing w:line="251" w:lineRule="auto"/>
              <w:rPr>
                <w:rFonts w:ascii="Arial"/>
                <w:sz w:val="21"/>
              </w:rPr>
            </w:pPr>
          </w:p>
          <w:p w14:paraId="11EDE12F">
            <w:pPr>
              <w:spacing w:line="252" w:lineRule="auto"/>
              <w:rPr>
                <w:rFonts w:ascii="Arial"/>
                <w:sz w:val="21"/>
              </w:rPr>
            </w:pPr>
          </w:p>
          <w:p w14:paraId="29B9DFA7">
            <w:pPr>
              <w:pStyle w:val="51"/>
              <w:spacing w:before="56" w:line="229" w:lineRule="auto"/>
              <w:ind w:left="121"/>
              <w:rPr>
                <w:sz w:val="17"/>
                <w:szCs w:val="17"/>
              </w:rPr>
            </w:pPr>
            <w:r>
              <w:rPr>
                <w:spacing w:val="5"/>
                <w:sz w:val="17"/>
                <w:szCs w:val="17"/>
              </w:rPr>
              <w:t>方便食品</w:t>
            </w:r>
          </w:p>
        </w:tc>
        <w:tc>
          <w:tcPr>
            <w:tcW w:w="1360" w:type="dxa"/>
            <w:vMerge w:val="restart"/>
            <w:tcBorders>
              <w:bottom w:val="nil"/>
            </w:tcBorders>
            <w:vAlign w:val="top"/>
          </w:tcPr>
          <w:p w14:paraId="3E5ADB3B">
            <w:pPr>
              <w:spacing w:line="251" w:lineRule="auto"/>
              <w:rPr>
                <w:rFonts w:ascii="Arial"/>
                <w:sz w:val="21"/>
              </w:rPr>
            </w:pPr>
          </w:p>
          <w:p w14:paraId="298931AF">
            <w:pPr>
              <w:spacing w:line="251" w:lineRule="auto"/>
              <w:rPr>
                <w:rFonts w:ascii="Arial"/>
                <w:sz w:val="21"/>
              </w:rPr>
            </w:pPr>
          </w:p>
          <w:p w14:paraId="7B58FAE0">
            <w:pPr>
              <w:spacing w:line="251" w:lineRule="auto"/>
              <w:rPr>
                <w:rFonts w:ascii="Arial"/>
                <w:sz w:val="21"/>
              </w:rPr>
            </w:pPr>
          </w:p>
          <w:p w14:paraId="78C56098">
            <w:pPr>
              <w:spacing w:line="251" w:lineRule="auto"/>
              <w:rPr>
                <w:rFonts w:ascii="Arial"/>
                <w:sz w:val="21"/>
              </w:rPr>
            </w:pPr>
          </w:p>
          <w:p w14:paraId="5CE39C4B">
            <w:pPr>
              <w:spacing w:line="251" w:lineRule="auto"/>
              <w:rPr>
                <w:rFonts w:ascii="Arial"/>
                <w:sz w:val="21"/>
              </w:rPr>
            </w:pPr>
          </w:p>
          <w:p w14:paraId="6F492FED">
            <w:pPr>
              <w:spacing w:line="251" w:lineRule="auto"/>
              <w:rPr>
                <w:rFonts w:ascii="Arial"/>
                <w:sz w:val="21"/>
              </w:rPr>
            </w:pPr>
          </w:p>
          <w:p w14:paraId="178EB432">
            <w:pPr>
              <w:spacing w:line="252" w:lineRule="auto"/>
              <w:rPr>
                <w:rFonts w:ascii="Arial"/>
                <w:sz w:val="21"/>
              </w:rPr>
            </w:pPr>
          </w:p>
          <w:p w14:paraId="159E1474">
            <w:pPr>
              <w:pStyle w:val="51"/>
              <w:spacing w:before="56" w:line="229" w:lineRule="auto"/>
              <w:ind w:left="331"/>
              <w:rPr>
                <w:sz w:val="17"/>
                <w:szCs w:val="17"/>
              </w:rPr>
            </w:pPr>
            <w:r>
              <w:rPr>
                <w:spacing w:val="5"/>
                <w:sz w:val="17"/>
                <w:szCs w:val="17"/>
              </w:rPr>
              <w:t>方便食品</w:t>
            </w:r>
          </w:p>
        </w:tc>
        <w:tc>
          <w:tcPr>
            <w:tcW w:w="1581" w:type="dxa"/>
            <w:vMerge w:val="restart"/>
            <w:tcBorders>
              <w:bottom w:val="nil"/>
            </w:tcBorders>
            <w:vAlign w:val="top"/>
          </w:tcPr>
          <w:p w14:paraId="1A0640DC">
            <w:pPr>
              <w:spacing w:line="352" w:lineRule="auto"/>
              <w:rPr>
                <w:rFonts w:ascii="Arial"/>
                <w:sz w:val="21"/>
              </w:rPr>
            </w:pPr>
          </w:p>
          <w:p w14:paraId="749867F1">
            <w:pPr>
              <w:spacing w:line="352" w:lineRule="auto"/>
              <w:rPr>
                <w:rFonts w:ascii="Arial"/>
                <w:sz w:val="21"/>
              </w:rPr>
            </w:pPr>
          </w:p>
          <w:p w14:paraId="4DD588B8">
            <w:pPr>
              <w:pStyle w:val="51"/>
              <w:spacing w:before="55" w:line="229" w:lineRule="auto"/>
              <w:ind w:left="533"/>
              <w:rPr>
                <w:sz w:val="17"/>
                <w:szCs w:val="17"/>
              </w:rPr>
            </w:pPr>
            <w:r>
              <w:rPr>
                <w:spacing w:val="4"/>
                <w:sz w:val="17"/>
                <w:szCs w:val="17"/>
              </w:rPr>
              <w:t>方便面</w:t>
            </w:r>
          </w:p>
        </w:tc>
        <w:tc>
          <w:tcPr>
            <w:tcW w:w="1586" w:type="dxa"/>
            <w:vAlign w:val="top"/>
          </w:tcPr>
          <w:p w14:paraId="0DEC341D">
            <w:pPr>
              <w:pStyle w:val="51"/>
              <w:spacing w:before="90" w:line="274" w:lineRule="auto"/>
              <w:ind w:left="715" w:right="160" w:hanging="539"/>
              <w:rPr>
                <w:sz w:val="17"/>
                <w:szCs w:val="17"/>
              </w:rPr>
            </w:pPr>
            <w:r>
              <w:rPr>
                <w:spacing w:val="7"/>
                <w:sz w:val="17"/>
                <w:szCs w:val="17"/>
              </w:rPr>
              <w:t>油炸面、非油炸</w:t>
            </w:r>
            <w:r>
              <w:rPr>
                <w:sz w:val="17"/>
                <w:szCs w:val="17"/>
              </w:rPr>
              <w:t>面</w:t>
            </w:r>
          </w:p>
        </w:tc>
        <w:tc>
          <w:tcPr>
            <w:tcW w:w="682" w:type="dxa"/>
            <w:vAlign w:val="top"/>
          </w:tcPr>
          <w:p w14:paraId="0C5E2C19">
            <w:pPr>
              <w:pStyle w:val="51"/>
              <w:spacing w:before="239" w:line="227" w:lineRule="auto"/>
              <w:ind w:left="170"/>
              <w:rPr>
                <w:sz w:val="17"/>
                <w:szCs w:val="17"/>
              </w:rPr>
            </w:pPr>
            <w:r>
              <w:rPr>
                <w:spacing w:val="3"/>
                <w:sz w:val="17"/>
                <w:szCs w:val="17"/>
              </w:rPr>
              <w:t>较高</w:t>
            </w:r>
          </w:p>
        </w:tc>
        <w:tc>
          <w:tcPr>
            <w:tcW w:w="8563" w:type="dxa"/>
            <w:vAlign w:val="top"/>
          </w:tcPr>
          <w:p w14:paraId="64EBF0E9">
            <w:pPr>
              <w:pStyle w:val="51"/>
              <w:spacing w:before="238" w:line="228" w:lineRule="auto"/>
              <w:ind w:left="37"/>
              <w:rPr>
                <w:sz w:val="17"/>
                <w:szCs w:val="17"/>
              </w:rPr>
            </w:pPr>
            <w:r>
              <w:rPr>
                <w:spacing w:val="9"/>
                <w:sz w:val="17"/>
                <w:szCs w:val="17"/>
              </w:rPr>
              <w:t>水分、酸价(以脂肪计)(</w:t>
            </w:r>
            <w:r>
              <w:rPr>
                <w:sz w:val="17"/>
                <w:szCs w:val="17"/>
              </w:rPr>
              <w:t>KOH</w:t>
            </w:r>
            <w:r>
              <w:rPr>
                <w:spacing w:val="9"/>
                <w:sz w:val="17"/>
                <w:szCs w:val="17"/>
              </w:rPr>
              <w:t>)、过氧化值(以脂肪计)、菌落总数、大肠</w:t>
            </w:r>
            <w:r>
              <w:rPr>
                <w:spacing w:val="8"/>
                <w:sz w:val="17"/>
                <w:szCs w:val="17"/>
              </w:rPr>
              <w:t>菌群、霉菌</w:t>
            </w:r>
          </w:p>
        </w:tc>
      </w:tr>
      <w:tr w14:paraId="3B8BC1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59" w:type="dxa"/>
            <w:vMerge w:val="continue"/>
            <w:tcBorders>
              <w:top w:val="nil"/>
              <w:bottom w:val="nil"/>
            </w:tcBorders>
            <w:vAlign w:val="top"/>
          </w:tcPr>
          <w:p w14:paraId="156C6B52">
            <w:pPr>
              <w:rPr>
                <w:rFonts w:ascii="Arial"/>
                <w:sz w:val="21"/>
              </w:rPr>
            </w:pPr>
          </w:p>
        </w:tc>
        <w:tc>
          <w:tcPr>
            <w:tcW w:w="942" w:type="dxa"/>
            <w:vMerge w:val="continue"/>
            <w:tcBorders>
              <w:top w:val="nil"/>
              <w:bottom w:val="nil"/>
            </w:tcBorders>
            <w:vAlign w:val="top"/>
          </w:tcPr>
          <w:p w14:paraId="0A4213AA">
            <w:pPr>
              <w:rPr>
                <w:rFonts w:ascii="Arial"/>
                <w:sz w:val="21"/>
              </w:rPr>
            </w:pPr>
          </w:p>
        </w:tc>
        <w:tc>
          <w:tcPr>
            <w:tcW w:w="1360" w:type="dxa"/>
            <w:vMerge w:val="continue"/>
            <w:tcBorders>
              <w:top w:val="nil"/>
              <w:bottom w:val="nil"/>
            </w:tcBorders>
            <w:vAlign w:val="top"/>
          </w:tcPr>
          <w:p w14:paraId="67F36030">
            <w:pPr>
              <w:rPr>
                <w:rFonts w:ascii="Arial"/>
                <w:sz w:val="21"/>
              </w:rPr>
            </w:pPr>
          </w:p>
        </w:tc>
        <w:tc>
          <w:tcPr>
            <w:tcW w:w="1581" w:type="dxa"/>
            <w:vMerge w:val="continue"/>
            <w:tcBorders>
              <w:top w:val="nil"/>
              <w:bottom w:val="nil"/>
            </w:tcBorders>
            <w:vAlign w:val="top"/>
          </w:tcPr>
          <w:p w14:paraId="6701B9CA">
            <w:pPr>
              <w:rPr>
                <w:rFonts w:ascii="Arial"/>
                <w:sz w:val="21"/>
              </w:rPr>
            </w:pPr>
          </w:p>
        </w:tc>
        <w:tc>
          <w:tcPr>
            <w:tcW w:w="1586" w:type="dxa"/>
            <w:vAlign w:val="top"/>
          </w:tcPr>
          <w:p w14:paraId="7245FB2D">
            <w:pPr>
              <w:pStyle w:val="51"/>
              <w:spacing w:before="108" w:line="228" w:lineRule="auto"/>
              <w:ind w:left="130"/>
              <w:rPr>
                <w:sz w:val="17"/>
                <w:szCs w:val="17"/>
              </w:rPr>
            </w:pPr>
            <w:r>
              <w:rPr>
                <w:spacing w:val="6"/>
                <w:sz w:val="17"/>
                <w:szCs w:val="17"/>
              </w:rPr>
              <w:t>方便米粉(米线 )</w:t>
            </w:r>
          </w:p>
        </w:tc>
        <w:tc>
          <w:tcPr>
            <w:tcW w:w="682" w:type="dxa"/>
            <w:vAlign w:val="top"/>
          </w:tcPr>
          <w:p w14:paraId="5CBE2B95">
            <w:pPr>
              <w:pStyle w:val="51"/>
              <w:spacing w:before="109" w:line="227" w:lineRule="auto"/>
              <w:ind w:left="170"/>
              <w:rPr>
                <w:sz w:val="17"/>
                <w:szCs w:val="17"/>
              </w:rPr>
            </w:pPr>
            <w:r>
              <w:rPr>
                <w:spacing w:val="3"/>
                <w:sz w:val="17"/>
                <w:szCs w:val="17"/>
              </w:rPr>
              <w:t>较高</w:t>
            </w:r>
          </w:p>
        </w:tc>
        <w:tc>
          <w:tcPr>
            <w:tcW w:w="8563" w:type="dxa"/>
            <w:vAlign w:val="top"/>
          </w:tcPr>
          <w:p w14:paraId="3B86BCA0">
            <w:pPr>
              <w:pStyle w:val="51"/>
              <w:spacing w:before="108" w:line="228" w:lineRule="auto"/>
              <w:ind w:left="37"/>
              <w:rPr>
                <w:sz w:val="17"/>
                <w:szCs w:val="17"/>
              </w:rPr>
            </w:pPr>
            <w:r>
              <w:rPr>
                <w:spacing w:val="9"/>
                <w:sz w:val="17"/>
                <w:szCs w:val="17"/>
              </w:rPr>
              <w:t>水分、菌落总数、大肠菌群、霉菌</w:t>
            </w:r>
          </w:p>
        </w:tc>
      </w:tr>
      <w:tr w14:paraId="595FDE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59" w:type="dxa"/>
            <w:vMerge w:val="continue"/>
            <w:tcBorders>
              <w:top w:val="nil"/>
              <w:bottom w:val="nil"/>
            </w:tcBorders>
            <w:vAlign w:val="top"/>
          </w:tcPr>
          <w:p w14:paraId="20644BD8">
            <w:pPr>
              <w:rPr>
                <w:rFonts w:ascii="Arial"/>
                <w:sz w:val="21"/>
              </w:rPr>
            </w:pPr>
          </w:p>
        </w:tc>
        <w:tc>
          <w:tcPr>
            <w:tcW w:w="942" w:type="dxa"/>
            <w:vMerge w:val="continue"/>
            <w:tcBorders>
              <w:top w:val="nil"/>
              <w:bottom w:val="nil"/>
            </w:tcBorders>
            <w:vAlign w:val="top"/>
          </w:tcPr>
          <w:p w14:paraId="190A8A0C">
            <w:pPr>
              <w:rPr>
                <w:rFonts w:ascii="Arial"/>
                <w:sz w:val="21"/>
              </w:rPr>
            </w:pPr>
          </w:p>
        </w:tc>
        <w:tc>
          <w:tcPr>
            <w:tcW w:w="1360" w:type="dxa"/>
            <w:vMerge w:val="continue"/>
            <w:tcBorders>
              <w:top w:val="nil"/>
              <w:bottom w:val="nil"/>
            </w:tcBorders>
            <w:vAlign w:val="top"/>
          </w:tcPr>
          <w:p w14:paraId="74502E05">
            <w:pPr>
              <w:rPr>
                <w:rFonts w:ascii="Arial"/>
                <w:sz w:val="21"/>
              </w:rPr>
            </w:pPr>
          </w:p>
        </w:tc>
        <w:tc>
          <w:tcPr>
            <w:tcW w:w="1581" w:type="dxa"/>
            <w:vMerge w:val="continue"/>
            <w:tcBorders>
              <w:top w:val="nil"/>
              <w:bottom w:val="nil"/>
            </w:tcBorders>
            <w:vAlign w:val="top"/>
          </w:tcPr>
          <w:p w14:paraId="60DA5A4A">
            <w:pPr>
              <w:rPr>
                <w:rFonts w:ascii="Arial"/>
                <w:sz w:val="21"/>
              </w:rPr>
            </w:pPr>
          </w:p>
        </w:tc>
        <w:tc>
          <w:tcPr>
            <w:tcW w:w="1586" w:type="dxa"/>
            <w:vAlign w:val="top"/>
          </w:tcPr>
          <w:p w14:paraId="2B54BBF1">
            <w:pPr>
              <w:pStyle w:val="51"/>
              <w:spacing w:before="109" w:line="229" w:lineRule="auto"/>
              <w:ind w:left="445"/>
              <w:rPr>
                <w:sz w:val="17"/>
                <w:szCs w:val="17"/>
              </w:rPr>
            </w:pPr>
            <w:r>
              <w:rPr>
                <w:spacing w:val="5"/>
                <w:sz w:val="17"/>
                <w:szCs w:val="17"/>
              </w:rPr>
              <w:t>方便粉丝</w:t>
            </w:r>
          </w:p>
        </w:tc>
        <w:tc>
          <w:tcPr>
            <w:tcW w:w="682" w:type="dxa"/>
            <w:vAlign w:val="top"/>
          </w:tcPr>
          <w:p w14:paraId="758D9C90">
            <w:pPr>
              <w:pStyle w:val="51"/>
              <w:spacing w:before="109" w:line="227" w:lineRule="auto"/>
              <w:ind w:left="170"/>
              <w:rPr>
                <w:sz w:val="17"/>
                <w:szCs w:val="17"/>
              </w:rPr>
            </w:pPr>
            <w:r>
              <w:rPr>
                <w:spacing w:val="3"/>
                <w:sz w:val="17"/>
                <w:szCs w:val="17"/>
              </w:rPr>
              <w:t>较高</w:t>
            </w:r>
          </w:p>
        </w:tc>
        <w:tc>
          <w:tcPr>
            <w:tcW w:w="8563" w:type="dxa"/>
            <w:vAlign w:val="top"/>
          </w:tcPr>
          <w:p w14:paraId="18158FC5">
            <w:pPr>
              <w:pStyle w:val="51"/>
              <w:spacing w:before="109" w:line="228" w:lineRule="auto"/>
              <w:ind w:left="37"/>
              <w:rPr>
                <w:sz w:val="17"/>
                <w:szCs w:val="17"/>
              </w:rPr>
            </w:pPr>
            <w:r>
              <w:rPr>
                <w:spacing w:val="9"/>
                <w:sz w:val="17"/>
                <w:szCs w:val="17"/>
              </w:rPr>
              <w:t>水分、菌落总数、大肠菌群、霉菌</w:t>
            </w:r>
          </w:p>
        </w:tc>
      </w:tr>
      <w:tr w14:paraId="04B6C4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59" w:type="dxa"/>
            <w:vMerge w:val="continue"/>
            <w:tcBorders>
              <w:top w:val="nil"/>
              <w:bottom w:val="nil"/>
            </w:tcBorders>
            <w:vAlign w:val="top"/>
          </w:tcPr>
          <w:p w14:paraId="14DB5EA0">
            <w:pPr>
              <w:rPr>
                <w:rFonts w:ascii="Arial"/>
                <w:sz w:val="21"/>
              </w:rPr>
            </w:pPr>
          </w:p>
        </w:tc>
        <w:tc>
          <w:tcPr>
            <w:tcW w:w="942" w:type="dxa"/>
            <w:vMerge w:val="continue"/>
            <w:tcBorders>
              <w:top w:val="nil"/>
              <w:bottom w:val="nil"/>
            </w:tcBorders>
            <w:vAlign w:val="top"/>
          </w:tcPr>
          <w:p w14:paraId="7215D4B1">
            <w:pPr>
              <w:rPr>
                <w:rFonts w:ascii="Arial"/>
                <w:sz w:val="21"/>
              </w:rPr>
            </w:pPr>
          </w:p>
        </w:tc>
        <w:tc>
          <w:tcPr>
            <w:tcW w:w="1360" w:type="dxa"/>
            <w:vMerge w:val="continue"/>
            <w:tcBorders>
              <w:top w:val="nil"/>
              <w:bottom w:val="nil"/>
            </w:tcBorders>
            <w:vAlign w:val="top"/>
          </w:tcPr>
          <w:p w14:paraId="53077BCA">
            <w:pPr>
              <w:rPr>
                <w:rFonts w:ascii="Arial"/>
                <w:sz w:val="21"/>
              </w:rPr>
            </w:pPr>
          </w:p>
        </w:tc>
        <w:tc>
          <w:tcPr>
            <w:tcW w:w="1581" w:type="dxa"/>
            <w:vMerge w:val="continue"/>
            <w:tcBorders>
              <w:top w:val="nil"/>
            </w:tcBorders>
            <w:vAlign w:val="top"/>
          </w:tcPr>
          <w:p w14:paraId="4A2EA193">
            <w:pPr>
              <w:rPr>
                <w:rFonts w:ascii="Arial"/>
                <w:sz w:val="21"/>
              </w:rPr>
            </w:pPr>
          </w:p>
        </w:tc>
        <w:tc>
          <w:tcPr>
            <w:tcW w:w="1586" w:type="dxa"/>
            <w:vAlign w:val="top"/>
          </w:tcPr>
          <w:p w14:paraId="3520AB7C">
            <w:pPr>
              <w:pStyle w:val="51"/>
              <w:spacing w:before="86" w:line="227" w:lineRule="auto"/>
              <w:ind w:left="353"/>
              <w:rPr>
                <w:sz w:val="17"/>
                <w:szCs w:val="17"/>
              </w:rPr>
            </w:pPr>
            <w:r>
              <w:rPr>
                <w:spacing w:val="7"/>
                <w:sz w:val="17"/>
                <w:szCs w:val="17"/>
              </w:rPr>
              <w:t>其他方便面</w:t>
            </w:r>
          </w:p>
        </w:tc>
        <w:tc>
          <w:tcPr>
            <w:tcW w:w="682" w:type="dxa"/>
            <w:vAlign w:val="top"/>
          </w:tcPr>
          <w:p w14:paraId="45F01541">
            <w:pPr>
              <w:pStyle w:val="51"/>
              <w:spacing w:before="86" w:line="227" w:lineRule="auto"/>
              <w:ind w:left="170"/>
              <w:rPr>
                <w:sz w:val="17"/>
                <w:szCs w:val="17"/>
              </w:rPr>
            </w:pPr>
            <w:r>
              <w:rPr>
                <w:spacing w:val="3"/>
                <w:sz w:val="17"/>
                <w:szCs w:val="17"/>
              </w:rPr>
              <w:t>较高</w:t>
            </w:r>
          </w:p>
        </w:tc>
        <w:tc>
          <w:tcPr>
            <w:tcW w:w="8563" w:type="dxa"/>
            <w:vAlign w:val="top"/>
          </w:tcPr>
          <w:p w14:paraId="103CA89D">
            <w:pPr>
              <w:pStyle w:val="51"/>
              <w:spacing w:before="85" w:line="228" w:lineRule="auto"/>
              <w:ind w:left="37"/>
              <w:rPr>
                <w:sz w:val="17"/>
                <w:szCs w:val="17"/>
              </w:rPr>
            </w:pPr>
            <w:r>
              <w:rPr>
                <w:spacing w:val="9"/>
                <w:sz w:val="17"/>
                <w:szCs w:val="17"/>
              </w:rPr>
              <w:t>水分、酸价(以脂肪计)(</w:t>
            </w:r>
            <w:r>
              <w:rPr>
                <w:sz w:val="17"/>
                <w:szCs w:val="17"/>
              </w:rPr>
              <w:t>KOH</w:t>
            </w:r>
            <w:r>
              <w:rPr>
                <w:spacing w:val="9"/>
                <w:sz w:val="17"/>
                <w:szCs w:val="17"/>
              </w:rPr>
              <w:t>)、过氧化值(以脂肪计)、菌落总数、大肠</w:t>
            </w:r>
            <w:r>
              <w:rPr>
                <w:spacing w:val="8"/>
                <w:sz w:val="17"/>
                <w:szCs w:val="17"/>
              </w:rPr>
              <w:t>菌群、霉菌</w:t>
            </w:r>
          </w:p>
        </w:tc>
      </w:tr>
      <w:tr w14:paraId="54DE54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trPr>
        <w:tc>
          <w:tcPr>
            <w:tcW w:w="459" w:type="dxa"/>
            <w:vMerge w:val="continue"/>
            <w:tcBorders>
              <w:top w:val="nil"/>
              <w:bottom w:val="nil"/>
            </w:tcBorders>
            <w:vAlign w:val="top"/>
          </w:tcPr>
          <w:p w14:paraId="2237C199">
            <w:pPr>
              <w:rPr>
                <w:rFonts w:ascii="Arial"/>
                <w:sz w:val="21"/>
              </w:rPr>
            </w:pPr>
          </w:p>
        </w:tc>
        <w:tc>
          <w:tcPr>
            <w:tcW w:w="942" w:type="dxa"/>
            <w:vMerge w:val="continue"/>
            <w:tcBorders>
              <w:top w:val="nil"/>
              <w:bottom w:val="nil"/>
            </w:tcBorders>
            <w:vAlign w:val="top"/>
          </w:tcPr>
          <w:p w14:paraId="101F8E6D">
            <w:pPr>
              <w:rPr>
                <w:rFonts w:ascii="Arial"/>
                <w:sz w:val="21"/>
              </w:rPr>
            </w:pPr>
          </w:p>
        </w:tc>
        <w:tc>
          <w:tcPr>
            <w:tcW w:w="1360" w:type="dxa"/>
            <w:vMerge w:val="continue"/>
            <w:tcBorders>
              <w:top w:val="nil"/>
              <w:bottom w:val="nil"/>
            </w:tcBorders>
            <w:vAlign w:val="top"/>
          </w:tcPr>
          <w:p w14:paraId="79FA9A70">
            <w:pPr>
              <w:rPr>
                <w:rFonts w:ascii="Arial"/>
                <w:sz w:val="21"/>
              </w:rPr>
            </w:pPr>
          </w:p>
        </w:tc>
        <w:tc>
          <w:tcPr>
            <w:tcW w:w="1581" w:type="dxa"/>
            <w:vAlign w:val="top"/>
          </w:tcPr>
          <w:p w14:paraId="64BBD264">
            <w:pPr>
              <w:rPr>
                <w:rFonts w:ascii="Arial"/>
                <w:sz w:val="21"/>
              </w:rPr>
            </w:pPr>
          </w:p>
          <w:p w14:paraId="0C66A36C">
            <w:pPr>
              <w:spacing w:line="241" w:lineRule="auto"/>
              <w:rPr>
                <w:rFonts w:ascii="Arial"/>
                <w:sz w:val="21"/>
              </w:rPr>
            </w:pPr>
          </w:p>
          <w:p w14:paraId="50664F87">
            <w:pPr>
              <w:pStyle w:val="51"/>
              <w:spacing w:before="55" w:line="227" w:lineRule="auto"/>
              <w:ind w:left="349"/>
              <w:rPr>
                <w:sz w:val="17"/>
                <w:szCs w:val="17"/>
              </w:rPr>
            </w:pPr>
            <w:r>
              <w:rPr>
                <w:spacing w:val="7"/>
                <w:sz w:val="17"/>
                <w:szCs w:val="17"/>
              </w:rPr>
              <w:t>调味面制品</w:t>
            </w:r>
          </w:p>
        </w:tc>
        <w:tc>
          <w:tcPr>
            <w:tcW w:w="1586" w:type="dxa"/>
            <w:vAlign w:val="top"/>
          </w:tcPr>
          <w:p w14:paraId="06FF4702">
            <w:pPr>
              <w:rPr>
                <w:rFonts w:ascii="Arial"/>
                <w:sz w:val="21"/>
              </w:rPr>
            </w:pPr>
          </w:p>
          <w:p w14:paraId="40FC8136">
            <w:pPr>
              <w:spacing w:line="241" w:lineRule="auto"/>
              <w:rPr>
                <w:rFonts w:ascii="Arial"/>
                <w:sz w:val="21"/>
              </w:rPr>
            </w:pPr>
          </w:p>
          <w:p w14:paraId="57A426BF">
            <w:pPr>
              <w:pStyle w:val="51"/>
              <w:spacing w:before="55" w:line="227" w:lineRule="auto"/>
              <w:ind w:left="352"/>
              <w:rPr>
                <w:sz w:val="17"/>
                <w:szCs w:val="17"/>
              </w:rPr>
            </w:pPr>
            <w:r>
              <w:rPr>
                <w:spacing w:val="7"/>
                <w:sz w:val="17"/>
                <w:szCs w:val="17"/>
              </w:rPr>
              <w:t>调味面制品</w:t>
            </w:r>
          </w:p>
        </w:tc>
        <w:tc>
          <w:tcPr>
            <w:tcW w:w="682" w:type="dxa"/>
            <w:vAlign w:val="top"/>
          </w:tcPr>
          <w:p w14:paraId="67232853">
            <w:pPr>
              <w:rPr>
                <w:rFonts w:ascii="Arial"/>
                <w:sz w:val="21"/>
              </w:rPr>
            </w:pPr>
          </w:p>
          <w:p w14:paraId="692DBD7A">
            <w:pPr>
              <w:spacing w:line="241" w:lineRule="auto"/>
              <w:rPr>
                <w:rFonts w:ascii="Arial"/>
                <w:sz w:val="21"/>
              </w:rPr>
            </w:pPr>
          </w:p>
          <w:p w14:paraId="43DC5561">
            <w:pPr>
              <w:pStyle w:val="51"/>
              <w:spacing w:before="56" w:line="227" w:lineRule="auto"/>
              <w:ind w:left="170"/>
              <w:rPr>
                <w:sz w:val="17"/>
                <w:szCs w:val="17"/>
              </w:rPr>
            </w:pPr>
            <w:r>
              <w:rPr>
                <w:spacing w:val="3"/>
                <w:sz w:val="17"/>
                <w:szCs w:val="17"/>
              </w:rPr>
              <w:t>较高</w:t>
            </w:r>
          </w:p>
        </w:tc>
        <w:tc>
          <w:tcPr>
            <w:tcW w:w="8563" w:type="dxa"/>
            <w:vAlign w:val="top"/>
          </w:tcPr>
          <w:p w14:paraId="1B36DA36">
            <w:pPr>
              <w:pStyle w:val="51"/>
              <w:spacing w:before="92" w:line="299" w:lineRule="auto"/>
              <w:ind w:left="37"/>
              <w:rPr>
                <w:sz w:val="17"/>
                <w:szCs w:val="17"/>
              </w:rPr>
            </w:pPr>
            <w:r>
              <w:rPr>
                <w:spacing w:val="5"/>
                <w:sz w:val="17"/>
                <w:szCs w:val="17"/>
              </w:rPr>
              <w:t>酸价(以脂肪计)(</w:t>
            </w:r>
            <w:r>
              <w:rPr>
                <w:sz w:val="17"/>
                <w:szCs w:val="17"/>
              </w:rPr>
              <w:t>KOH</w:t>
            </w:r>
            <w:r>
              <w:rPr>
                <w:spacing w:val="5"/>
                <w:sz w:val="17"/>
                <w:szCs w:val="17"/>
              </w:rPr>
              <w:t>)、过氧化值(以脂肪计)、苯甲酸及其钠盐(以苯甲酸计)、山梨酸及其钾盐(以山梨酸计)、</w:t>
            </w:r>
            <w:r>
              <w:rPr>
                <w:spacing w:val="8"/>
                <w:sz w:val="17"/>
                <w:szCs w:val="17"/>
              </w:rPr>
              <w:t>脱氢乙酸及其钠盐(以脱氢乙酸计)、糖精钠(以糖精计)、甜蜜素（以环己基氨基磺酸计）、安赛蜜、三氯蔗</w:t>
            </w:r>
            <w:r>
              <w:rPr>
                <w:spacing w:val="9"/>
                <w:sz w:val="17"/>
                <w:szCs w:val="17"/>
              </w:rPr>
              <w:t>糖、合成着色剂（柠檬黄、日落黄、诱惑红</w:t>
            </w:r>
            <w:r>
              <w:rPr>
                <w:spacing w:val="8"/>
                <w:sz w:val="17"/>
                <w:szCs w:val="17"/>
              </w:rPr>
              <w:t>、苋菜红、胭脂红）、菌落总数、大肠菌群、霉菌、沙门氏菌、</w:t>
            </w:r>
            <w:r>
              <w:rPr>
                <w:spacing w:val="7"/>
                <w:sz w:val="17"/>
                <w:szCs w:val="17"/>
              </w:rPr>
              <w:t>金黄色葡萄球菌</w:t>
            </w:r>
          </w:p>
        </w:tc>
      </w:tr>
      <w:tr w14:paraId="4B88F3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7" w:hRule="atLeast"/>
        </w:trPr>
        <w:tc>
          <w:tcPr>
            <w:tcW w:w="459" w:type="dxa"/>
            <w:vMerge w:val="continue"/>
            <w:tcBorders>
              <w:top w:val="nil"/>
            </w:tcBorders>
            <w:vAlign w:val="top"/>
          </w:tcPr>
          <w:p w14:paraId="06361B62">
            <w:pPr>
              <w:rPr>
                <w:rFonts w:ascii="Arial"/>
                <w:sz w:val="21"/>
              </w:rPr>
            </w:pPr>
          </w:p>
        </w:tc>
        <w:tc>
          <w:tcPr>
            <w:tcW w:w="942" w:type="dxa"/>
            <w:vMerge w:val="continue"/>
            <w:tcBorders>
              <w:top w:val="nil"/>
            </w:tcBorders>
            <w:vAlign w:val="top"/>
          </w:tcPr>
          <w:p w14:paraId="478ECF6A">
            <w:pPr>
              <w:rPr>
                <w:rFonts w:ascii="Arial"/>
                <w:sz w:val="21"/>
              </w:rPr>
            </w:pPr>
          </w:p>
        </w:tc>
        <w:tc>
          <w:tcPr>
            <w:tcW w:w="1360" w:type="dxa"/>
            <w:vMerge w:val="continue"/>
            <w:tcBorders>
              <w:top w:val="nil"/>
            </w:tcBorders>
            <w:vAlign w:val="top"/>
          </w:tcPr>
          <w:p w14:paraId="36D1D167">
            <w:pPr>
              <w:rPr>
                <w:rFonts w:ascii="Arial"/>
                <w:sz w:val="21"/>
              </w:rPr>
            </w:pPr>
          </w:p>
        </w:tc>
        <w:tc>
          <w:tcPr>
            <w:tcW w:w="1581" w:type="dxa"/>
            <w:vAlign w:val="top"/>
          </w:tcPr>
          <w:p w14:paraId="05CB6D3E">
            <w:pPr>
              <w:spacing w:line="308" w:lineRule="auto"/>
              <w:rPr>
                <w:rFonts w:ascii="Arial"/>
                <w:sz w:val="21"/>
              </w:rPr>
            </w:pPr>
          </w:p>
          <w:p w14:paraId="08AF47A0">
            <w:pPr>
              <w:pStyle w:val="51"/>
              <w:spacing w:before="55" w:line="227" w:lineRule="auto"/>
              <w:ind w:left="259"/>
              <w:rPr>
                <w:sz w:val="17"/>
                <w:szCs w:val="17"/>
              </w:rPr>
            </w:pPr>
            <w:r>
              <w:rPr>
                <w:spacing w:val="7"/>
                <w:sz w:val="17"/>
                <w:szCs w:val="17"/>
              </w:rPr>
              <w:t>其他方便食品</w:t>
            </w:r>
          </w:p>
        </w:tc>
        <w:tc>
          <w:tcPr>
            <w:tcW w:w="1586" w:type="dxa"/>
            <w:vAlign w:val="top"/>
          </w:tcPr>
          <w:p w14:paraId="26742E7A">
            <w:pPr>
              <w:spacing w:line="307" w:lineRule="auto"/>
              <w:rPr>
                <w:rFonts w:ascii="Arial"/>
                <w:sz w:val="21"/>
              </w:rPr>
            </w:pPr>
          </w:p>
          <w:p w14:paraId="3B2CA92C">
            <w:pPr>
              <w:pStyle w:val="51"/>
              <w:spacing w:before="56" w:line="228" w:lineRule="auto"/>
              <w:ind w:left="174"/>
              <w:rPr>
                <w:sz w:val="17"/>
                <w:szCs w:val="17"/>
              </w:rPr>
            </w:pPr>
            <w:r>
              <w:rPr>
                <w:spacing w:val="7"/>
                <w:sz w:val="17"/>
                <w:szCs w:val="17"/>
              </w:rPr>
              <w:t>冲调类方便食品</w:t>
            </w:r>
          </w:p>
        </w:tc>
        <w:tc>
          <w:tcPr>
            <w:tcW w:w="682" w:type="dxa"/>
            <w:vAlign w:val="top"/>
          </w:tcPr>
          <w:p w14:paraId="5C372643">
            <w:pPr>
              <w:spacing w:line="308" w:lineRule="auto"/>
              <w:rPr>
                <w:rFonts w:ascii="Arial"/>
                <w:sz w:val="21"/>
              </w:rPr>
            </w:pPr>
          </w:p>
          <w:p w14:paraId="16F1164D">
            <w:pPr>
              <w:pStyle w:val="51"/>
              <w:spacing w:before="55" w:line="227" w:lineRule="auto"/>
              <w:ind w:left="170"/>
              <w:rPr>
                <w:sz w:val="17"/>
                <w:szCs w:val="17"/>
              </w:rPr>
            </w:pPr>
            <w:r>
              <w:rPr>
                <w:spacing w:val="3"/>
                <w:sz w:val="17"/>
                <w:szCs w:val="17"/>
              </w:rPr>
              <w:t>较高</w:t>
            </w:r>
          </w:p>
        </w:tc>
        <w:tc>
          <w:tcPr>
            <w:tcW w:w="8563" w:type="dxa"/>
            <w:vAlign w:val="top"/>
          </w:tcPr>
          <w:p w14:paraId="10577A7C">
            <w:pPr>
              <w:pStyle w:val="51"/>
              <w:spacing w:before="65" w:line="301" w:lineRule="auto"/>
              <w:ind w:left="40" w:right="60" w:hanging="3"/>
              <w:jc w:val="both"/>
              <w:rPr>
                <w:sz w:val="17"/>
                <w:szCs w:val="17"/>
              </w:rPr>
            </w:pPr>
            <w:r>
              <w:rPr>
                <w:spacing w:val="8"/>
                <w:sz w:val="17"/>
                <w:szCs w:val="17"/>
              </w:rPr>
              <w:t>酸价(以脂肪计)(</w:t>
            </w:r>
            <w:r>
              <w:rPr>
                <w:sz w:val="17"/>
                <w:szCs w:val="17"/>
              </w:rPr>
              <w:t>KOH</w:t>
            </w:r>
            <w:r>
              <w:rPr>
                <w:spacing w:val="8"/>
                <w:sz w:val="17"/>
                <w:szCs w:val="17"/>
              </w:rPr>
              <w:t>)、过氧化值(以脂肪计)、铅(以</w:t>
            </w:r>
            <w:r>
              <w:rPr>
                <w:sz w:val="17"/>
                <w:szCs w:val="17"/>
              </w:rPr>
              <w:t>Pb</w:t>
            </w:r>
            <w:r>
              <w:rPr>
                <w:spacing w:val="8"/>
                <w:sz w:val="17"/>
                <w:szCs w:val="17"/>
              </w:rPr>
              <w:t>计)、黄曲霉毒素B</w:t>
            </w:r>
            <w:r>
              <w:rPr>
                <w:spacing w:val="8"/>
                <w:position w:val="-2"/>
                <w:sz w:val="8"/>
                <w:szCs w:val="8"/>
              </w:rPr>
              <w:t>1</w:t>
            </w:r>
            <w:r>
              <w:rPr>
                <w:spacing w:val="-14"/>
                <w:position w:val="-2"/>
                <w:sz w:val="8"/>
                <w:szCs w:val="8"/>
              </w:rPr>
              <w:t xml:space="preserve"> </w:t>
            </w:r>
            <w:r>
              <w:rPr>
                <w:spacing w:val="8"/>
                <w:sz w:val="17"/>
                <w:szCs w:val="17"/>
              </w:rPr>
              <w:t>、苯甲酸及其钠盐(以</w:t>
            </w:r>
            <w:r>
              <w:rPr>
                <w:spacing w:val="7"/>
                <w:sz w:val="17"/>
                <w:szCs w:val="17"/>
              </w:rPr>
              <w:t>苯甲酸计)、</w:t>
            </w:r>
            <w:r>
              <w:rPr>
                <w:spacing w:val="9"/>
                <w:sz w:val="17"/>
                <w:szCs w:val="17"/>
              </w:rPr>
              <w:t>山梨酸及其钾盐(以山梨酸计)、糖精钠(以糖精计)、菌落总数、大肠菌群、霉菌、沙门氏菌、金黄色葡萄球</w:t>
            </w:r>
            <w:r>
              <w:rPr>
                <w:sz w:val="17"/>
                <w:szCs w:val="17"/>
              </w:rPr>
              <w:t>菌</w:t>
            </w:r>
          </w:p>
        </w:tc>
      </w:tr>
    </w:tbl>
    <w:p w14:paraId="13613034">
      <w:pPr>
        <w:rPr>
          <w:rFonts w:ascii="Arial"/>
          <w:sz w:val="21"/>
        </w:rPr>
      </w:pPr>
    </w:p>
    <w:p w14:paraId="445C1F78">
      <w:pPr>
        <w:rPr>
          <w:rFonts w:ascii="Arial" w:hAnsi="Arial" w:eastAsia="Arial" w:cs="Arial"/>
          <w:sz w:val="21"/>
          <w:szCs w:val="21"/>
        </w:rPr>
        <w:sectPr>
          <w:pgSz w:w="16838" w:h="11906"/>
          <w:pgMar w:top="1011" w:right="829" w:bottom="400" w:left="366" w:header="567" w:footer="567" w:gutter="0"/>
          <w:pgNumType w:fmt="decimal"/>
          <w:cols w:space="720" w:num="1"/>
        </w:sectPr>
      </w:pPr>
    </w:p>
    <w:p w14:paraId="5F427F04">
      <w:pPr>
        <w:spacing w:before="18"/>
      </w:pPr>
    </w:p>
    <w:p w14:paraId="20297584">
      <w:pPr>
        <w:spacing w:before="18"/>
      </w:pPr>
    </w:p>
    <w:tbl>
      <w:tblPr>
        <w:tblStyle w:val="50"/>
        <w:tblW w:w="15173" w:type="dxa"/>
        <w:tblInd w:w="46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59"/>
        <w:gridCol w:w="942"/>
        <w:gridCol w:w="1360"/>
        <w:gridCol w:w="1581"/>
        <w:gridCol w:w="1586"/>
        <w:gridCol w:w="682"/>
        <w:gridCol w:w="8563"/>
      </w:tblGrid>
      <w:tr w14:paraId="3BF2F3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459" w:type="dxa"/>
            <w:vAlign w:val="top"/>
          </w:tcPr>
          <w:p w14:paraId="49CD64BC">
            <w:pPr>
              <w:spacing w:before="241" w:line="234" w:lineRule="auto"/>
              <w:ind w:left="52"/>
              <w:rPr>
                <w:rFonts w:ascii="黑体" w:hAnsi="黑体" w:eastAsia="黑体" w:cs="黑体"/>
                <w:sz w:val="17"/>
                <w:szCs w:val="17"/>
              </w:rPr>
            </w:pPr>
            <w:r>
              <w:rPr>
                <w:rFonts w:ascii="黑体" w:hAnsi="黑体" w:eastAsia="黑体" w:cs="黑体"/>
                <w:spacing w:val="6"/>
                <w:sz w:val="17"/>
                <w:szCs w:val="17"/>
              </w:rPr>
              <w:t>序号</w:t>
            </w:r>
          </w:p>
        </w:tc>
        <w:tc>
          <w:tcPr>
            <w:tcW w:w="942" w:type="dxa"/>
            <w:vAlign w:val="top"/>
          </w:tcPr>
          <w:p w14:paraId="71B4F75E">
            <w:pPr>
              <w:spacing w:before="90" w:line="232" w:lineRule="auto"/>
              <w:ind w:left="111"/>
              <w:rPr>
                <w:rFonts w:ascii="黑体" w:hAnsi="黑体" w:eastAsia="黑体" w:cs="黑体"/>
                <w:sz w:val="17"/>
                <w:szCs w:val="17"/>
              </w:rPr>
            </w:pPr>
            <w:r>
              <w:rPr>
                <w:rFonts w:ascii="黑体" w:hAnsi="黑体" w:eastAsia="黑体" w:cs="黑体"/>
                <w:spacing w:val="8"/>
                <w:sz w:val="17"/>
                <w:szCs w:val="17"/>
              </w:rPr>
              <w:t>食品大类</w:t>
            </w:r>
          </w:p>
          <w:p w14:paraId="4796E339">
            <w:pPr>
              <w:spacing w:before="86" w:line="227" w:lineRule="auto"/>
              <w:ind w:left="237"/>
              <w:rPr>
                <w:rFonts w:ascii="黑体" w:hAnsi="黑体" w:eastAsia="黑体" w:cs="黑体"/>
                <w:sz w:val="17"/>
                <w:szCs w:val="17"/>
              </w:rPr>
            </w:pPr>
            <w:r>
              <w:rPr>
                <w:rFonts w:ascii="黑体" w:hAnsi="黑体" w:eastAsia="黑体" w:cs="黑体"/>
                <w:spacing w:val="-4"/>
                <w:sz w:val="17"/>
                <w:szCs w:val="17"/>
              </w:rPr>
              <w:t>(一级)</w:t>
            </w:r>
          </w:p>
        </w:tc>
        <w:tc>
          <w:tcPr>
            <w:tcW w:w="1360" w:type="dxa"/>
            <w:vAlign w:val="top"/>
          </w:tcPr>
          <w:p w14:paraId="2628B7EC">
            <w:pPr>
              <w:spacing w:before="90" w:line="232" w:lineRule="auto"/>
              <w:ind w:left="321"/>
              <w:rPr>
                <w:rFonts w:ascii="黑体" w:hAnsi="黑体" w:eastAsia="黑体" w:cs="黑体"/>
                <w:sz w:val="17"/>
                <w:szCs w:val="17"/>
              </w:rPr>
            </w:pPr>
            <w:r>
              <w:rPr>
                <w:rFonts w:ascii="黑体" w:hAnsi="黑体" w:eastAsia="黑体" w:cs="黑体"/>
                <w:spacing w:val="8"/>
                <w:sz w:val="17"/>
                <w:szCs w:val="17"/>
              </w:rPr>
              <w:t>食品亚类</w:t>
            </w:r>
          </w:p>
          <w:p w14:paraId="43F796BC">
            <w:pPr>
              <w:spacing w:before="86" w:line="227" w:lineRule="auto"/>
              <w:ind w:left="444"/>
              <w:rPr>
                <w:rFonts w:ascii="黑体" w:hAnsi="黑体" w:eastAsia="黑体" w:cs="黑体"/>
                <w:sz w:val="17"/>
                <w:szCs w:val="17"/>
              </w:rPr>
            </w:pPr>
            <w:r>
              <w:rPr>
                <w:rFonts w:ascii="黑体" w:hAnsi="黑体" w:eastAsia="黑体" w:cs="黑体"/>
                <w:spacing w:val="-3"/>
                <w:sz w:val="17"/>
                <w:szCs w:val="17"/>
              </w:rPr>
              <w:t>(二级)</w:t>
            </w:r>
          </w:p>
        </w:tc>
        <w:tc>
          <w:tcPr>
            <w:tcW w:w="1581" w:type="dxa"/>
            <w:vAlign w:val="top"/>
          </w:tcPr>
          <w:p w14:paraId="2261FD4A">
            <w:pPr>
              <w:spacing w:before="90" w:line="232" w:lineRule="auto"/>
              <w:ind w:left="433"/>
              <w:rPr>
                <w:rFonts w:ascii="黑体" w:hAnsi="黑体" w:eastAsia="黑体" w:cs="黑体"/>
                <w:sz w:val="17"/>
                <w:szCs w:val="17"/>
              </w:rPr>
            </w:pPr>
            <w:r>
              <w:rPr>
                <w:rFonts w:ascii="黑体" w:hAnsi="黑体" w:eastAsia="黑体" w:cs="黑体"/>
                <w:spacing w:val="8"/>
                <w:sz w:val="17"/>
                <w:szCs w:val="17"/>
              </w:rPr>
              <w:t>食品品种</w:t>
            </w:r>
          </w:p>
          <w:p w14:paraId="1233194B">
            <w:pPr>
              <w:spacing w:before="86" w:line="227" w:lineRule="auto"/>
              <w:ind w:left="558"/>
              <w:rPr>
                <w:rFonts w:ascii="黑体" w:hAnsi="黑体" w:eastAsia="黑体" w:cs="黑体"/>
                <w:sz w:val="17"/>
                <w:szCs w:val="17"/>
              </w:rPr>
            </w:pPr>
            <w:r>
              <w:rPr>
                <w:rFonts w:ascii="黑体" w:hAnsi="黑体" w:eastAsia="黑体" w:cs="黑体"/>
                <w:spacing w:val="-4"/>
                <w:sz w:val="17"/>
                <w:szCs w:val="17"/>
              </w:rPr>
              <w:t>(三级)</w:t>
            </w:r>
          </w:p>
        </w:tc>
        <w:tc>
          <w:tcPr>
            <w:tcW w:w="1586" w:type="dxa"/>
            <w:vAlign w:val="top"/>
          </w:tcPr>
          <w:p w14:paraId="6D8E2F83">
            <w:pPr>
              <w:spacing w:before="90" w:line="232" w:lineRule="auto"/>
              <w:ind w:left="436"/>
              <w:rPr>
                <w:rFonts w:ascii="黑体" w:hAnsi="黑体" w:eastAsia="黑体" w:cs="黑体"/>
                <w:sz w:val="17"/>
                <w:szCs w:val="17"/>
              </w:rPr>
            </w:pPr>
            <w:r>
              <w:rPr>
                <w:rFonts w:ascii="黑体" w:hAnsi="黑体" w:eastAsia="黑体" w:cs="黑体"/>
                <w:spacing w:val="8"/>
                <w:sz w:val="17"/>
                <w:szCs w:val="17"/>
              </w:rPr>
              <w:t>食品细类</w:t>
            </w:r>
          </w:p>
          <w:p w14:paraId="7ECB3A80">
            <w:pPr>
              <w:spacing w:before="86" w:line="227" w:lineRule="auto"/>
              <w:ind w:left="561"/>
              <w:rPr>
                <w:rFonts w:ascii="黑体" w:hAnsi="黑体" w:eastAsia="黑体" w:cs="黑体"/>
                <w:sz w:val="17"/>
                <w:szCs w:val="17"/>
              </w:rPr>
            </w:pPr>
            <w:r>
              <w:rPr>
                <w:rFonts w:ascii="黑体" w:hAnsi="黑体" w:eastAsia="黑体" w:cs="黑体"/>
                <w:spacing w:val="-4"/>
                <w:sz w:val="17"/>
                <w:szCs w:val="17"/>
              </w:rPr>
              <w:t>(四级)</w:t>
            </w:r>
          </w:p>
        </w:tc>
        <w:tc>
          <w:tcPr>
            <w:tcW w:w="682" w:type="dxa"/>
            <w:vAlign w:val="top"/>
          </w:tcPr>
          <w:p w14:paraId="6024DD23">
            <w:pPr>
              <w:spacing w:before="89" w:line="233" w:lineRule="auto"/>
              <w:ind w:left="166"/>
              <w:rPr>
                <w:rFonts w:ascii="黑体" w:hAnsi="黑体" w:eastAsia="黑体" w:cs="黑体"/>
                <w:sz w:val="17"/>
                <w:szCs w:val="17"/>
              </w:rPr>
            </w:pPr>
            <w:r>
              <w:rPr>
                <w:rFonts w:ascii="黑体" w:hAnsi="黑体" w:eastAsia="黑体" w:cs="黑体"/>
                <w:spacing w:val="6"/>
                <w:sz w:val="17"/>
                <w:szCs w:val="17"/>
              </w:rPr>
              <w:t>风险</w:t>
            </w:r>
          </w:p>
          <w:p w14:paraId="795A42EB">
            <w:pPr>
              <w:spacing w:before="85" w:line="227" w:lineRule="auto"/>
              <w:ind w:left="163"/>
              <w:rPr>
                <w:rFonts w:ascii="黑体" w:hAnsi="黑体" w:eastAsia="黑体" w:cs="黑体"/>
                <w:sz w:val="17"/>
                <w:szCs w:val="17"/>
              </w:rPr>
            </w:pPr>
            <w:r>
              <w:rPr>
                <w:rFonts w:ascii="黑体" w:hAnsi="黑体" w:eastAsia="黑体" w:cs="黑体"/>
                <w:spacing w:val="7"/>
                <w:sz w:val="17"/>
                <w:szCs w:val="17"/>
              </w:rPr>
              <w:t>等级</w:t>
            </w:r>
          </w:p>
        </w:tc>
        <w:tc>
          <w:tcPr>
            <w:tcW w:w="8563" w:type="dxa"/>
            <w:vAlign w:val="top"/>
          </w:tcPr>
          <w:p w14:paraId="7988FC0F">
            <w:pPr>
              <w:spacing w:before="241" w:line="232" w:lineRule="auto"/>
              <w:ind w:left="3744"/>
              <w:rPr>
                <w:rFonts w:ascii="黑体" w:hAnsi="黑体" w:eastAsia="黑体" w:cs="黑体"/>
                <w:sz w:val="17"/>
                <w:szCs w:val="17"/>
              </w:rPr>
            </w:pPr>
            <w:r>
              <w:rPr>
                <w:rFonts w:ascii="黑体" w:hAnsi="黑体" w:eastAsia="黑体" w:cs="黑体"/>
                <w:spacing w:val="8"/>
                <w:sz w:val="17"/>
                <w:szCs w:val="17"/>
              </w:rPr>
              <w:t>监督抽检项目</w:t>
            </w:r>
          </w:p>
        </w:tc>
      </w:tr>
      <w:tr w14:paraId="56C03C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4" w:hRule="atLeast"/>
        </w:trPr>
        <w:tc>
          <w:tcPr>
            <w:tcW w:w="459" w:type="dxa"/>
            <w:vMerge w:val="restart"/>
            <w:tcBorders>
              <w:bottom w:val="nil"/>
            </w:tcBorders>
            <w:vAlign w:val="top"/>
          </w:tcPr>
          <w:p w14:paraId="75EAED1B">
            <w:pPr>
              <w:rPr>
                <w:rFonts w:ascii="Arial"/>
                <w:sz w:val="21"/>
              </w:rPr>
            </w:pPr>
          </w:p>
        </w:tc>
        <w:tc>
          <w:tcPr>
            <w:tcW w:w="942" w:type="dxa"/>
            <w:vMerge w:val="restart"/>
            <w:tcBorders>
              <w:bottom w:val="nil"/>
            </w:tcBorders>
            <w:vAlign w:val="top"/>
          </w:tcPr>
          <w:p w14:paraId="624D047B">
            <w:pPr>
              <w:rPr>
                <w:rFonts w:ascii="Arial"/>
                <w:sz w:val="21"/>
              </w:rPr>
            </w:pPr>
          </w:p>
        </w:tc>
        <w:tc>
          <w:tcPr>
            <w:tcW w:w="1360" w:type="dxa"/>
            <w:vMerge w:val="restart"/>
            <w:tcBorders>
              <w:bottom w:val="nil"/>
            </w:tcBorders>
            <w:vAlign w:val="top"/>
          </w:tcPr>
          <w:p w14:paraId="672D09A7">
            <w:pPr>
              <w:rPr>
                <w:rFonts w:ascii="Arial"/>
                <w:sz w:val="21"/>
              </w:rPr>
            </w:pPr>
          </w:p>
        </w:tc>
        <w:tc>
          <w:tcPr>
            <w:tcW w:w="1581" w:type="dxa"/>
            <w:vMerge w:val="restart"/>
            <w:tcBorders>
              <w:bottom w:val="nil"/>
            </w:tcBorders>
            <w:vAlign w:val="top"/>
          </w:tcPr>
          <w:p w14:paraId="6C2EA0BC">
            <w:pPr>
              <w:rPr>
                <w:rFonts w:ascii="Arial"/>
                <w:sz w:val="21"/>
              </w:rPr>
            </w:pPr>
          </w:p>
        </w:tc>
        <w:tc>
          <w:tcPr>
            <w:tcW w:w="1586" w:type="dxa"/>
            <w:vAlign w:val="top"/>
          </w:tcPr>
          <w:p w14:paraId="2D77DAE6">
            <w:pPr>
              <w:spacing w:line="305" w:lineRule="auto"/>
              <w:rPr>
                <w:rFonts w:ascii="Arial"/>
                <w:sz w:val="21"/>
              </w:rPr>
            </w:pPr>
          </w:p>
          <w:p w14:paraId="4B9D9D3B">
            <w:pPr>
              <w:pStyle w:val="51"/>
              <w:spacing w:before="55" w:line="229" w:lineRule="auto"/>
              <w:ind w:left="177"/>
              <w:rPr>
                <w:sz w:val="17"/>
                <w:szCs w:val="17"/>
              </w:rPr>
            </w:pPr>
            <w:r>
              <w:rPr>
                <w:spacing w:val="7"/>
                <w:sz w:val="17"/>
                <w:szCs w:val="17"/>
              </w:rPr>
              <w:t>主食类方便食品</w:t>
            </w:r>
          </w:p>
        </w:tc>
        <w:tc>
          <w:tcPr>
            <w:tcW w:w="682" w:type="dxa"/>
            <w:vAlign w:val="top"/>
          </w:tcPr>
          <w:p w14:paraId="681A3A3D">
            <w:pPr>
              <w:spacing w:line="305" w:lineRule="auto"/>
              <w:rPr>
                <w:rFonts w:ascii="Arial"/>
                <w:sz w:val="21"/>
              </w:rPr>
            </w:pPr>
          </w:p>
          <w:p w14:paraId="68045951">
            <w:pPr>
              <w:pStyle w:val="51"/>
              <w:spacing w:before="55" w:line="227" w:lineRule="auto"/>
              <w:ind w:left="170"/>
              <w:rPr>
                <w:sz w:val="17"/>
                <w:szCs w:val="17"/>
              </w:rPr>
            </w:pPr>
            <w:r>
              <w:rPr>
                <w:spacing w:val="3"/>
                <w:sz w:val="17"/>
                <w:szCs w:val="17"/>
              </w:rPr>
              <w:t>较高</w:t>
            </w:r>
          </w:p>
        </w:tc>
        <w:tc>
          <w:tcPr>
            <w:tcW w:w="8563" w:type="dxa"/>
            <w:vAlign w:val="top"/>
          </w:tcPr>
          <w:p w14:paraId="0491D997">
            <w:pPr>
              <w:pStyle w:val="51"/>
              <w:spacing w:before="62" w:line="301" w:lineRule="auto"/>
              <w:ind w:left="63" w:right="26" w:hanging="26"/>
              <w:jc w:val="both"/>
              <w:rPr>
                <w:sz w:val="17"/>
                <w:szCs w:val="17"/>
              </w:rPr>
            </w:pPr>
            <w:r>
              <w:rPr>
                <w:spacing w:val="8"/>
                <w:sz w:val="17"/>
                <w:szCs w:val="17"/>
              </w:rPr>
              <w:t>酸价(以脂肪计)(</w:t>
            </w:r>
            <w:r>
              <w:rPr>
                <w:sz w:val="17"/>
                <w:szCs w:val="17"/>
              </w:rPr>
              <w:t>KOH</w:t>
            </w:r>
            <w:r>
              <w:rPr>
                <w:spacing w:val="8"/>
                <w:sz w:val="17"/>
                <w:szCs w:val="17"/>
              </w:rPr>
              <w:t>)、过氧化值(以脂肪计)、铅(以</w:t>
            </w:r>
            <w:r>
              <w:rPr>
                <w:sz w:val="17"/>
                <w:szCs w:val="17"/>
              </w:rPr>
              <w:t>Pb</w:t>
            </w:r>
            <w:r>
              <w:rPr>
                <w:spacing w:val="8"/>
                <w:sz w:val="17"/>
                <w:szCs w:val="17"/>
              </w:rPr>
              <w:t>计)、苯甲酸及其钠盐(以苯甲酸计)、山梨酸及其钾盐(以山梨酸计)、脱氢乙酸及其钠盐(以脱氢乙酸计)、糖精钠(以糖精计)、菌落总数、大肠菌群、霉菌、沙门</w:t>
            </w:r>
            <w:r>
              <w:rPr>
                <w:spacing w:val="6"/>
                <w:sz w:val="17"/>
                <w:szCs w:val="17"/>
              </w:rPr>
              <w:t>氏菌、金黄色葡萄球菌</w:t>
            </w:r>
          </w:p>
        </w:tc>
      </w:tr>
      <w:tr w14:paraId="3B5A3E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459" w:type="dxa"/>
            <w:vMerge w:val="continue"/>
            <w:tcBorders>
              <w:top w:val="nil"/>
            </w:tcBorders>
            <w:vAlign w:val="top"/>
          </w:tcPr>
          <w:p w14:paraId="4AB63CBD">
            <w:pPr>
              <w:rPr>
                <w:rFonts w:ascii="Arial"/>
                <w:sz w:val="21"/>
              </w:rPr>
            </w:pPr>
          </w:p>
        </w:tc>
        <w:tc>
          <w:tcPr>
            <w:tcW w:w="942" w:type="dxa"/>
            <w:vMerge w:val="continue"/>
            <w:tcBorders>
              <w:top w:val="nil"/>
            </w:tcBorders>
            <w:vAlign w:val="top"/>
          </w:tcPr>
          <w:p w14:paraId="5FBF66BE">
            <w:pPr>
              <w:rPr>
                <w:rFonts w:ascii="Arial"/>
                <w:sz w:val="21"/>
              </w:rPr>
            </w:pPr>
          </w:p>
        </w:tc>
        <w:tc>
          <w:tcPr>
            <w:tcW w:w="1360" w:type="dxa"/>
            <w:vMerge w:val="continue"/>
            <w:tcBorders>
              <w:top w:val="nil"/>
            </w:tcBorders>
            <w:vAlign w:val="top"/>
          </w:tcPr>
          <w:p w14:paraId="2E28A499">
            <w:pPr>
              <w:rPr>
                <w:rFonts w:ascii="Arial"/>
                <w:sz w:val="21"/>
              </w:rPr>
            </w:pPr>
          </w:p>
        </w:tc>
        <w:tc>
          <w:tcPr>
            <w:tcW w:w="1581" w:type="dxa"/>
            <w:vMerge w:val="continue"/>
            <w:tcBorders>
              <w:top w:val="nil"/>
            </w:tcBorders>
            <w:vAlign w:val="top"/>
          </w:tcPr>
          <w:p w14:paraId="4ED8C8B0">
            <w:pPr>
              <w:rPr>
                <w:rFonts w:ascii="Arial"/>
                <w:sz w:val="21"/>
              </w:rPr>
            </w:pPr>
          </w:p>
        </w:tc>
        <w:tc>
          <w:tcPr>
            <w:tcW w:w="1586" w:type="dxa"/>
            <w:vAlign w:val="top"/>
          </w:tcPr>
          <w:p w14:paraId="06299347">
            <w:pPr>
              <w:pStyle w:val="51"/>
              <w:spacing w:before="212" w:line="227" w:lineRule="auto"/>
              <w:ind w:left="173"/>
              <w:rPr>
                <w:sz w:val="17"/>
                <w:szCs w:val="17"/>
              </w:rPr>
            </w:pPr>
            <w:r>
              <w:rPr>
                <w:spacing w:val="8"/>
                <w:sz w:val="17"/>
                <w:szCs w:val="17"/>
              </w:rPr>
              <w:t>其他类方便食品</w:t>
            </w:r>
          </w:p>
        </w:tc>
        <w:tc>
          <w:tcPr>
            <w:tcW w:w="682" w:type="dxa"/>
            <w:vAlign w:val="top"/>
          </w:tcPr>
          <w:p w14:paraId="7DCC7545">
            <w:pPr>
              <w:pStyle w:val="51"/>
              <w:spacing w:before="212" w:line="227" w:lineRule="auto"/>
              <w:ind w:left="170"/>
              <w:rPr>
                <w:sz w:val="17"/>
                <w:szCs w:val="17"/>
              </w:rPr>
            </w:pPr>
            <w:r>
              <w:rPr>
                <w:spacing w:val="3"/>
                <w:sz w:val="17"/>
                <w:szCs w:val="17"/>
              </w:rPr>
              <w:t>较高</w:t>
            </w:r>
          </w:p>
        </w:tc>
        <w:tc>
          <w:tcPr>
            <w:tcW w:w="8563" w:type="dxa"/>
            <w:vAlign w:val="top"/>
          </w:tcPr>
          <w:p w14:paraId="4589791A">
            <w:pPr>
              <w:pStyle w:val="51"/>
              <w:spacing w:before="62" w:line="289" w:lineRule="auto"/>
              <w:ind w:left="63" w:right="26" w:hanging="26"/>
              <w:rPr>
                <w:sz w:val="17"/>
                <w:szCs w:val="17"/>
              </w:rPr>
            </w:pPr>
            <w:r>
              <w:rPr>
                <w:spacing w:val="8"/>
                <w:sz w:val="17"/>
                <w:szCs w:val="17"/>
              </w:rPr>
              <w:t>酸价(以脂肪计)(</w:t>
            </w:r>
            <w:r>
              <w:rPr>
                <w:sz w:val="17"/>
                <w:szCs w:val="17"/>
              </w:rPr>
              <w:t>KOH</w:t>
            </w:r>
            <w:r>
              <w:rPr>
                <w:spacing w:val="8"/>
                <w:sz w:val="17"/>
                <w:szCs w:val="17"/>
              </w:rPr>
              <w:t>)、过氧化值(以脂肪计)、铅(以</w:t>
            </w:r>
            <w:r>
              <w:rPr>
                <w:sz w:val="17"/>
                <w:szCs w:val="17"/>
              </w:rPr>
              <w:t>Pb</w:t>
            </w:r>
            <w:r>
              <w:rPr>
                <w:spacing w:val="8"/>
                <w:sz w:val="17"/>
                <w:szCs w:val="17"/>
              </w:rPr>
              <w:t>计)、苯甲酸及其钠盐(以苯甲酸计)、山梨酸及其钾盐(以山梨酸计)、糖精钠(以糖精计)、菌落总数、大肠菌群、霉菌、沙门氏菌、金黄色葡萄球菌</w:t>
            </w:r>
          </w:p>
        </w:tc>
      </w:tr>
      <w:tr w14:paraId="4AB66C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trPr>
        <w:tc>
          <w:tcPr>
            <w:tcW w:w="459" w:type="dxa"/>
            <w:vAlign w:val="top"/>
          </w:tcPr>
          <w:p w14:paraId="773316B5">
            <w:pPr>
              <w:spacing w:line="479" w:lineRule="auto"/>
              <w:rPr>
                <w:rFonts w:ascii="Arial"/>
                <w:sz w:val="21"/>
              </w:rPr>
            </w:pPr>
          </w:p>
          <w:p w14:paraId="21B9A6EC">
            <w:pPr>
              <w:pStyle w:val="51"/>
              <w:spacing w:before="55" w:line="228" w:lineRule="exact"/>
              <w:ind w:left="189"/>
              <w:rPr>
                <w:sz w:val="17"/>
                <w:szCs w:val="17"/>
              </w:rPr>
            </w:pPr>
            <w:r>
              <w:rPr>
                <w:position w:val="1"/>
                <w:sz w:val="17"/>
                <w:szCs w:val="17"/>
              </w:rPr>
              <w:t>8</w:t>
            </w:r>
          </w:p>
        </w:tc>
        <w:tc>
          <w:tcPr>
            <w:tcW w:w="942" w:type="dxa"/>
            <w:vAlign w:val="top"/>
          </w:tcPr>
          <w:p w14:paraId="601B67EC">
            <w:pPr>
              <w:spacing w:line="479" w:lineRule="auto"/>
              <w:rPr>
                <w:rFonts w:ascii="Arial"/>
                <w:sz w:val="21"/>
              </w:rPr>
            </w:pPr>
          </w:p>
          <w:p w14:paraId="3FA97A82">
            <w:pPr>
              <w:pStyle w:val="51"/>
              <w:spacing w:before="55" w:line="229" w:lineRule="auto"/>
              <w:ind w:left="296"/>
              <w:rPr>
                <w:sz w:val="17"/>
                <w:szCs w:val="17"/>
              </w:rPr>
            </w:pPr>
            <w:r>
              <w:rPr>
                <w:spacing w:val="4"/>
                <w:sz w:val="17"/>
                <w:szCs w:val="17"/>
              </w:rPr>
              <w:t>饼干</w:t>
            </w:r>
          </w:p>
        </w:tc>
        <w:tc>
          <w:tcPr>
            <w:tcW w:w="1360" w:type="dxa"/>
            <w:vAlign w:val="top"/>
          </w:tcPr>
          <w:p w14:paraId="6FA938D0">
            <w:pPr>
              <w:spacing w:line="479" w:lineRule="auto"/>
              <w:rPr>
                <w:rFonts w:ascii="Arial"/>
                <w:sz w:val="21"/>
              </w:rPr>
            </w:pPr>
          </w:p>
          <w:p w14:paraId="35ADA75C">
            <w:pPr>
              <w:pStyle w:val="51"/>
              <w:spacing w:before="55" w:line="229" w:lineRule="auto"/>
              <w:ind w:left="506"/>
              <w:rPr>
                <w:sz w:val="17"/>
                <w:szCs w:val="17"/>
              </w:rPr>
            </w:pPr>
            <w:r>
              <w:rPr>
                <w:spacing w:val="4"/>
                <w:sz w:val="17"/>
                <w:szCs w:val="17"/>
              </w:rPr>
              <w:t>饼干</w:t>
            </w:r>
          </w:p>
        </w:tc>
        <w:tc>
          <w:tcPr>
            <w:tcW w:w="1581" w:type="dxa"/>
            <w:vAlign w:val="top"/>
          </w:tcPr>
          <w:p w14:paraId="3E552323">
            <w:pPr>
              <w:spacing w:line="479" w:lineRule="auto"/>
              <w:rPr>
                <w:rFonts w:ascii="Arial"/>
                <w:sz w:val="21"/>
              </w:rPr>
            </w:pPr>
          </w:p>
          <w:p w14:paraId="758F164A">
            <w:pPr>
              <w:pStyle w:val="51"/>
              <w:spacing w:before="55" w:line="229" w:lineRule="auto"/>
              <w:ind w:left="618"/>
              <w:rPr>
                <w:sz w:val="17"/>
                <w:szCs w:val="17"/>
              </w:rPr>
            </w:pPr>
            <w:r>
              <w:rPr>
                <w:spacing w:val="4"/>
                <w:sz w:val="17"/>
                <w:szCs w:val="17"/>
              </w:rPr>
              <w:t>饼干</w:t>
            </w:r>
          </w:p>
        </w:tc>
        <w:tc>
          <w:tcPr>
            <w:tcW w:w="1586" w:type="dxa"/>
            <w:vAlign w:val="top"/>
          </w:tcPr>
          <w:p w14:paraId="4441C513">
            <w:pPr>
              <w:spacing w:line="479" w:lineRule="auto"/>
              <w:rPr>
                <w:rFonts w:ascii="Arial"/>
                <w:sz w:val="21"/>
              </w:rPr>
            </w:pPr>
          </w:p>
          <w:p w14:paraId="5A8E5D86">
            <w:pPr>
              <w:pStyle w:val="51"/>
              <w:spacing w:before="55" w:line="229" w:lineRule="auto"/>
              <w:ind w:left="620"/>
              <w:rPr>
                <w:sz w:val="17"/>
                <w:szCs w:val="17"/>
              </w:rPr>
            </w:pPr>
            <w:r>
              <w:rPr>
                <w:spacing w:val="4"/>
                <w:sz w:val="17"/>
                <w:szCs w:val="17"/>
              </w:rPr>
              <w:t>饼干</w:t>
            </w:r>
          </w:p>
        </w:tc>
        <w:tc>
          <w:tcPr>
            <w:tcW w:w="682" w:type="dxa"/>
            <w:vAlign w:val="top"/>
          </w:tcPr>
          <w:p w14:paraId="134C666D">
            <w:pPr>
              <w:spacing w:line="479" w:lineRule="auto"/>
              <w:rPr>
                <w:rFonts w:ascii="Arial"/>
                <w:sz w:val="21"/>
              </w:rPr>
            </w:pPr>
          </w:p>
          <w:p w14:paraId="0BCCC751">
            <w:pPr>
              <w:pStyle w:val="51"/>
              <w:spacing w:before="56" w:line="230" w:lineRule="auto"/>
              <w:ind w:left="173"/>
              <w:rPr>
                <w:sz w:val="17"/>
                <w:szCs w:val="17"/>
              </w:rPr>
            </w:pPr>
            <w:r>
              <w:rPr>
                <w:spacing w:val="2"/>
                <w:sz w:val="17"/>
                <w:szCs w:val="17"/>
              </w:rPr>
              <w:t>一般</w:t>
            </w:r>
          </w:p>
        </w:tc>
        <w:tc>
          <w:tcPr>
            <w:tcW w:w="8563" w:type="dxa"/>
            <w:vAlign w:val="top"/>
          </w:tcPr>
          <w:p w14:paraId="4F0086BD">
            <w:pPr>
              <w:pStyle w:val="51"/>
              <w:spacing w:before="89" w:line="300" w:lineRule="auto"/>
              <w:ind w:left="37"/>
              <w:rPr>
                <w:sz w:val="17"/>
                <w:szCs w:val="17"/>
              </w:rPr>
            </w:pPr>
            <w:r>
              <w:rPr>
                <w:spacing w:val="6"/>
                <w:sz w:val="17"/>
                <w:szCs w:val="17"/>
              </w:rPr>
              <w:t>酸价(以脂肪计)(</w:t>
            </w:r>
            <w:r>
              <w:rPr>
                <w:sz w:val="17"/>
                <w:szCs w:val="17"/>
              </w:rPr>
              <w:t>KOH</w:t>
            </w:r>
            <w:r>
              <w:rPr>
                <w:spacing w:val="6"/>
                <w:sz w:val="17"/>
                <w:szCs w:val="17"/>
              </w:rPr>
              <w:t>)、过氧化值(以脂肪</w:t>
            </w:r>
            <w:r>
              <w:rPr>
                <w:spacing w:val="5"/>
                <w:sz w:val="17"/>
                <w:szCs w:val="17"/>
              </w:rPr>
              <w:t>计)、山梨酸及其钾盐(以山梨酸计)、铝的残留量(干样品，以</w:t>
            </w:r>
            <w:r>
              <w:rPr>
                <w:sz w:val="17"/>
                <w:szCs w:val="17"/>
              </w:rPr>
              <w:t>Al</w:t>
            </w:r>
            <w:r>
              <w:rPr>
                <w:spacing w:val="5"/>
                <w:sz w:val="17"/>
                <w:szCs w:val="17"/>
              </w:rPr>
              <w:t>计)、</w:t>
            </w:r>
            <w:r>
              <w:rPr>
                <w:spacing w:val="8"/>
                <w:sz w:val="17"/>
                <w:szCs w:val="17"/>
              </w:rPr>
              <w:t>脱氢乙酸及其钠盐(以脱氢乙酸计)、甜蜜素(以环己基氨基磺酸计)、糖精钠(以糖精计)、二氧化</w:t>
            </w:r>
            <w:r>
              <w:rPr>
                <w:spacing w:val="7"/>
                <w:sz w:val="17"/>
                <w:szCs w:val="17"/>
              </w:rPr>
              <w:t>硫残留量、</w:t>
            </w:r>
            <w:r>
              <w:rPr>
                <w:spacing w:val="8"/>
                <w:sz w:val="17"/>
                <w:szCs w:val="17"/>
              </w:rPr>
              <w:t>苯甲酸及其钠盐(以苯甲酸计)、合成着色剂（柠檬黄、日落黄、胭脂红、苋菜红、亮蓝、靛蓝、诱惑红）、</w:t>
            </w:r>
            <w:r>
              <w:rPr>
                <w:spacing w:val="9"/>
                <w:sz w:val="17"/>
                <w:szCs w:val="17"/>
              </w:rPr>
              <w:t>菌落总数、大肠菌群、金黄色葡萄球菌、沙门氏菌</w:t>
            </w:r>
            <w:r>
              <w:rPr>
                <w:spacing w:val="8"/>
                <w:sz w:val="17"/>
                <w:szCs w:val="17"/>
              </w:rPr>
              <w:t>、霉菌</w:t>
            </w:r>
          </w:p>
        </w:tc>
      </w:tr>
      <w:tr w14:paraId="4177D4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459" w:type="dxa"/>
            <w:vMerge w:val="restart"/>
            <w:tcBorders>
              <w:bottom w:val="nil"/>
            </w:tcBorders>
            <w:vAlign w:val="top"/>
          </w:tcPr>
          <w:p w14:paraId="457D70BD">
            <w:pPr>
              <w:spacing w:line="263" w:lineRule="auto"/>
              <w:rPr>
                <w:rFonts w:ascii="Arial"/>
                <w:sz w:val="21"/>
              </w:rPr>
            </w:pPr>
          </w:p>
          <w:p w14:paraId="7752BEB4">
            <w:pPr>
              <w:spacing w:line="263" w:lineRule="auto"/>
              <w:rPr>
                <w:rFonts w:ascii="Arial"/>
                <w:sz w:val="21"/>
              </w:rPr>
            </w:pPr>
          </w:p>
          <w:p w14:paraId="1405F0C0">
            <w:pPr>
              <w:spacing w:line="264" w:lineRule="auto"/>
              <w:rPr>
                <w:rFonts w:ascii="Arial"/>
                <w:sz w:val="21"/>
              </w:rPr>
            </w:pPr>
          </w:p>
          <w:p w14:paraId="7EB1AEB1">
            <w:pPr>
              <w:spacing w:line="264" w:lineRule="auto"/>
              <w:rPr>
                <w:rFonts w:ascii="Arial"/>
                <w:sz w:val="21"/>
              </w:rPr>
            </w:pPr>
          </w:p>
          <w:p w14:paraId="5DF9C91D">
            <w:pPr>
              <w:spacing w:line="264" w:lineRule="auto"/>
              <w:rPr>
                <w:rFonts w:ascii="Arial"/>
                <w:sz w:val="21"/>
              </w:rPr>
            </w:pPr>
          </w:p>
          <w:p w14:paraId="4E2DEB02">
            <w:pPr>
              <w:spacing w:line="264" w:lineRule="auto"/>
              <w:rPr>
                <w:rFonts w:ascii="Arial"/>
                <w:sz w:val="21"/>
              </w:rPr>
            </w:pPr>
          </w:p>
          <w:p w14:paraId="5EB17B35">
            <w:pPr>
              <w:spacing w:line="264" w:lineRule="auto"/>
              <w:rPr>
                <w:rFonts w:ascii="Arial"/>
                <w:sz w:val="21"/>
              </w:rPr>
            </w:pPr>
          </w:p>
          <w:p w14:paraId="2AC933E6">
            <w:pPr>
              <w:pStyle w:val="51"/>
              <w:spacing w:before="56" w:line="227" w:lineRule="exact"/>
              <w:ind w:left="189"/>
              <w:rPr>
                <w:sz w:val="17"/>
                <w:szCs w:val="17"/>
              </w:rPr>
            </w:pPr>
            <w:r>
              <w:rPr>
                <w:position w:val="1"/>
                <w:sz w:val="17"/>
                <w:szCs w:val="17"/>
              </w:rPr>
              <w:t>9</w:t>
            </w:r>
          </w:p>
        </w:tc>
        <w:tc>
          <w:tcPr>
            <w:tcW w:w="942" w:type="dxa"/>
            <w:vMerge w:val="restart"/>
            <w:tcBorders>
              <w:bottom w:val="nil"/>
            </w:tcBorders>
            <w:vAlign w:val="top"/>
          </w:tcPr>
          <w:p w14:paraId="2636320E">
            <w:pPr>
              <w:spacing w:line="263" w:lineRule="auto"/>
              <w:rPr>
                <w:rFonts w:ascii="Arial"/>
                <w:sz w:val="21"/>
              </w:rPr>
            </w:pPr>
          </w:p>
          <w:p w14:paraId="75FF39E2">
            <w:pPr>
              <w:spacing w:line="263" w:lineRule="auto"/>
              <w:rPr>
                <w:rFonts w:ascii="Arial"/>
                <w:sz w:val="21"/>
              </w:rPr>
            </w:pPr>
          </w:p>
          <w:p w14:paraId="2A476AC4">
            <w:pPr>
              <w:spacing w:line="264" w:lineRule="auto"/>
              <w:rPr>
                <w:rFonts w:ascii="Arial"/>
                <w:sz w:val="21"/>
              </w:rPr>
            </w:pPr>
          </w:p>
          <w:p w14:paraId="63A2743A">
            <w:pPr>
              <w:spacing w:line="264" w:lineRule="auto"/>
              <w:rPr>
                <w:rFonts w:ascii="Arial"/>
                <w:sz w:val="21"/>
              </w:rPr>
            </w:pPr>
          </w:p>
          <w:p w14:paraId="1D6688DD">
            <w:pPr>
              <w:spacing w:line="264" w:lineRule="auto"/>
              <w:rPr>
                <w:rFonts w:ascii="Arial"/>
                <w:sz w:val="21"/>
              </w:rPr>
            </w:pPr>
          </w:p>
          <w:p w14:paraId="1307DBAB">
            <w:pPr>
              <w:spacing w:line="264" w:lineRule="auto"/>
              <w:rPr>
                <w:rFonts w:ascii="Arial"/>
                <w:sz w:val="21"/>
              </w:rPr>
            </w:pPr>
          </w:p>
          <w:p w14:paraId="1EF222AF">
            <w:pPr>
              <w:spacing w:line="264" w:lineRule="auto"/>
              <w:rPr>
                <w:rFonts w:ascii="Arial"/>
                <w:sz w:val="21"/>
              </w:rPr>
            </w:pPr>
          </w:p>
          <w:p w14:paraId="18ABC593">
            <w:pPr>
              <w:pStyle w:val="51"/>
              <w:spacing w:before="56" w:line="228" w:lineRule="auto"/>
              <w:ind w:left="296"/>
              <w:rPr>
                <w:sz w:val="17"/>
                <w:szCs w:val="17"/>
              </w:rPr>
            </w:pPr>
            <w:r>
              <w:rPr>
                <w:spacing w:val="4"/>
                <w:sz w:val="17"/>
                <w:szCs w:val="17"/>
              </w:rPr>
              <w:t>罐头</w:t>
            </w:r>
          </w:p>
        </w:tc>
        <w:tc>
          <w:tcPr>
            <w:tcW w:w="1360" w:type="dxa"/>
            <w:vMerge w:val="restart"/>
            <w:tcBorders>
              <w:bottom w:val="nil"/>
            </w:tcBorders>
            <w:vAlign w:val="top"/>
          </w:tcPr>
          <w:p w14:paraId="4CB32B8A">
            <w:pPr>
              <w:spacing w:line="263" w:lineRule="auto"/>
              <w:rPr>
                <w:rFonts w:ascii="Arial"/>
                <w:sz w:val="21"/>
              </w:rPr>
            </w:pPr>
          </w:p>
          <w:p w14:paraId="54C1FACC">
            <w:pPr>
              <w:spacing w:line="263" w:lineRule="auto"/>
              <w:rPr>
                <w:rFonts w:ascii="Arial"/>
                <w:sz w:val="21"/>
              </w:rPr>
            </w:pPr>
          </w:p>
          <w:p w14:paraId="16C124BD">
            <w:pPr>
              <w:spacing w:line="264" w:lineRule="auto"/>
              <w:rPr>
                <w:rFonts w:ascii="Arial"/>
                <w:sz w:val="21"/>
              </w:rPr>
            </w:pPr>
          </w:p>
          <w:p w14:paraId="0ED880C8">
            <w:pPr>
              <w:spacing w:line="264" w:lineRule="auto"/>
              <w:rPr>
                <w:rFonts w:ascii="Arial"/>
                <w:sz w:val="21"/>
              </w:rPr>
            </w:pPr>
          </w:p>
          <w:p w14:paraId="53F3BB4D">
            <w:pPr>
              <w:spacing w:line="264" w:lineRule="auto"/>
              <w:rPr>
                <w:rFonts w:ascii="Arial"/>
                <w:sz w:val="21"/>
              </w:rPr>
            </w:pPr>
          </w:p>
          <w:p w14:paraId="5063C9CF">
            <w:pPr>
              <w:spacing w:line="264" w:lineRule="auto"/>
              <w:rPr>
                <w:rFonts w:ascii="Arial"/>
                <w:sz w:val="21"/>
              </w:rPr>
            </w:pPr>
          </w:p>
          <w:p w14:paraId="3ED9FB43">
            <w:pPr>
              <w:spacing w:line="264" w:lineRule="auto"/>
              <w:rPr>
                <w:rFonts w:ascii="Arial"/>
                <w:sz w:val="21"/>
              </w:rPr>
            </w:pPr>
          </w:p>
          <w:p w14:paraId="0B7DDCCD">
            <w:pPr>
              <w:pStyle w:val="51"/>
              <w:spacing w:before="56" w:line="228" w:lineRule="auto"/>
              <w:ind w:left="506"/>
              <w:rPr>
                <w:sz w:val="17"/>
                <w:szCs w:val="17"/>
              </w:rPr>
            </w:pPr>
            <w:r>
              <w:rPr>
                <w:spacing w:val="4"/>
                <w:sz w:val="17"/>
                <w:szCs w:val="17"/>
              </w:rPr>
              <w:t>罐头</w:t>
            </w:r>
          </w:p>
        </w:tc>
        <w:tc>
          <w:tcPr>
            <w:tcW w:w="1581" w:type="dxa"/>
            <w:vMerge w:val="restart"/>
            <w:tcBorders>
              <w:bottom w:val="nil"/>
            </w:tcBorders>
            <w:vAlign w:val="top"/>
          </w:tcPr>
          <w:p w14:paraId="23AC50EB">
            <w:pPr>
              <w:spacing w:line="242" w:lineRule="auto"/>
              <w:rPr>
                <w:rFonts w:ascii="Arial"/>
                <w:sz w:val="21"/>
              </w:rPr>
            </w:pPr>
          </w:p>
          <w:p w14:paraId="14322EBC">
            <w:pPr>
              <w:spacing w:line="242" w:lineRule="auto"/>
              <w:rPr>
                <w:rFonts w:ascii="Arial"/>
                <w:sz w:val="21"/>
              </w:rPr>
            </w:pPr>
          </w:p>
          <w:p w14:paraId="16292C0A">
            <w:pPr>
              <w:pStyle w:val="51"/>
              <w:spacing w:before="56" w:line="228" w:lineRule="auto"/>
              <w:ind w:left="264"/>
              <w:rPr>
                <w:sz w:val="17"/>
                <w:szCs w:val="17"/>
              </w:rPr>
            </w:pPr>
            <w:r>
              <w:rPr>
                <w:spacing w:val="6"/>
                <w:sz w:val="17"/>
                <w:szCs w:val="17"/>
              </w:rPr>
              <w:t>畜禽水产罐头</w:t>
            </w:r>
          </w:p>
        </w:tc>
        <w:tc>
          <w:tcPr>
            <w:tcW w:w="1586" w:type="dxa"/>
            <w:vAlign w:val="top"/>
          </w:tcPr>
          <w:p w14:paraId="6486F2C4">
            <w:pPr>
              <w:pStyle w:val="51"/>
              <w:spacing w:before="238" w:line="228" w:lineRule="auto"/>
              <w:ind w:left="267"/>
              <w:rPr>
                <w:sz w:val="17"/>
                <w:szCs w:val="17"/>
              </w:rPr>
            </w:pPr>
            <w:r>
              <w:rPr>
                <w:spacing w:val="6"/>
                <w:sz w:val="17"/>
                <w:szCs w:val="17"/>
              </w:rPr>
              <w:t>畜禽肉类罐头</w:t>
            </w:r>
          </w:p>
        </w:tc>
        <w:tc>
          <w:tcPr>
            <w:tcW w:w="682" w:type="dxa"/>
            <w:vAlign w:val="top"/>
          </w:tcPr>
          <w:p w14:paraId="172200DA">
            <w:pPr>
              <w:pStyle w:val="51"/>
              <w:spacing w:before="238" w:line="230" w:lineRule="auto"/>
              <w:ind w:left="173"/>
              <w:rPr>
                <w:sz w:val="17"/>
                <w:szCs w:val="17"/>
              </w:rPr>
            </w:pPr>
            <w:r>
              <w:rPr>
                <w:spacing w:val="2"/>
                <w:sz w:val="17"/>
                <w:szCs w:val="17"/>
              </w:rPr>
              <w:t>一般</w:t>
            </w:r>
          </w:p>
        </w:tc>
        <w:tc>
          <w:tcPr>
            <w:tcW w:w="8563" w:type="dxa"/>
            <w:vAlign w:val="top"/>
          </w:tcPr>
          <w:p w14:paraId="1CFFB008">
            <w:pPr>
              <w:pStyle w:val="51"/>
              <w:spacing w:before="90" w:line="274" w:lineRule="auto"/>
              <w:ind w:left="38" w:right="85" w:hanging="1"/>
              <w:rPr>
                <w:sz w:val="17"/>
                <w:szCs w:val="17"/>
              </w:rPr>
            </w:pPr>
            <w:r>
              <w:rPr>
                <w:spacing w:val="7"/>
                <w:sz w:val="17"/>
                <w:szCs w:val="17"/>
              </w:rPr>
              <w:t>铅(以</w:t>
            </w:r>
            <w:r>
              <w:rPr>
                <w:sz w:val="17"/>
                <w:szCs w:val="17"/>
              </w:rPr>
              <w:t>Pb</w:t>
            </w:r>
            <w:r>
              <w:rPr>
                <w:spacing w:val="7"/>
                <w:sz w:val="17"/>
                <w:szCs w:val="17"/>
              </w:rPr>
              <w:t>计)、镉(以</w:t>
            </w:r>
            <w:r>
              <w:rPr>
                <w:sz w:val="17"/>
                <w:szCs w:val="17"/>
              </w:rPr>
              <w:t>Cd</w:t>
            </w:r>
            <w:r>
              <w:rPr>
                <w:spacing w:val="7"/>
                <w:sz w:val="17"/>
                <w:szCs w:val="17"/>
              </w:rPr>
              <w:t>计)、脱氢乙酸及其钠盐（以脱</w:t>
            </w:r>
            <w:r>
              <w:rPr>
                <w:spacing w:val="6"/>
                <w:sz w:val="17"/>
                <w:szCs w:val="17"/>
              </w:rPr>
              <w:t>氢乙酸计）、</w:t>
            </w:r>
            <w:r>
              <w:rPr>
                <w:spacing w:val="48"/>
                <w:sz w:val="17"/>
                <w:szCs w:val="17"/>
              </w:rPr>
              <w:t xml:space="preserve"> </w:t>
            </w:r>
            <w:r>
              <w:rPr>
                <w:spacing w:val="6"/>
                <w:sz w:val="17"/>
                <w:szCs w:val="17"/>
              </w:rPr>
              <w:t>苯甲酸及其钠盐(以苯甲酸计)、山梨酸及</w:t>
            </w:r>
            <w:r>
              <w:rPr>
                <w:spacing w:val="7"/>
                <w:sz w:val="17"/>
                <w:szCs w:val="17"/>
              </w:rPr>
              <w:t>其钾盐(以山梨酸计)、商业无菌</w:t>
            </w:r>
          </w:p>
        </w:tc>
      </w:tr>
      <w:tr w14:paraId="3E4765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459" w:type="dxa"/>
            <w:vMerge w:val="continue"/>
            <w:tcBorders>
              <w:top w:val="nil"/>
              <w:bottom w:val="nil"/>
            </w:tcBorders>
            <w:vAlign w:val="top"/>
          </w:tcPr>
          <w:p w14:paraId="14B5D252">
            <w:pPr>
              <w:rPr>
                <w:rFonts w:ascii="Arial"/>
                <w:sz w:val="21"/>
              </w:rPr>
            </w:pPr>
          </w:p>
        </w:tc>
        <w:tc>
          <w:tcPr>
            <w:tcW w:w="942" w:type="dxa"/>
            <w:vMerge w:val="continue"/>
            <w:tcBorders>
              <w:top w:val="nil"/>
              <w:bottom w:val="nil"/>
            </w:tcBorders>
            <w:vAlign w:val="top"/>
          </w:tcPr>
          <w:p w14:paraId="40E1398B">
            <w:pPr>
              <w:rPr>
                <w:rFonts w:ascii="Arial"/>
                <w:sz w:val="21"/>
              </w:rPr>
            </w:pPr>
          </w:p>
        </w:tc>
        <w:tc>
          <w:tcPr>
            <w:tcW w:w="1360" w:type="dxa"/>
            <w:vMerge w:val="continue"/>
            <w:tcBorders>
              <w:top w:val="nil"/>
              <w:bottom w:val="nil"/>
            </w:tcBorders>
            <w:vAlign w:val="top"/>
          </w:tcPr>
          <w:p w14:paraId="1264248F">
            <w:pPr>
              <w:rPr>
                <w:rFonts w:ascii="Arial"/>
                <w:sz w:val="21"/>
              </w:rPr>
            </w:pPr>
          </w:p>
        </w:tc>
        <w:tc>
          <w:tcPr>
            <w:tcW w:w="1581" w:type="dxa"/>
            <w:vMerge w:val="continue"/>
            <w:tcBorders>
              <w:top w:val="nil"/>
            </w:tcBorders>
            <w:vAlign w:val="top"/>
          </w:tcPr>
          <w:p w14:paraId="6707A715">
            <w:pPr>
              <w:rPr>
                <w:rFonts w:ascii="Arial"/>
                <w:sz w:val="21"/>
              </w:rPr>
            </w:pPr>
          </w:p>
        </w:tc>
        <w:tc>
          <w:tcPr>
            <w:tcW w:w="1586" w:type="dxa"/>
            <w:vAlign w:val="top"/>
          </w:tcPr>
          <w:p w14:paraId="460396AC">
            <w:pPr>
              <w:pStyle w:val="51"/>
              <w:spacing w:before="237" w:line="227" w:lineRule="auto"/>
              <w:ind w:left="171"/>
              <w:rPr>
                <w:sz w:val="17"/>
                <w:szCs w:val="17"/>
              </w:rPr>
            </w:pPr>
            <w:r>
              <w:rPr>
                <w:spacing w:val="8"/>
                <w:sz w:val="17"/>
                <w:szCs w:val="17"/>
              </w:rPr>
              <w:t>水产动物类罐头</w:t>
            </w:r>
          </w:p>
        </w:tc>
        <w:tc>
          <w:tcPr>
            <w:tcW w:w="682" w:type="dxa"/>
            <w:vAlign w:val="top"/>
          </w:tcPr>
          <w:p w14:paraId="2901C3EE">
            <w:pPr>
              <w:pStyle w:val="51"/>
              <w:spacing w:before="238" w:line="230" w:lineRule="auto"/>
              <w:ind w:left="173"/>
              <w:rPr>
                <w:sz w:val="17"/>
                <w:szCs w:val="17"/>
              </w:rPr>
            </w:pPr>
            <w:r>
              <w:rPr>
                <w:spacing w:val="2"/>
                <w:sz w:val="17"/>
                <w:szCs w:val="17"/>
              </w:rPr>
              <w:t>一般</w:t>
            </w:r>
          </w:p>
        </w:tc>
        <w:tc>
          <w:tcPr>
            <w:tcW w:w="8563" w:type="dxa"/>
            <w:vAlign w:val="top"/>
          </w:tcPr>
          <w:p w14:paraId="560F623E">
            <w:pPr>
              <w:pStyle w:val="51"/>
              <w:spacing w:before="88" w:line="275" w:lineRule="auto"/>
              <w:ind w:left="53" w:right="106" w:hanging="15"/>
              <w:rPr>
                <w:sz w:val="17"/>
                <w:szCs w:val="17"/>
              </w:rPr>
            </w:pPr>
            <w:r>
              <w:rPr>
                <w:spacing w:val="9"/>
                <w:sz w:val="17"/>
                <w:szCs w:val="17"/>
              </w:rPr>
              <w:t>组胺、铅(以</w:t>
            </w:r>
            <w:r>
              <w:rPr>
                <w:sz w:val="17"/>
                <w:szCs w:val="17"/>
              </w:rPr>
              <w:t>Pb</w:t>
            </w:r>
            <w:r>
              <w:rPr>
                <w:spacing w:val="9"/>
                <w:sz w:val="17"/>
                <w:szCs w:val="17"/>
              </w:rPr>
              <w:t>计)、无机砷(以</w:t>
            </w:r>
            <w:r>
              <w:rPr>
                <w:sz w:val="17"/>
                <w:szCs w:val="17"/>
              </w:rPr>
              <w:t>As</w:t>
            </w:r>
            <w:r>
              <w:rPr>
                <w:spacing w:val="9"/>
                <w:sz w:val="17"/>
                <w:szCs w:val="17"/>
              </w:rPr>
              <w:t>计)、脱氢乙酸及其钠盐(以脱氢乙</w:t>
            </w:r>
            <w:r>
              <w:rPr>
                <w:spacing w:val="8"/>
                <w:sz w:val="17"/>
                <w:szCs w:val="17"/>
              </w:rPr>
              <w:t>酸计)、苯甲酸及其钠盐(以苯甲酸计)、山梨酸及其钾盐(以山梨酸计)、糖精钠(以糖精计)、甜蜜素(以环己基氨基磺酸计)、商业无菌</w:t>
            </w:r>
          </w:p>
        </w:tc>
      </w:tr>
      <w:tr w14:paraId="53D4CA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4" w:hRule="atLeast"/>
        </w:trPr>
        <w:tc>
          <w:tcPr>
            <w:tcW w:w="459" w:type="dxa"/>
            <w:vMerge w:val="continue"/>
            <w:tcBorders>
              <w:top w:val="nil"/>
              <w:bottom w:val="nil"/>
            </w:tcBorders>
            <w:vAlign w:val="top"/>
          </w:tcPr>
          <w:p w14:paraId="4A83650B">
            <w:pPr>
              <w:rPr>
                <w:rFonts w:ascii="Arial"/>
                <w:sz w:val="21"/>
              </w:rPr>
            </w:pPr>
          </w:p>
        </w:tc>
        <w:tc>
          <w:tcPr>
            <w:tcW w:w="942" w:type="dxa"/>
            <w:vMerge w:val="continue"/>
            <w:tcBorders>
              <w:top w:val="nil"/>
              <w:bottom w:val="nil"/>
            </w:tcBorders>
            <w:vAlign w:val="top"/>
          </w:tcPr>
          <w:p w14:paraId="2B909857">
            <w:pPr>
              <w:rPr>
                <w:rFonts w:ascii="Arial"/>
                <w:sz w:val="21"/>
              </w:rPr>
            </w:pPr>
          </w:p>
        </w:tc>
        <w:tc>
          <w:tcPr>
            <w:tcW w:w="1360" w:type="dxa"/>
            <w:vMerge w:val="continue"/>
            <w:tcBorders>
              <w:top w:val="nil"/>
              <w:bottom w:val="nil"/>
            </w:tcBorders>
            <w:vAlign w:val="top"/>
          </w:tcPr>
          <w:p w14:paraId="027A0052">
            <w:pPr>
              <w:rPr>
                <w:rFonts w:ascii="Arial"/>
                <w:sz w:val="21"/>
              </w:rPr>
            </w:pPr>
          </w:p>
        </w:tc>
        <w:tc>
          <w:tcPr>
            <w:tcW w:w="1581" w:type="dxa"/>
            <w:vMerge w:val="restart"/>
            <w:tcBorders>
              <w:bottom w:val="nil"/>
            </w:tcBorders>
            <w:vAlign w:val="top"/>
          </w:tcPr>
          <w:p w14:paraId="582220AE">
            <w:pPr>
              <w:spacing w:line="312" w:lineRule="auto"/>
              <w:rPr>
                <w:rFonts w:ascii="Arial"/>
                <w:sz w:val="21"/>
              </w:rPr>
            </w:pPr>
          </w:p>
          <w:p w14:paraId="7C457FF7">
            <w:pPr>
              <w:spacing w:line="312" w:lineRule="auto"/>
              <w:rPr>
                <w:rFonts w:ascii="Arial"/>
                <w:sz w:val="21"/>
              </w:rPr>
            </w:pPr>
          </w:p>
          <w:p w14:paraId="7BA1C61F">
            <w:pPr>
              <w:spacing w:line="313" w:lineRule="auto"/>
              <w:rPr>
                <w:rFonts w:ascii="Arial"/>
                <w:sz w:val="21"/>
              </w:rPr>
            </w:pPr>
          </w:p>
          <w:p w14:paraId="22985D82">
            <w:pPr>
              <w:pStyle w:val="51"/>
              <w:spacing w:before="55" w:line="228" w:lineRule="auto"/>
              <w:ind w:left="439"/>
              <w:rPr>
                <w:sz w:val="17"/>
                <w:szCs w:val="17"/>
              </w:rPr>
            </w:pPr>
            <w:r>
              <w:rPr>
                <w:spacing w:val="6"/>
                <w:sz w:val="17"/>
                <w:szCs w:val="17"/>
              </w:rPr>
              <w:t>果蔬罐头</w:t>
            </w:r>
          </w:p>
        </w:tc>
        <w:tc>
          <w:tcPr>
            <w:tcW w:w="1586" w:type="dxa"/>
            <w:vAlign w:val="top"/>
          </w:tcPr>
          <w:p w14:paraId="64D75A35">
            <w:pPr>
              <w:spacing w:line="331" w:lineRule="auto"/>
              <w:rPr>
                <w:rFonts w:ascii="Arial"/>
                <w:sz w:val="21"/>
              </w:rPr>
            </w:pPr>
          </w:p>
          <w:p w14:paraId="1A316583">
            <w:pPr>
              <w:pStyle w:val="51"/>
              <w:spacing w:before="55" w:line="228" w:lineRule="auto"/>
              <w:ind w:left="351"/>
              <w:rPr>
                <w:sz w:val="17"/>
                <w:szCs w:val="17"/>
              </w:rPr>
            </w:pPr>
            <w:r>
              <w:rPr>
                <w:spacing w:val="7"/>
                <w:sz w:val="17"/>
                <w:szCs w:val="17"/>
              </w:rPr>
              <w:t>水果类罐头</w:t>
            </w:r>
          </w:p>
        </w:tc>
        <w:tc>
          <w:tcPr>
            <w:tcW w:w="682" w:type="dxa"/>
            <w:vAlign w:val="top"/>
          </w:tcPr>
          <w:p w14:paraId="6E4DD4BB">
            <w:pPr>
              <w:spacing w:line="331" w:lineRule="auto"/>
              <w:rPr>
                <w:rFonts w:ascii="Arial"/>
                <w:sz w:val="21"/>
              </w:rPr>
            </w:pPr>
          </w:p>
          <w:p w14:paraId="50ABBF41">
            <w:pPr>
              <w:pStyle w:val="51"/>
              <w:spacing w:before="55" w:line="227" w:lineRule="auto"/>
              <w:ind w:left="170"/>
              <w:rPr>
                <w:sz w:val="17"/>
                <w:szCs w:val="17"/>
              </w:rPr>
            </w:pPr>
            <w:r>
              <w:rPr>
                <w:spacing w:val="3"/>
                <w:sz w:val="17"/>
                <w:szCs w:val="17"/>
              </w:rPr>
              <w:t>较高</w:t>
            </w:r>
          </w:p>
        </w:tc>
        <w:tc>
          <w:tcPr>
            <w:tcW w:w="8563" w:type="dxa"/>
            <w:vAlign w:val="top"/>
          </w:tcPr>
          <w:p w14:paraId="0CFECCD6">
            <w:pPr>
              <w:pStyle w:val="51"/>
              <w:spacing w:before="90" w:line="291" w:lineRule="auto"/>
              <w:ind w:left="37" w:right="26"/>
              <w:jc w:val="both"/>
              <w:rPr>
                <w:sz w:val="17"/>
                <w:szCs w:val="17"/>
              </w:rPr>
            </w:pPr>
            <w:r>
              <w:rPr>
                <w:spacing w:val="5"/>
                <w:sz w:val="17"/>
                <w:szCs w:val="17"/>
              </w:rPr>
              <w:t>铅(以</w:t>
            </w:r>
            <w:r>
              <w:rPr>
                <w:sz w:val="17"/>
                <w:szCs w:val="17"/>
              </w:rPr>
              <w:t>Pb</w:t>
            </w:r>
            <w:r>
              <w:rPr>
                <w:spacing w:val="5"/>
                <w:sz w:val="17"/>
                <w:szCs w:val="17"/>
              </w:rPr>
              <w:t>计)、合成着色剂(柠檬黄、日落黄、苋菜红、胭脂红、赤藓红、诱惑红、亮蓝)、脱氢乙酸及其钠盐</w:t>
            </w:r>
            <w:r>
              <w:rPr>
                <w:spacing w:val="4"/>
                <w:sz w:val="17"/>
                <w:szCs w:val="17"/>
              </w:rPr>
              <w:t>(以</w:t>
            </w:r>
            <w:r>
              <w:rPr>
                <w:spacing w:val="7"/>
                <w:sz w:val="17"/>
                <w:szCs w:val="17"/>
              </w:rPr>
              <w:t>脱氢乙酸计)、苯甲酸及其钠盐(以苯甲酸计</w:t>
            </w:r>
            <w:r>
              <w:rPr>
                <w:spacing w:val="6"/>
                <w:sz w:val="17"/>
                <w:szCs w:val="17"/>
              </w:rPr>
              <w:t>)、山梨酸及其钾盐(以山梨酸计)、糖精钠(以糖精计)、甜蜜素(以</w:t>
            </w:r>
            <w:r>
              <w:rPr>
                <w:spacing w:val="8"/>
                <w:sz w:val="17"/>
                <w:szCs w:val="17"/>
              </w:rPr>
              <w:t>环己基氨基磺酸计)、二氧化硫残留量、商业无菌</w:t>
            </w:r>
          </w:p>
        </w:tc>
      </w:tr>
      <w:tr w14:paraId="2545CE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459" w:type="dxa"/>
            <w:vMerge w:val="continue"/>
            <w:tcBorders>
              <w:top w:val="nil"/>
              <w:bottom w:val="nil"/>
            </w:tcBorders>
            <w:vAlign w:val="top"/>
          </w:tcPr>
          <w:p w14:paraId="31AA3883">
            <w:pPr>
              <w:rPr>
                <w:rFonts w:ascii="Arial"/>
                <w:sz w:val="21"/>
              </w:rPr>
            </w:pPr>
          </w:p>
        </w:tc>
        <w:tc>
          <w:tcPr>
            <w:tcW w:w="942" w:type="dxa"/>
            <w:vMerge w:val="continue"/>
            <w:tcBorders>
              <w:top w:val="nil"/>
              <w:bottom w:val="nil"/>
            </w:tcBorders>
            <w:vAlign w:val="top"/>
          </w:tcPr>
          <w:p w14:paraId="44597DBA">
            <w:pPr>
              <w:rPr>
                <w:rFonts w:ascii="Arial"/>
                <w:sz w:val="21"/>
              </w:rPr>
            </w:pPr>
          </w:p>
        </w:tc>
        <w:tc>
          <w:tcPr>
            <w:tcW w:w="1360" w:type="dxa"/>
            <w:vMerge w:val="continue"/>
            <w:tcBorders>
              <w:top w:val="nil"/>
              <w:bottom w:val="nil"/>
            </w:tcBorders>
            <w:vAlign w:val="top"/>
          </w:tcPr>
          <w:p w14:paraId="23A35B7B">
            <w:pPr>
              <w:rPr>
                <w:rFonts w:ascii="Arial"/>
                <w:sz w:val="21"/>
              </w:rPr>
            </w:pPr>
          </w:p>
        </w:tc>
        <w:tc>
          <w:tcPr>
            <w:tcW w:w="1581" w:type="dxa"/>
            <w:vMerge w:val="continue"/>
            <w:tcBorders>
              <w:top w:val="nil"/>
              <w:bottom w:val="nil"/>
            </w:tcBorders>
            <w:vAlign w:val="top"/>
          </w:tcPr>
          <w:p w14:paraId="40FD7EE4">
            <w:pPr>
              <w:rPr>
                <w:rFonts w:ascii="Arial"/>
                <w:sz w:val="21"/>
              </w:rPr>
            </w:pPr>
          </w:p>
        </w:tc>
        <w:tc>
          <w:tcPr>
            <w:tcW w:w="1586" w:type="dxa"/>
            <w:vAlign w:val="top"/>
          </w:tcPr>
          <w:p w14:paraId="387691EF">
            <w:pPr>
              <w:pStyle w:val="51"/>
              <w:spacing w:before="240" w:line="224" w:lineRule="auto"/>
              <w:ind w:left="354"/>
              <w:rPr>
                <w:sz w:val="17"/>
                <w:szCs w:val="17"/>
              </w:rPr>
            </w:pPr>
            <w:r>
              <w:rPr>
                <w:spacing w:val="7"/>
                <w:sz w:val="17"/>
                <w:szCs w:val="17"/>
              </w:rPr>
              <w:t>蔬菜类罐头</w:t>
            </w:r>
          </w:p>
        </w:tc>
        <w:tc>
          <w:tcPr>
            <w:tcW w:w="682" w:type="dxa"/>
            <w:vAlign w:val="top"/>
          </w:tcPr>
          <w:p w14:paraId="1F8B533A">
            <w:pPr>
              <w:pStyle w:val="51"/>
              <w:spacing w:before="240" w:line="227" w:lineRule="auto"/>
              <w:ind w:left="170"/>
              <w:rPr>
                <w:sz w:val="17"/>
                <w:szCs w:val="17"/>
              </w:rPr>
            </w:pPr>
            <w:r>
              <w:rPr>
                <w:spacing w:val="3"/>
                <w:sz w:val="17"/>
                <w:szCs w:val="17"/>
              </w:rPr>
              <w:t>较高</w:t>
            </w:r>
          </w:p>
        </w:tc>
        <w:tc>
          <w:tcPr>
            <w:tcW w:w="8563" w:type="dxa"/>
            <w:vAlign w:val="top"/>
          </w:tcPr>
          <w:p w14:paraId="55A3F389">
            <w:pPr>
              <w:pStyle w:val="51"/>
              <w:spacing w:before="88" w:line="275" w:lineRule="auto"/>
              <w:ind w:left="37" w:right="26"/>
              <w:rPr>
                <w:sz w:val="17"/>
                <w:szCs w:val="17"/>
              </w:rPr>
            </w:pPr>
            <w:r>
              <w:rPr>
                <w:spacing w:val="8"/>
                <w:sz w:val="17"/>
                <w:szCs w:val="17"/>
              </w:rPr>
              <w:t>铅(以</w:t>
            </w:r>
            <w:r>
              <w:rPr>
                <w:sz w:val="17"/>
                <w:szCs w:val="17"/>
              </w:rPr>
              <w:t>Pb</w:t>
            </w:r>
            <w:r>
              <w:rPr>
                <w:spacing w:val="8"/>
                <w:sz w:val="17"/>
                <w:szCs w:val="17"/>
              </w:rPr>
              <w:t>计)、合成着色剂（柠檬黄、</w:t>
            </w:r>
            <w:r>
              <w:rPr>
                <w:spacing w:val="-38"/>
                <w:sz w:val="17"/>
                <w:szCs w:val="17"/>
              </w:rPr>
              <w:t xml:space="preserve"> </w:t>
            </w:r>
            <w:r>
              <w:rPr>
                <w:spacing w:val="8"/>
                <w:sz w:val="17"/>
                <w:szCs w:val="17"/>
              </w:rPr>
              <w:t>日落黄）、脱氢乙酸及其钠</w:t>
            </w:r>
            <w:r>
              <w:rPr>
                <w:spacing w:val="7"/>
                <w:sz w:val="17"/>
                <w:szCs w:val="17"/>
              </w:rPr>
              <w:t>盐(以脱氢乙酸计)、苯甲酸及其钠盐(以苯甲</w:t>
            </w:r>
            <w:r>
              <w:rPr>
                <w:spacing w:val="9"/>
                <w:sz w:val="17"/>
                <w:szCs w:val="17"/>
              </w:rPr>
              <w:t>酸计)、山梨酸及其钾盐(以山梨酸计)、乙二胺四乙酸二钠、二氧化硫残留量、商业</w:t>
            </w:r>
            <w:r>
              <w:rPr>
                <w:spacing w:val="8"/>
                <w:sz w:val="17"/>
                <w:szCs w:val="17"/>
              </w:rPr>
              <w:t>无菌</w:t>
            </w:r>
          </w:p>
        </w:tc>
      </w:tr>
      <w:tr w14:paraId="2944D9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459" w:type="dxa"/>
            <w:vMerge w:val="continue"/>
            <w:tcBorders>
              <w:top w:val="nil"/>
              <w:bottom w:val="nil"/>
            </w:tcBorders>
            <w:vAlign w:val="top"/>
          </w:tcPr>
          <w:p w14:paraId="6657BDA0">
            <w:pPr>
              <w:rPr>
                <w:rFonts w:ascii="Arial"/>
                <w:sz w:val="21"/>
              </w:rPr>
            </w:pPr>
          </w:p>
        </w:tc>
        <w:tc>
          <w:tcPr>
            <w:tcW w:w="942" w:type="dxa"/>
            <w:vMerge w:val="continue"/>
            <w:tcBorders>
              <w:top w:val="nil"/>
              <w:bottom w:val="nil"/>
            </w:tcBorders>
            <w:vAlign w:val="top"/>
          </w:tcPr>
          <w:p w14:paraId="36DC2684">
            <w:pPr>
              <w:rPr>
                <w:rFonts w:ascii="Arial"/>
                <w:sz w:val="21"/>
              </w:rPr>
            </w:pPr>
          </w:p>
        </w:tc>
        <w:tc>
          <w:tcPr>
            <w:tcW w:w="1360" w:type="dxa"/>
            <w:vMerge w:val="continue"/>
            <w:tcBorders>
              <w:top w:val="nil"/>
              <w:bottom w:val="nil"/>
            </w:tcBorders>
            <w:vAlign w:val="top"/>
          </w:tcPr>
          <w:p w14:paraId="1CF4592D">
            <w:pPr>
              <w:rPr>
                <w:rFonts w:ascii="Arial"/>
                <w:sz w:val="21"/>
              </w:rPr>
            </w:pPr>
          </w:p>
        </w:tc>
        <w:tc>
          <w:tcPr>
            <w:tcW w:w="1581" w:type="dxa"/>
            <w:vMerge w:val="continue"/>
            <w:tcBorders>
              <w:top w:val="nil"/>
            </w:tcBorders>
            <w:vAlign w:val="top"/>
          </w:tcPr>
          <w:p w14:paraId="7A7E6D8F">
            <w:pPr>
              <w:rPr>
                <w:rFonts w:ascii="Arial"/>
                <w:sz w:val="21"/>
              </w:rPr>
            </w:pPr>
          </w:p>
        </w:tc>
        <w:tc>
          <w:tcPr>
            <w:tcW w:w="1586" w:type="dxa"/>
            <w:vAlign w:val="top"/>
          </w:tcPr>
          <w:p w14:paraId="05911964">
            <w:pPr>
              <w:pStyle w:val="51"/>
              <w:spacing w:before="240" w:line="228" w:lineRule="auto"/>
              <w:ind w:left="352"/>
              <w:rPr>
                <w:sz w:val="17"/>
                <w:szCs w:val="17"/>
              </w:rPr>
            </w:pPr>
            <w:r>
              <w:rPr>
                <w:spacing w:val="7"/>
                <w:sz w:val="17"/>
                <w:szCs w:val="17"/>
              </w:rPr>
              <w:t>食用菌罐头</w:t>
            </w:r>
          </w:p>
        </w:tc>
        <w:tc>
          <w:tcPr>
            <w:tcW w:w="682" w:type="dxa"/>
            <w:vAlign w:val="top"/>
          </w:tcPr>
          <w:p w14:paraId="5A233D04">
            <w:pPr>
              <w:pStyle w:val="51"/>
              <w:spacing w:before="240" w:line="227" w:lineRule="auto"/>
              <w:ind w:left="170"/>
              <w:rPr>
                <w:sz w:val="17"/>
                <w:szCs w:val="17"/>
              </w:rPr>
            </w:pPr>
            <w:r>
              <w:rPr>
                <w:spacing w:val="3"/>
                <w:sz w:val="17"/>
                <w:szCs w:val="17"/>
              </w:rPr>
              <w:t>较高</w:t>
            </w:r>
          </w:p>
        </w:tc>
        <w:tc>
          <w:tcPr>
            <w:tcW w:w="8563" w:type="dxa"/>
            <w:vAlign w:val="top"/>
          </w:tcPr>
          <w:p w14:paraId="324CB928">
            <w:pPr>
              <w:pStyle w:val="51"/>
              <w:spacing w:before="88" w:line="275" w:lineRule="auto"/>
              <w:ind w:left="37" w:right="26"/>
              <w:rPr>
                <w:sz w:val="17"/>
                <w:szCs w:val="17"/>
              </w:rPr>
            </w:pPr>
            <w:r>
              <w:rPr>
                <w:spacing w:val="8"/>
                <w:sz w:val="17"/>
                <w:szCs w:val="17"/>
              </w:rPr>
              <w:t>铅(以</w:t>
            </w:r>
            <w:r>
              <w:rPr>
                <w:sz w:val="17"/>
                <w:szCs w:val="17"/>
              </w:rPr>
              <w:t>Pb</w:t>
            </w:r>
            <w:r>
              <w:rPr>
                <w:spacing w:val="8"/>
                <w:sz w:val="17"/>
                <w:szCs w:val="17"/>
              </w:rPr>
              <w:t>计)、脱氢乙酸及其钠盐(以脱氢乙酸计)、苯甲酸及其钠盐(以苯甲酸计)、山梨酸及其钾盐(以山梨酸</w:t>
            </w:r>
            <w:r>
              <w:rPr>
                <w:spacing w:val="9"/>
                <w:sz w:val="17"/>
                <w:szCs w:val="17"/>
              </w:rPr>
              <w:t>计)、乙二胺四乙酸二钠、二氧化硫残留量、商业无菌</w:t>
            </w:r>
          </w:p>
        </w:tc>
      </w:tr>
      <w:tr w14:paraId="3A695A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459" w:type="dxa"/>
            <w:vMerge w:val="continue"/>
            <w:tcBorders>
              <w:top w:val="nil"/>
            </w:tcBorders>
            <w:vAlign w:val="top"/>
          </w:tcPr>
          <w:p w14:paraId="6CE97CC5">
            <w:pPr>
              <w:rPr>
                <w:rFonts w:ascii="Arial"/>
                <w:sz w:val="21"/>
              </w:rPr>
            </w:pPr>
          </w:p>
        </w:tc>
        <w:tc>
          <w:tcPr>
            <w:tcW w:w="942" w:type="dxa"/>
            <w:vMerge w:val="continue"/>
            <w:tcBorders>
              <w:top w:val="nil"/>
            </w:tcBorders>
            <w:vAlign w:val="top"/>
          </w:tcPr>
          <w:p w14:paraId="45D26BF1">
            <w:pPr>
              <w:rPr>
                <w:rFonts w:ascii="Arial"/>
                <w:sz w:val="21"/>
              </w:rPr>
            </w:pPr>
          </w:p>
        </w:tc>
        <w:tc>
          <w:tcPr>
            <w:tcW w:w="1360" w:type="dxa"/>
            <w:vMerge w:val="continue"/>
            <w:tcBorders>
              <w:top w:val="nil"/>
            </w:tcBorders>
            <w:vAlign w:val="top"/>
          </w:tcPr>
          <w:p w14:paraId="67616895">
            <w:pPr>
              <w:rPr>
                <w:rFonts w:ascii="Arial"/>
                <w:sz w:val="21"/>
              </w:rPr>
            </w:pPr>
          </w:p>
        </w:tc>
        <w:tc>
          <w:tcPr>
            <w:tcW w:w="1581" w:type="dxa"/>
            <w:vAlign w:val="top"/>
          </w:tcPr>
          <w:p w14:paraId="7AAD374B">
            <w:pPr>
              <w:pStyle w:val="51"/>
              <w:spacing w:before="240" w:line="227" w:lineRule="auto"/>
              <w:ind w:left="439"/>
              <w:rPr>
                <w:sz w:val="17"/>
                <w:szCs w:val="17"/>
              </w:rPr>
            </w:pPr>
            <w:r>
              <w:rPr>
                <w:spacing w:val="6"/>
                <w:sz w:val="17"/>
                <w:szCs w:val="17"/>
              </w:rPr>
              <w:t>其他罐头</w:t>
            </w:r>
          </w:p>
        </w:tc>
        <w:tc>
          <w:tcPr>
            <w:tcW w:w="1586" w:type="dxa"/>
            <w:vAlign w:val="top"/>
          </w:tcPr>
          <w:p w14:paraId="15041AFC">
            <w:pPr>
              <w:pStyle w:val="51"/>
              <w:spacing w:before="240" w:line="227" w:lineRule="auto"/>
              <w:ind w:left="442"/>
              <w:rPr>
                <w:sz w:val="17"/>
                <w:szCs w:val="17"/>
              </w:rPr>
            </w:pPr>
            <w:r>
              <w:rPr>
                <w:spacing w:val="6"/>
                <w:sz w:val="17"/>
                <w:szCs w:val="17"/>
              </w:rPr>
              <w:t>其他罐头</w:t>
            </w:r>
          </w:p>
        </w:tc>
        <w:tc>
          <w:tcPr>
            <w:tcW w:w="682" w:type="dxa"/>
            <w:vAlign w:val="top"/>
          </w:tcPr>
          <w:p w14:paraId="57C83980">
            <w:pPr>
              <w:pStyle w:val="51"/>
              <w:spacing w:before="239" w:line="230" w:lineRule="auto"/>
              <w:ind w:left="173"/>
              <w:rPr>
                <w:sz w:val="17"/>
                <w:szCs w:val="17"/>
              </w:rPr>
            </w:pPr>
            <w:r>
              <w:rPr>
                <w:spacing w:val="2"/>
                <w:sz w:val="17"/>
                <w:szCs w:val="17"/>
              </w:rPr>
              <w:t>一般</w:t>
            </w:r>
          </w:p>
        </w:tc>
        <w:tc>
          <w:tcPr>
            <w:tcW w:w="8563" w:type="dxa"/>
            <w:vAlign w:val="top"/>
          </w:tcPr>
          <w:p w14:paraId="5B607B5A">
            <w:pPr>
              <w:pStyle w:val="51"/>
              <w:spacing w:before="90" w:line="274" w:lineRule="auto"/>
              <w:ind w:left="37" w:right="26"/>
              <w:rPr>
                <w:sz w:val="17"/>
                <w:szCs w:val="17"/>
              </w:rPr>
            </w:pPr>
            <w:r>
              <w:rPr>
                <w:spacing w:val="9"/>
                <w:sz w:val="17"/>
                <w:szCs w:val="17"/>
              </w:rPr>
              <w:t>黄曲霉毒素B</w:t>
            </w:r>
            <w:r>
              <w:rPr>
                <w:spacing w:val="9"/>
                <w:position w:val="-2"/>
                <w:sz w:val="8"/>
                <w:szCs w:val="8"/>
              </w:rPr>
              <w:t>1</w:t>
            </w:r>
            <w:r>
              <w:rPr>
                <w:spacing w:val="-14"/>
                <w:position w:val="-2"/>
                <w:sz w:val="8"/>
                <w:szCs w:val="8"/>
              </w:rPr>
              <w:t xml:space="preserve"> </w:t>
            </w:r>
            <w:r>
              <w:rPr>
                <w:spacing w:val="9"/>
                <w:sz w:val="17"/>
                <w:szCs w:val="17"/>
              </w:rPr>
              <w:t>、脱氢乙酸及其钠盐(以脱氢乙酸计)、苯甲酸</w:t>
            </w:r>
            <w:r>
              <w:rPr>
                <w:spacing w:val="8"/>
                <w:sz w:val="17"/>
                <w:szCs w:val="17"/>
              </w:rPr>
              <w:t>及其钠盐(以苯甲酸计)、山梨酸及其钾盐(以山梨酸计)、乙二胺四乙酸二钠、商业无菌</w:t>
            </w:r>
          </w:p>
        </w:tc>
      </w:tr>
      <w:tr w14:paraId="6C1DD5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4" w:hRule="atLeast"/>
        </w:trPr>
        <w:tc>
          <w:tcPr>
            <w:tcW w:w="459" w:type="dxa"/>
            <w:vAlign w:val="top"/>
          </w:tcPr>
          <w:p w14:paraId="57CFCBC5">
            <w:pPr>
              <w:spacing w:line="333" w:lineRule="auto"/>
              <w:rPr>
                <w:rFonts w:ascii="Arial"/>
                <w:sz w:val="21"/>
              </w:rPr>
            </w:pPr>
          </w:p>
          <w:p w14:paraId="54371107">
            <w:pPr>
              <w:pStyle w:val="51"/>
              <w:spacing w:before="55" w:line="227" w:lineRule="exact"/>
              <w:ind w:left="156"/>
              <w:rPr>
                <w:sz w:val="17"/>
                <w:szCs w:val="17"/>
              </w:rPr>
            </w:pPr>
            <w:r>
              <w:rPr>
                <w:spacing w:val="-6"/>
                <w:position w:val="1"/>
                <w:sz w:val="17"/>
                <w:szCs w:val="17"/>
              </w:rPr>
              <w:t>10</w:t>
            </w:r>
          </w:p>
        </w:tc>
        <w:tc>
          <w:tcPr>
            <w:tcW w:w="942" w:type="dxa"/>
            <w:vAlign w:val="top"/>
          </w:tcPr>
          <w:p w14:paraId="2C244332">
            <w:pPr>
              <w:spacing w:line="332" w:lineRule="auto"/>
              <w:rPr>
                <w:rFonts w:ascii="Arial"/>
                <w:sz w:val="21"/>
              </w:rPr>
            </w:pPr>
          </w:p>
          <w:p w14:paraId="0C8B67B5">
            <w:pPr>
              <w:pStyle w:val="51"/>
              <w:spacing w:before="56" w:line="229" w:lineRule="auto"/>
              <w:ind w:left="119"/>
              <w:rPr>
                <w:sz w:val="17"/>
                <w:szCs w:val="17"/>
              </w:rPr>
            </w:pPr>
            <w:r>
              <w:rPr>
                <w:spacing w:val="6"/>
                <w:sz w:val="17"/>
                <w:szCs w:val="17"/>
              </w:rPr>
              <w:t>冷冻饮品</w:t>
            </w:r>
          </w:p>
        </w:tc>
        <w:tc>
          <w:tcPr>
            <w:tcW w:w="1360" w:type="dxa"/>
            <w:vAlign w:val="top"/>
          </w:tcPr>
          <w:p w14:paraId="485D1E0B">
            <w:pPr>
              <w:spacing w:line="332" w:lineRule="auto"/>
              <w:rPr>
                <w:rFonts w:ascii="Arial"/>
                <w:sz w:val="21"/>
              </w:rPr>
            </w:pPr>
          </w:p>
          <w:p w14:paraId="37048C69">
            <w:pPr>
              <w:pStyle w:val="51"/>
              <w:spacing w:before="56" w:line="229" w:lineRule="auto"/>
              <w:ind w:left="328"/>
              <w:rPr>
                <w:sz w:val="17"/>
                <w:szCs w:val="17"/>
              </w:rPr>
            </w:pPr>
            <w:r>
              <w:rPr>
                <w:spacing w:val="6"/>
                <w:sz w:val="17"/>
                <w:szCs w:val="17"/>
              </w:rPr>
              <w:t>冷冻饮品</w:t>
            </w:r>
          </w:p>
        </w:tc>
        <w:tc>
          <w:tcPr>
            <w:tcW w:w="1581" w:type="dxa"/>
            <w:vAlign w:val="top"/>
          </w:tcPr>
          <w:p w14:paraId="6EC14C16">
            <w:pPr>
              <w:spacing w:line="332" w:lineRule="auto"/>
              <w:rPr>
                <w:rFonts w:ascii="Arial"/>
                <w:sz w:val="21"/>
              </w:rPr>
            </w:pPr>
          </w:p>
          <w:p w14:paraId="18B7B7A3">
            <w:pPr>
              <w:pStyle w:val="51"/>
              <w:spacing w:before="56" w:line="229" w:lineRule="auto"/>
              <w:ind w:left="440"/>
              <w:rPr>
                <w:sz w:val="17"/>
                <w:szCs w:val="17"/>
              </w:rPr>
            </w:pPr>
            <w:r>
              <w:rPr>
                <w:spacing w:val="6"/>
                <w:sz w:val="17"/>
                <w:szCs w:val="17"/>
              </w:rPr>
              <w:t>冷冻饮品</w:t>
            </w:r>
          </w:p>
        </w:tc>
        <w:tc>
          <w:tcPr>
            <w:tcW w:w="1586" w:type="dxa"/>
            <w:vAlign w:val="top"/>
          </w:tcPr>
          <w:p w14:paraId="77485337">
            <w:pPr>
              <w:pStyle w:val="51"/>
              <w:spacing w:before="90" w:line="227" w:lineRule="auto"/>
              <w:jc w:val="right"/>
              <w:rPr>
                <w:sz w:val="17"/>
                <w:szCs w:val="17"/>
              </w:rPr>
            </w:pPr>
            <w:r>
              <w:rPr>
                <w:spacing w:val="-16"/>
                <w:sz w:val="17"/>
                <w:szCs w:val="17"/>
              </w:rPr>
              <w:t>冰淇淋、雪糕、雪泥、</w:t>
            </w:r>
          </w:p>
          <w:p w14:paraId="0C8211D7">
            <w:pPr>
              <w:pStyle w:val="51"/>
              <w:spacing w:before="90" w:line="227" w:lineRule="auto"/>
              <w:ind w:left="36"/>
              <w:rPr>
                <w:sz w:val="17"/>
                <w:szCs w:val="17"/>
              </w:rPr>
            </w:pPr>
            <w:r>
              <w:rPr>
                <w:spacing w:val="-2"/>
                <w:sz w:val="17"/>
                <w:szCs w:val="17"/>
              </w:rPr>
              <w:t>冰棍、食用冰、甜味</w:t>
            </w:r>
          </w:p>
          <w:p w14:paraId="32F246CC">
            <w:pPr>
              <w:pStyle w:val="51"/>
              <w:spacing w:before="91" w:line="221" w:lineRule="auto"/>
              <w:ind w:left="353"/>
              <w:rPr>
                <w:sz w:val="17"/>
                <w:szCs w:val="17"/>
              </w:rPr>
            </w:pPr>
            <w:r>
              <w:rPr>
                <w:spacing w:val="7"/>
                <w:sz w:val="17"/>
                <w:szCs w:val="17"/>
              </w:rPr>
              <w:t>冰、其他类</w:t>
            </w:r>
          </w:p>
        </w:tc>
        <w:tc>
          <w:tcPr>
            <w:tcW w:w="682" w:type="dxa"/>
            <w:vAlign w:val="top"/>
          </w:tcPr>
          <w:p w14:paraId="16BDA6D1">
            <w:pPr>
              <w:spacing w:line="333" w:lineRule="auto"/>
              <w:rPr>
                <w:rFonts w:ascii="Arial"/>
                <w:sz w:val="21"/>
              </w:rPr>
            </w:pPr>
          </w:p>
          <w:p w14:paraId="5A20FF9A">
            <w:pPr>
              <w:pStyle w:val="51"/>
              <w:spacing w:before="55" w:line="230" w:lineRule="auto"/>
              <w:ind w:left="173"/>
              <w:rPr>
                <w:sz w:val="17"/>
                <w:szCs w:val="17"/>
              </w:rPr>
            </w:pPr>
            <w:r>
              <w:rPr>
                <w:spacing w:val="2"/>
                <w:sz w:val="17"/>
                <w:szCs w:val="17"/>
              </w:rPr>
              <w:t>一般</w:t>
            </w:r>
          </w:p>
        </w:tc>
        <w:tc>
          <w:tcPr>
            <w:tcW w:w="8563" w:type="dxa"/>
            <w:vAlign w:val="top"/>
          </w:tcPr>
          <w:p w14:paraId="68606BFC">
            <w:pPr>
              <w:pStyle w:val="51"/>
              <w:spacing w:before="90" w:line="291" w:lineRule="auto"/>
              <w:ind w:left="39" w:right="72"/>
              <w:rPr>
                <w:sz w:val="17"/>
                <w:szCs w:val="17"/>
              </w:rPr>
            </w:pPr>
            <w:r>
              <w:rPr>
                <w:spacing w:val="7"/>
                <w:sz w:val="17"/>
                <w:szCs w:val="17"/>
              </w:rPr>
              <w:t>蛋白质、甜蜜素(以环己基氨基磺酸计)、糖精钠(以糖</w:t>
            </w:r>
            <w:r>
              <w:rPr>
                <w:spacing w:val="6"/>
                <w:sz w:val="17"/>
                <w:szCs w:val="17"/>
              </w:rPr>
              <w:t>精计)、安赛蜜、三氯蔗糖、</w:t>
            </w:r>
            <w:r>
              <w:rPr>
                <w:spacing w:val="50"/>
                <w:sz w:val="17"/>
                <w:szCs w:val="17"/>
              </w:rPr>
              <w:t xml:space="preserve"> </w:t>
            </w:r>
            <w:r>
              <w:rPr>
                <w:spacing w:val="6"/>
                <w:sz w:val="17"/>
                <w:szCs w:val="17"/>
              </w:rPr>
              <w:t>合成着色剂（柠檬黄、日落黄、新红、苋菜红、靛蓝、胭脂红、诱惑红、亮蓝、酸性红、喹啉黄、赤藓红）、</w:t>
            </w:r>
            <w:r>
              <w:rPr>
                <w:spacing w:val="53"/>
                <w:sz w:val="17"/>
                <w:szCs w:val="17"/>
              </w:rPr>
              <w:t xml:space="preserve"> </w:t>
            </w:r>
            <w:r>
              <w:rPr>
                <w:spacing w:val="6"/>
                <w:sz w:val="17"/>
                <w:szCs w:val="17"/>
              </w:rPr>
              <w:t>菌落总数、大肠菌群、</w:t>
            </w:r>
            <w:r>
              <w:rPr>
                <w:spacing w:val="10"/>
                <w:sz w:val="17"/>
                <w:szCs w:val="17"/>
              </w:rPr>
              <w:t>沙门氏菌、单核细胞增生李斯特氏菌、相同色泽着色剂混合使用时</w:t>
            </w:r>
            <w:r>
              <w:rPr>
                <w:spacing w:val="9"/>
                <w:sz w:val="17"/>
                <w:szCs w:val="17"/>
              </w:rPr>
              <w:t>各自用量占其最大使用量的比例之和</w:t>
            </w:r>
          </w:p>
        </w:tc>
      </w:tr>
      <w:tr w14:paraId="31127A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7" w:hRule="atLeast"/>
        </w:trPr>
        <w:tc>
          <w:tcPr>
            <w:tcW w:w="459" w:type="dxa"/>
            <w:vAlign w:val="top"/>
          </w:tcPr>
          <w:p w14:paraId="127D1B3C">
            <w:pPr>
              <w:pStyle w:val="51"/>
              <w:spacing w:before="239" w:line="229" w:lineRule="exact"/>
              <w:ind w:left="156"/>
              <w:rPr>
                <w:sz w:val="17"/>
                <w:szCs w:val="17"/>
              </w:rPr>
            </w:pPr>
            <w:r>
              <w:rPr>
                <w:spacing w:val="-6"/>
                <w:position w:val="1"/>
                <w:sz w:val="17"/>
                <w:szCs w:val="17"/>
              </w:rPr>
              <w:t>11</w:t>
            </w:r>
          </w:p>
        </w:tc>
        <w:tc>
          <w:tcPr>
            <w:tcW w:w="942" w:type="dxa"/>
            <w:vAlign w:val="top"/>
          </w:tcPr>
          <w:p w14:paraId="7E1792D4">
            <w:pPr>
              <w:pStyle w:val="51"/>
              <w:spacing w:before="240" w:line="230" w:lineRule="auto"/>
              <w:ind w:left="116"/>
              <w:rPr>
                <w:sz w:val="17"/>
                <w:szCs w:val="17"/>
              </w:rPr>
            </w:pPr>
            <w:r>
              <w:rPr>
                <w:spacing w:val="7"/>
                <w:sz w:val="17"/>
                <w:szCs w:val="17"/>
              </w:rPr>
              <w:t>速冻食品</w:t>
            </w:r>
          </w:p>
        </w:tc>
        <w:tc>
          <w:tcPr>
            <w:tcW w:w="1360" w:type="dxa"/>
            <w:vAlign w:val="top"/>
          </w:tcPr>
          <w:p w14:paraId="73A7BE11">
            <w:pPr>
              <w:pStyle w:val="51"/>
              <w:spacing w:before="239" w:line="228" w:lineRule="auto"/>
              <w:ind w:left="146"/>
              <w:rPr>
                <w:sz w:val="17"/>
                <w:szCs w:val="17"/>
              </w:rPr>
            </w:pPr>
            <w:r>
              <w:rPr>
                <w:spacing w:val="8"/>
                <w:sz w:val="17"/>
                <w:szCs w:val="17"/>
              </w:rPr>
              <w:t>速冻面米食品</w:t>
            </w:r>
          </w:p>
        </w:tc>
        <w:tc>
          <w:tcPr>
            <w:tcW w:w="1581" w:type="dxa"/>
            <w:vAlign w:val="top"/>
          </w:tcPr>
          <w:p w14:paraId="4C112CFA">
            <w:pPr>
              <w:pStyle w:val="51"/>
              <w:spacing w:before="239" w:line="228" w:lineRule="auto"/>
              <w:ind w:left="257"/>
              <w:rPr>
                <w:sz w:val="17"/>
                <w:szCs w:val="17"/>
              </w:rPr>
            </w:pPr>
            <w:r>
              <w:rPr>
                <w:spacing w:val="8"/>
                <w:sz w:val="17"/>
                <w:szCs w:val="17"/>
              </w:rPr>
              <w:t>速冻面米食品</w:t>
            </w:r>
          </w:p>
        </w:tc>
        <w:tc>
          <w:tcPr>
            <w:tcW w:w="1586" w:type="dxa"/>
            <w:vAlign w:val="top"/>
          </w:tcPr>
          <w:p w14:paraId="243D840B">
            <w:pPr>
              <w:pStyle w:val="51"/>
              <w:spacing w:before="240" w:line="227" w:lineRule="auto"/>
              <w:ind w:left="171"/>
              <w:rPr>
                <w:sz w:val="17"/>
                <w:szCs w:val="17"/>
              </w:rPr>
            </w:pPr>
            <w:r>
              <w:rPr>
                <w:spacing w:val="8"/>
                <w:sz w:val="17"/>
                <w:szCs w:val="17"/>
              </w:rPr>
              <w:t>速冻面米生制品</w:t>
            </w:r>
          </w:p>
        </w:tc>
        <w:tc>
          <w:tcPr>
            <w:tcW w:w="682" w:type="dxa"/>
            <w:vAlign w:val="top"/>
          </w:tcPr>
          <w:p w14:paraId="02E23212">
            <w:pPr>
              <w:pStyle w:val="51"/>
              <w:spacing w:before="240" w:line="227" w:lineRule="auto"/>
              <w:ind w:left="170"/>
              <w:rPr>
                <w:sz w:val="17"/>
                <w:szCs w:val="17"/>
              </w:rPr>
            </w:pPr>
            <w:r>
              <w:rPr>
                <w:spacing w:val="3"/>
                <w:sz w:val="17"/>
                <w:szCs w:val="17"/>
              </w:rPr>
              <w:t>较高</w:t>
            </w:r>
          </w:p>
        </w:tc>
        <w:tc>
          <w:tcPr>
            <w:tcW w:w="8563" w:type="dxa"/>
            <w:vAlign w:val="top"/>
          </w:tcPr>
          <w:p w14:paraId="26B3BE00">
            <w:pPr>
              <w:pStyle w:val="51"/>
              <w:spacing w:before="90" w:line="275" w:lineRule="auto"/>
              <w:ind w:left="74" w:hanging="35"/>
              <w:rPr>
                <w:sz w:val="17"/>
                <w:szCs w:val="17"/>
              </w:rPr>
            </w:pPr>
            <w:r>
              <w:rPr>
                <w:spacing w:val="5"/>
                <w:sz w:val="17"/>
                <w:szCs w:val="17"/>
              </w:rPr>
              <w:t>过氧化值(以脂肪计)、铅(以</w:t>
            </w:r>
            <w:r>
              <w:rPr>
                <w:sz w:val="17"/>
                <w:szCs w:val="17"/>
              </w:rPr>
              <w:t>Pb</w:t>
            </w:r>
            <w:r>
              <w:rPr>
                <w:spacing w:val="5"/>
                <w:sz w:val="17"/>
                <w:szCs w:val="17"/>
              </w:rPr>
              <w:t>计)、糖精钠(以糖精计)、甜蜜素(以环己基氨基磺酸计)、合成着色剂(柠檬黄、日落黄、苋菜红、亮蓝、胭脂红)</w:t>
            </w:r>
          </w:p>
        </w:tc>
      </w:tr>
    </w:tbl>
    <w:p w14:paraId="1A296216">
      <w:pPr>
        <w:rPr>
          <w:rFonts w:ascii="Arial"/>
          <w:sz w:val="21"/>
        </w:rPr>
      </w:pPr>
    </w:p>
    <w:p w14:paraId="651572F1">
      <w:pPr>
        <w:rPr>
          <w:rFonts w:ascii="Arial" w:hAnsi="Arial" w:eastAsia="Arial" w:cs="Arial"/>
          <w:sz w:val="21"/>
          <w:szCs w:val="21"/>
        </w:rPr>
        <w:sectPr>
          <w:pgSz w:w="16838" w:h="11906"/>
          <w:pgMar w:top="1011" w:right="829" w:bottom="400" w:left="363" w:header="567" w:footer="567" w:gutter="0"/>
          <w:pgNumType w:fmt="decimal"/>
          <w:cols w:space="720" w:num="1"/>
        </w:sectPr>
      </w:pPr>
    </w:p>
    <w:p w14:paraId="0EE18391">
      <w:pPr>
        <w:spacing w:before="18"/>
      </w:pPr>
    </w:p>
    <w:p w14:paraId="2A25C99E">
      <w:pPr>
        <w:spacing w:before="18"/>
      </w:pPr>
    </w:p>
    <w:tbl>
      <w:tblPr>
        <w:tblStyle w:val="50"/>
        <w:tblW w:w="15173" w:type="dxa"/>
        <w:tblInd w:w="46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59"/>
        <w:gridCol w:w="942"/>
        <w:gridCol w:w="1360"/>
        <w:gridCol w:w="1581"/>
        <w:gridCol w:w="1586"/>
        <w:gridCol w:w="682"/>
        <w:gridCol w:w="8563"/>
      </w:tblGrid>
      <w:tr w14:paraId="190BC8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459" w:type="dxa"/>
            <w:vAlign w:val="top"/>
          </w:tcPr>
          <w:p w14:paraId="7605E70F">
            <w:pPr>
              <w:spacing w:before="241" w:line="234" w:lineRule="auto"/>
              <w:ind w:left="52"/>
              <w:rPr>
                <w:rFonts w:ascii="黑体" w:hAnsi="黑体" w:eastAsia="黑体" w:cs="黑体"/>
                <w:sz w:val="17"/>
                <w:szCs w:val="17"/>
              </w:rPr>
            </w:pPr>
            <w:r>
              <w:rPr>
                <w:rFonts w:ascii="黑体" w:hAnsi="黑体" w:eastAsia="黑体" w:cs="黑体"/>
                <w:spacing w:val="6"/>
                <w:sz w:val="17"/>
                <w:szCs w:val="17"/>
              </w:rPr>
              <w:t>序号</w:t>
            </w:r>
          </w:p>
        </w:tc>
        <w:tc>
          <w:tcPr>
            <w:tcW w:w="942" w:type="dxa"/>
            <w:vAlign w:val="top"/>
          </w:tcPr>
          <w:p w14:paraId="616527DC">
            <w:pPr>
              <w:spacing w:before="90" w:line="232" w:lineRule="auto"/>
              <w:ind w:left="111"/>
              <w:rPr>
                <w:rFonts w:ascii="黑体" w:hAnsi="黑体" w:eastAsia="黑体" w:cs="黑体"/>
                <w:sz w:val="17"/>
                <w:szCs w:val="17"/>
              </w:rPr>
            </w:pPr>
            <w:r>
              <w:rPr>
                <w:rFonts w:ascii="黑体" w:hAnsi="黑体" w:eastAsia="黑体" w:cs="黑体"/>
                <w:spacing w:val="8"/>
                <w:sz w:val="17"/>
                <w:szCs w:val="17"/>
              </w:rPr>
              <w:t>食品大类</w:t>
            </w:r>
          </w:p>
          <w:p w14:paraId="108458BE">
            <w:pPr>
              <w:spacing w:before="86" w:line="227" w:lineRule="auto"/>
              <w:ind w:left="237"/>
              <w:rPr>
                <w:rFonts w:ascii="黑体" w:hAnsi="黑体" w:eastAsia="黑体" w:cs="黑体"/>
                <w:sz w:val="17"/>
                <w:szCs w:val="17"/>
              </w:rPr>
            </w:pPr>
            <w:r>
              <w:rPr>
                <w:rFonts w:ascii="黑体" w:hAnsi="黑体" w:eastAsia="黑体" w:cs="黑体"/>
                <w:spacing w:val="-4"/>
                <w:sz w:val="17"/>
                <w:szCs w:val="17"/>
              </w:rPr>
              <w:t>(一级)</w:t>
            </w:r>
          </w:p>
        </w:tc>
        <w:tc>
          <w:tcPr>
            <w:tcW w:w="1360" w:type="dxa"/>
            <w:vAlign w:val="top"/>
          </w:tcPr>
          <w:p w14:paraId="569A8A3E">
            <w:pPr>
              <w:spacing w:before="90" w:line="232" w:lineRule="auto"/>
              <w:ind w:left="321"/>
              <w:rPr>
                <w:rFonts w:ascii="黑体" w:hAnsi="黑体" w:eastAsia="黑体" w:cs="黑体"/>
                <w:sz w:val="17"/>
                <w:szCs w:val="17"/>
              </w:rPr>
            </w:pPr>
            <w:r>
              <w:rPr>
                <w:rFonts w:ascii="黑体" w:hAnsi="黑体" w:eastAsia="黑体" w:cs="黑体"/>
                <w:spacing w:val="8"/>
                <w:sz w:val="17"/>
                <w:szCs w:val="17"/>
              </w:rPr>
              <w:t>食品亚类</w:t>
            </w:r>
          </w:p>
          <w:p w14:paraId="2C8D8916">
            <w:pPr>
              <w:spacing w:before="86" w:line="227" w:lineRule="auto"/>
              <w:ind w:left="444"/>
              <w:rPr>
                <w:rFonts w:ascii="黑体" w:hAnsi="黑体" w:eastAsia="黑体" w:cs="黑体"/>
                <w:sz w:val="17"/>
                <w:szCs w:val="17"/>
              </w:rPr>
            </w:pPr>
            <w:r>
              <w:rPr>
                <w:rFonts w:ascii="黑体" w:hAnsi="黑体" w:eastAsia="黑体" w:cs="黑体"/>
                <w:spacing w:val="-3"/>
                <w:sz w:val="17"/>
                <w:szCs w:val="17"/>
              </w:rPr>
              <w:t>(二级)</w:t>
            </w:r>
          </w:p>
        </w:tc>
        <w:tc>
          <w:tcPr>
            <w:tcW w:w="1581" w:type="dxa"/>
            <w:vAlign w:val="top"/>
          </w:tcPr>
          <w:p w14:paraId="7297CEA0">
            <w:pPr>
              <w:spacing w:before="90" w:line="232" w:lineRule="auto"/>
              <w:ind w:left="433"/>
              <w:rPr>
                <w:rFonts w:ascii="黑体" w:hAnsi="黑体" w:eastAsia="黑体" w:cs="黑体"/>
                <w:sz w:val="17"/>
                <w:szCs w:val="17"/>
              </w:rPr>
            </w:pPr>
            <w:r>
              <w:rPr>
                <w:rFonts w:ascii="黑体" w:hAnsi="黑体" w:eastAsia="黑体" w:cs="黑体"/>
                <w:spacing w:val="8"/>
                <w:sz w:val="17"/>
                <w:szCs w:val="17"/>
              </w:rPr>
              <w:t>食品品种</w:t>
            </w:r>
          </w:p>
          <w:p w14:paraId="2F5B95D2">
            <w:pPr>
              <w:spacing w:before="86" w:line="227" w:lineRule="auto"/>
              <w:ind w:left="558"/>
              <w:rPr>
                <w:rFonts w:ascii="黑体" w:hAnsi="黑体" w:eastAsia="黑体" w:cs="黑体"/>
                <w:sz w:val="17"/>
                <w:szCs w:val="17"/>
              </w:rPr>
            </w:pPr>
            <w:r>
              <w:rPr>
                <w:rFonts w:ascii="黑体" w:hAnsi="黑体" w:eastAsia="黑体" w:cs="黑体"/>
                <w:spacing w:val="-4"/>
                <w:sz w:val="17"/>
                <w:szCs w:val="17"/>
              </w:rPr>
              <w:t>(三级)</w:t>
            </w:r>
          </w:p>
        </w:tc>
        <w:tc>
          <w:tcPr>
            <w:tcW w:w="1586" w:type="dxa"/>
            <w:vAlign w:val="top"/>
          </w:tcPr>
          <w:p w14:paraId="25F4508B">
            <w:pPr>
              <w:spacing w:before="90" w:line="232" w:lineRule="auto"/>
              <w:ind w:left="436"/>
              <w:rPr>
                <w:rFonts w:ascii="黑体" w:hAnsi="黑体" w:eastAsia="黑体" w:cs="黑体"/>
                <w:sz w:val="17"/>
                <w:szCs w:val="17"/>
              </w:rPr>
            </w:pPr>
            <w:r>
              <w:rPr>
                <w:rFonts w:ascii="黑体" w:hAnsi="黑体" w:eastAsia="黑体" w:cs="黑体"/>
                <w:spacing w:val="8"/>
                <w:sz w:val="17"/>
                <w:szCs w:val="17"/>
              </w:rPr>
              <w:t>食品细类</w:t>
            </w:r>
          </w:p>
          <w:p w14:paraId="026C24C5">
            <w:pPr>
              <w:spacing w:before="86" w:line="227" w:lineRule="auto"/>
              <w:ind w:left="561"/>
              <w:rPr>
                <w:rFonts w:ascii="黑体" w:hAnsi="黑体" w:eastAsia="黑体" w:cs="黑体"/>
                <w:sz w:val="17"/>
                <w:szCs w:val="17"/>
              </w:rPr>
            </w:pPr>
            <w:r>
              <w:rPr>
                <w:rFonts w:ascii="黑体" w:hAnsi="黑体" w:eastAsia="黑体" w:cs="黑体"/>
                <w:spacing w:val="-4"/>
                <w:sz w:val="17"/>
                <w:szCs w:val="17"/>
              </w:rPr>
              <w:t>(四级)</w:t>
            </w:r>
          </w:p>
        </w:tc>
        <w:tc>
          <w:tcPr>
            <w:tcW w:w="682" w:type="dxa"/>
            <w:vAlign w:val="top"/>
          </w:tcPr>
          <w:p w14:paraId="775565EA">
            <w:pPr>
              <w:spacing w:before="89" w:line="233" w:lineRule="auto"/>
              <w:ind w:left="166"/>
              <w:rPr>
                <w:rFonts w:ascii="黑体" w:hAnsi="黑体" w:eastAsia="黑体" w:cs="黑体"/>
                <w:sz w:val="17"/>
                <w:szCs w:val="17"/>
              </w:rPr>
            </w:pPr>
            <w:r>
              <w:rPr>
                <w:rFonts w:ascii="黑体" w:hAnsi="黑体" w:eastAsia="黑体" w:cs="黑体"/>
                <w:spacing w:val="6"/>
                <w:sz w:val="17"/>
                <w:szCs w:val="17"/>
              </w:rPr>
              <w:t>风险</w:t>
            </w:r>
          </w:p>
          <w:p w14:paraId="189F9FD3">
            <w:pPr>
              <w:spacing w:before="85" w:line="227" w:lineRule="auto"/>
              <w:ind w:left="163"/>
              <w:rPr>
                <w:rFonts w:ascii="黑体" w:hAnsi="黑体" w:eastAsia="黑体" w:cs="黑体"/>
                <w:sz w:val="17"/>
                <w:szCs w:val="17"/>
              </w:rPr>
            </w:pPr>
            <w:r>
              <w:rPr>
                <w:rFonts w:ascii="黑体" w:hAnsi="黑体" w:eastAsia="黑体" w:cs="黑体"/>
                <w:spacing w:val="7"/>
                <w:sz w:val="17"/>
                <w:szCs w:val="17"/>
              </w:rPr>
              <w:t>等级</w:t>
            </w:r>
          </w:p>
        </w:tc>
        <w:tc>
          <w:tcPr>
            <w:tcW w:w="8563" w:type="dxa"/>
            <w:vAlign w:val="top"/>
          </w:tcPr>
          <w:p w14:paraId="5F5BCA94">
            <w:pPr>
              <w:spacing w:before="241" w:line="232" w:lineRule="auto"/>
              <w:ind w:left="3744"/>
              <w:rPr>
                <w:rFonts w:ascii="黑体" w:hAnsi="黑体" w:eastAsia="黑体" w:cs="黑体"/>
                <w:sz w:val="17"/>
                <w:szCs w:val="17"/>
              </w:rPr>
            </w:pPr>
            <w:r>
              <w:rPr>
                <w:rFonts w:ascii="黑体" w:hAnsi="黑体" w:eastAsia="黑体" w:cs="黑体"/>
                <w:spacing w:val="8"/>
                <w:sz w:val="17"/>
                <w:szCs w:val="17"/>
              </w:rPr>
              <w:t>监督抽检项目</w:t>
            </w:r>
          </w:p>
        </w:tc>
      </w:tr>
      <w:tr w14:paraId="45DE0E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459" w:type="dxa"/>
            <w:vMerge w:val="restart"/>
            <w:tcBorders>
              <w:bottom w:val="nil"/>
            </w:tcBorders>
            <w:vAlign w:val="top"/>
          </w:tcPr>
          <w:p w14:paraId="334BF43B">
            <w:pPr>
              <w:rPr>
                <w:rFonts w:ascii="Arial"/>
                <w:sz w:val="21"/>
              </w:rPr>
            </w:pPr>
          </w:p>
        </w:tc>
        <w:tc>
          <w:tcPr>
            <w:tcW w:w="942" w:type="dxa"/>
            <w:vMerge w:val="restart"/>
            <w:tcBorders>
              <w:bottom w:val="nil"/>
            </w:tcBorders>
            <w:vAlign w:val="top"/>
          </w:tcPr>
          <w:p w14:paraId="1D87DDD3">
            <w:pPr>
              <w:rPr>
                <w:rFonts w:ascii="Arial"/>
                <w:sz w:val="21"/>
              </w:rPr>
            </w:pPr>
          </w:p>
        </w:tc>
        <w:tc>
          <w:tcPr>
            <w:tcW w:w="1360" w:type="dxa"/>
            <w:vAlign w:val="top"/>
          </w:tcPr>
          <w:p w14:paraId="46A3E1EC">
            <w:pPr>
              <w:rPr>
                <w:rFonts w:ascii="Arial"/>
                <w:sz w:val="21"/>
              </w:rPr>
            </w:pPr>
          </w:p>
        </w:tc>
        <w:tc>
          <w:tcPr>
            <w:tcW w:w="1581" w:type="dxa"/>
            <w:vAlign w:val="top"/>
          </w:tcPr>
          <w:p w14:paraId="41CC4D27">
            <w:pPr>
              <w:rPr>
                <w:rFonts w:ascii="Arial"/>
                <w:sz w:val="21"/>
              </w:rPr>
            </w:pPr>
          </w:p>
        </w:tc>
        <w:tc>
          <w:tcPr>
            <w:tcW w:w="1586" w:type="dxa"/>
            <w:vAlign w:val="top"/>
          </w:tcPr>
          <w:p w14:paraId="534D20D2">
            <w:pPr>
              <w:pStyle w:val="51"/>
              <w:spacing w:before="237" w:line="227" w:lineRule="auto"/>
              <w:ind w:left="171"/>
              <w:rPr>
                <w:sz w:val="17"/>
                <w:szCs w:val="17"/>
              </w:rPr>
            </w:pPr>
            <w:r>
              <w:rPr>
                <w:spacing w:val="8"/>
                <w:sz w:val="17"/>
                <w:szCs w:val="17"/>
              </w:rPr>
              <w:t>速冻面米熟制品</w:t>
            </w:r>
          </w:p>
        </w:tc>
        <w:tc>
          <w:tcPr>
            <w:tcW w:w="682" w:type="dxa"/>
            <w:vAlign w:val="top"/>
          </w:tcPr>
          <w:p w14:paraId="01248635">
            <w:pPr>
              <w:pStyle w:val="51"/>
              <w:spacing w:before="237" w:line="227" w:lineRule="auto"/>
              <w:ind w:left="170"/>
              <w:rPr>
                <w:sz w:val="17"/>
                <w:szCs w:val="17"/>
              </w:rPr>
            </w:pPr>
            <w:r>
              <w:rPr>
                <w:spacing w:val="3"/>
                <w:sz w:val="17"/>
                <w:szCs w:val="17"/>
              </w:rPr>
              <w:t>较高</w:t>
            </w:r>
          </w:p>
        </w:tc>
        <w:tc>
          <w:tcPr>
            <w:tcW w:w="8563" w:type="dxa"/>
            <w:vAlign w:val="top"/>
          </w:tcPr>
          <w:p w14:paraId="60C8C452">
            <w:pPr>
              <w:pStyle w:val="51"/>
              <w:spacing w:before="85" w:line="276" w:lineRule="auto"/>
              <w:ind w:left="37" w:right="84" w:firstLine="2"/>
              <w:rPr>
                <w:sz w:val="17"/>
                <w:szCs w:val="17"/>
              </w:rPr>
            </w:pPr>
            <w:r>
              <w:rPr>
                <w:spacing w:val="9"/>
                <w:sz w:val="17"/>
                <w:szCs w:val="17"/>
              </w:rPr>
              <w:t>过氧化值(以脂肪计)、铅(以</w:t>
            </w:r>
            <w:r>
              <w:rPr>
                <w:sz w:val="17"/>
                <w:szCs w:val="17"/>
              </w:rPr>
              <w:t>Pb</w:t>
            </w:r>
            <w:r>
              <w:rPr>
                <w:spacing w:val="9"/>
                <w:sz w:val="17"/>
                <w:szCs w:val="17"/>
              </w:rPr>
              <w:t>计)、糖精钠(以糖精计)、甜蜜素(以环己基氨基磺酸计)、</w:t>
            </w:r>
            <w:r>
              <w:rPr>
                <w:spacing w:val="8"/>
                <w:sz w:val="17"/>
                <w:szCs w:val="17"/>
              </w:rPr>
              <w:t>合成着色剂（柠檬</w:t>
            </w:r>
            <w:r>
              <w:rPr>
                <w:spacing w:val="9"/>
                <w:sz w:val="17"/>
                <w:szCs w:val="17"/>
              </w:rPr>
              <w:t>黄、日落黄、苋菜红、亮蓝、胭脂红）、菌落总数、大肠菌群、沙门氏菌、金黄色葡萄球菌</w:t>
            </w:r>
          </w:p>
        </w:tc>
      </w:tr>
      <w:tr w14:paraId="05F683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4" w:hRule="atLeast"/>
        </w:trPr>
        <w:tc>
          <w:tcPr>
            <w:tcW w:w="459" w:type="dxa"/>
            <w:vMerge w:val="continue"/>
            <w:tcBorders>
              <w:top w:val="nil"/>
              <w:bottom w:val="nil"/>
            </w:tcBorders>
            <w:vAlign w:val="top"/>
          </w:tcPr>
          <w:p w14:paraId="2B7D7D44">
            <w:pPr>
              <w:rPr>
                <w:rFonts w:ascii="Arial"/>
                <w:sz w:val="21"/>
              </w:rPr>
            </w:pPr>
          </w:p>
        </w:tc>
        <w:tc>
          <w:tcPr>
            <w:tcW w:w="942" w:type="dxa"/>
            <w:vMerge w:val="continue"/>
            <w:tcBorders>
              <w:top w:val="nil"/>
              <w:bottom w:val="nil"/>
            </w:tcBorders>
            <w:vAlign w:val="top"/>
          </w:tcPr>
          <w:p w14:paraId="0A638583">
            <w:pPr>
              <w:rPr>
                <w:rFonts w:ascii="Arial"/>
                <w:sz w:val="21"/>
              </w:rPr>
            </w:pPr>
          </w:p>
        </w:tc>
        <w:tc>
          <w:tcPr>
            <w:tcW w:w="1360" w:type="dxa"/>
            <w:vMerge w:val="restart"/>
            <w:tcBorders>
              <w:bottom w:val="nil"/>
            </w:tcBorders>
            <w:vAlign w:val="top"/>
          </w:tcPr>
          <w:p w14:paraId="28AB48FE">
            <w:pPr>
              <w:spacing w:line="316" w:lineRule="auto"/>
              <w:rPr>
                <w:rFonts w:ascii="Arial"/>
                <w:sz w:val="21"/>
              </w:rPr>
            </w:pPr>
          </w:p>
          <w:p w14:paraId="2F53A1A6">
            <w:pPr>
              <w:spacing w:line="316" w:lineRule="auto"/>
              <w:rPr>
                <w:rFonts w:ascii="Arial"/>
                <w:sz w:val="21"/>
              </w:rPr>
            </w:pPr>
          </w:p>
          <w:p w14:paraId="07BAF230">
            <w:pPr>
              <w:pStyle w:val="51"/>
              <w:spacing w:before="56" w:line="227" w:lineRule="auto"/>
              <w:ind w:left="146"/>
              <w:rPr>
                <w:sz w:val="17"/>
                <w:szCs w:val="17"/>
              </w:rPr>
            </w:pPr>
            <w:r>
              <w:rPr>
                <w:spacing w:val="8"/>
                <w:sz w:val="17"/>
                <w:szCs w:val="17"/>
              </w:rPr>
              <w:t>速冻调制食品</w:t>
            </w:r>
          </w:p>
        </w:tc>
        <w:tc>
          <w:tcPr>
            <w:tcW w:w="1581" w:type="dxa"/>
            <w:vAlign w:val="top"/>
          </w:tcPr>
          <w:p w14:paraId="53A4EE32">
            <w:pPr>
              <w:spacing w:line="330" w:lineRule="auto"/>
              <w:rPr>
                <w:rFonts w:ascii="Arial"/>
                <w:sz w:val="21"/>
              </w:rPr>
            </w:pPr>
          </w:p>
          <w:p w14:paraId="2873F158">
            <w:pPr>
              <w:pStyle w:val="51"/>
              <w:spacing w:before="55" w:line="227" w:lineRule="auto"/>
              <w:ind w:left="168"/>
              <w:rPr>
                <w:sz w:val="17"/>
                <w:szCs w:val="17"/>
              </w:rPr>
            </w:pPr>
            <w:r>
              <w:rPr>
                <w:spacing w:val="8"/>
                <w:sz w:val="17"/>
                <w:szCs w:val="17"/>
              </w:rPr>
              <w:t>速冻调理肉制品</w:t>
            </w:r>
          </w:p>
        </w:tc>
        <w:tc>
          <w:tcPr>
            <w:tcW w:w="1586" w:type="dxa"/>
            <w:vAlign w:val="top"/>
          </w:tcPr>
          <w:p w14:paraId="0F9A0080">
            <w:pPr>
              <w:spacing w:line="330" w:lineRule="auto"/>
              <w:rPr>
                <w:rFonts w:ascii="Arial"/>
                <w:sz w:val="21"/>
              </w:rPr>
            </w:pPr>
          </w:p>
          <w:p w14:paraId="0F353EAF">
            <w:pPr>
              <w:pStyle w:val="51"/>
              <w:spacing w:before="55" w:line="227" w:lineRule="auto"/>
              <w:ind w:left="171"/>
              <w:rPr>
                <w:sz w:val="17"/>
                <w:szCs w:val="17"/>
              </w:rPr>
            </w:pPr>
            <w:r>
              <w:rPr>
                <w:spacing w:val="8"/>
                <w:sz w:val="17"/>
                <w:szCs w:val="17"/>
              </w:rPr>
              <w:t>速冻调理肉制品</w:t>
            </w:r>
          </w:p>
        </w:tc>
        <w:tc>
          <w:tcPr>
            <w:tcW w:w="682" w:type="dxa"/>
            <w:vAlign w:val="top"/>
          </w:tcPr>
          <w:p w14:paraId="20370EE0">
            <w:pPr>
              <w:spacing w:line="329" w:lineRule="auto"/>
              <w:rPr>
                <w:rFonts w:ascii="Arial"/>
                <w:sz w:val="21"/>
              </w:rPr>
            </w:pPr>
          </w:p>
          <w:p w14:paraId="1FE180F7">
            <w:pPr>
              <w:pStyle w:val="51"/>
              <w:spacing w:before="56" w:line="230" w:lineRule="auto"/>
              <w:ind w:left="173"/>
              <w:rPr>
                <w:sz w:val="17"/>
                <w:szCs w:val="17"/>
              </w:rPr>
            </w:pPr>
            <w:r>
              <w:rPr>
                <w:spacing w:val="2"/>
                <w:sz w:val="17"/>
                <w:szCs w:val="17"/>
              </w:rPr>
              <w:t>一般</w:t>
            </w:r>
          </w:p>
        </w:tc>
        <w:tc>
          <w:tcPr>
            <w:tcW w:w="8563" w:type="dxa"/>
            <w:vAlign w:val="top"/>
          </w:tcPr>
          <w:p w14:paraId="7184BEB2">
            <w:pPr>
              <w:pStyle w:val="51"/>
              <w:spacing w:before="87" w:line="292" w:lineRule="auto"/>
              <w:ind w:left="39"/>
              <w:rPr>
                <w:sz w:val="17"/>
                <w:szCs w:val="17"/>
              </w:rPr>
            </w:pPr>
            <w:r>
              <w:rPr>
                <w:spacing w:val="6"/>
                <w:sz w:val="17"/>
                <w:szCs w:val="17"/>
              </w:rPr>
              <w:t>过氧化值(以脂肪计)、铅(以</w:t>
            </w:r>
            <w:r>
              <w:rPr>
                <w:sz w:val="17"/>
                <w:szCs w:val="17"/>
              </w:rPr>
              <w:t>Pb</w:t>
            </w:r>
            <w:r>
              <w:rPr>
                <w:spacing w:val="6"/>
                <w:sz w:val="17"/>
                <w:szCs w:val="17"/>
              </w:rPr>
              <w:t>计)、铬(以</w:t>
            </w:r>
            <w:r>
              <w:rPr>
                <w:sz w:val="17"/>
                <w:szCs w:val="17"/>
              </w:rPr>
              <w:t>Cr</w:t>
            </w:r>
            <w:r>
              <w:rPr>
                <w:spacing w:val="6"/>
                <w:sz w:val="17"/>
                <w:szCs w:val="17"/>
              </w:rPr>
              <w:t>计)、氯霉素、合成着色剂(胭脂红、柠檬黄、</w:t>
            </w:r>
            <w:r>
              <w:rPr>
                <w:spacing w:val="-28"/>
                <w:sz w:val="17"/>
                <w:szCs w:val="17"/>
              </w:rPr>
              <w:t xml:space="preserve"> </w:t>
            </w:r>
            <w:r>
              <w:rPr>
                <w:spacing w:val="6"/>
                <w:sz w:val="17"/>
                <w:szCs w:val="17"/>
              </w:rPr>
              <w:t>日落黄、诱惑红)、</w:t>
            </w:r>
            <w:r>
              <w:rPr>
                <w:spacing w:val="8"/>
                <w:sz w:val="17"/>
                <w:szCs w:val="17"/>
              </w:rPr>
              <w:t>亚硝酸盐(以亚硝酸钠计)、菌落总数、大肠菌群、沙门氏菌、金黄色葡萄球菌、单核细胞增生李斯特氏菌、苯甲酸及其钠盐(以苯甲酸计)、山梨酸及其钾盐(以山梨酸计)</w:t>
            </w:r>
          </w:p>
        </w:tc>
      </w:tr>
      <w:tr w14:paraId="083637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459" w:type="dxa"/>
            <w:vMerge w:val="continue"/>
            <w:tcBorders>
              <w:top w:val="nil"/>
              <w:bottom w:val="nil"/>
            </w:tcBorders>
            <w:vAlign w:val="top"/>
          </w:tcPr>
          <w:p w14:paraId="5EF81B55">
            <w:pPr>
              <w:rPr>
                <w:rFonts w:ascii="Arial"/>
                <w:sz w:val="21"/>
              </w:rPr>
            </w:pPr>
          </w:p>
        </w:tc>
        <w:tc>
          <w:tcPr>
            <w:tcW w:w="942" w:type="dxa"/>
            <w:vMerge w:val="continue"/>
            <w:tcBorders>
              <w:top w:val="nil"/>
              <w:bottom w:val="nil"/>
            </w:tcBorders>
            <w:vAlign w:val="top"/>
          </w:tcPr>
          <w:p w14:paraId="4DE7B61A">
            <w:pPr>
              <w:rPr>
                <w:rFonts w:ascii="Arial"/>
                <w:sz w:val="21"/>
              </w:rPr>
            </w:pPr>
          </w:p>
        </w:tc>
        <w:tc>
          <w:tcPr>
            <w:tcW w:w="1360" w:type="dxa"/>
            <w:vMerge w:val="continue"/>
            <w:tcBorders>
              <w:top w:val="nil"/>
            </w:tcBorders>
            <w:vAlign w:val="top"/>
          </w:tcPr>
          <w:p w14:paraId="7EE360F7">
            <w:pPr>
              <w:rPr>
                <w:rFonts w:ascii="Arial"/>
                <w:sz w:val="21"/>
              </w:rPr>
            </w:pPr>
          </w:p>
        </w:tc>
        <w:tc>
          <w:tcPr>
            <w:tcW w:w="1581" w:type="dxa"/>
            <w:vAlign w:val="top"/>
          </w:tcPr>
          <w:p w14:paraId="4986915B">
            <w:pPr>
              <w:pStyle w:val="51"/>
              <w:spacing w:before="239" w:line="227" w:lineRule="auto"/>
              <w:ind w:left="77"/>
              <w:rPr>
                <w:sz w:val="17"/>
                <w:szCs w:val="17"/>
              </w:rPr>
            </w:pPr>
            <w:r>
              <w:rPr>
                <w:spacing w:val="8"/>
                <w:sz w:val="17"/>
                <w:szCs w:val="17"/>
              </w:rPr>
              <w:t>速冻调制水产制品</w:t>
            </w:r>
          </w:p>
        </w:tc>
        <w:tc>
          <w:tcPr>
            <w:tcW w:w="1586" w:type="dxa"/>
            <w:vAlign w:val="top"/>
          </w:tcPr>
          <w:p w14:paraId="1B070CB7">
            <w:pPr>
              <w:pStyle w:val="51"/>
              <w:spacing w:before="239" w:line="227" w:lineRule="auto"/>
              <w:ind w:left="80"/>
              <w:rPr>
                <w:sz w:val="17"/>
                <w:szCs w:val="17"/>
              </w:rPr>
            </w:pPr>
            <w:r>
              <w:rPr>
                <w:spacing w:val="8"/>
                <w:sz w:val="17"/>
                <w:szCs w:val="17"/>
              </w:rPr>
              <w:t>速冻调制水产制品</w:t>
            </w:r>
          </w:p>
        </w:tc>
        <w:tc>
          <w:tcPr>
            <w:tcW w:w="682" w:type="dxa"/>
            <w:vAlign w:val="top"/>
          </w:tcPr>
          <w:p w14:paraId="70EA9CBB">
            <w:pPr>
              <w:pStyle w:val="51"/>
              <w:spacing w:before="238" w:line="230" w:lineRule="auto"/>
              <w:ind w:left="173"/>
              <w:rPr>
                <w:sz w:val="17"/>
                <w:szCs w:val="17"/>
              </w:rPr>
            </w:pPr>
            <w:r>
              <w:rPr>
                <w:spacing w:val="2"/>
                <w:sz w:val="17"/>
                <w:szCs w:val="17"/>
              </w:rPr>
              <w:t>一般</w:t>
            </w:r>
          </w:p>
        </w:tc>
        <w:tc>
          <w:tcPr>
            <w:tcW w:w="8563" w:type="dxa"/>
            <w:vAlign w:val="top"/>
          </w:tcPr>
          <w:p w14:paraId="3502AE34">
            <w:pPr>
              <w:pStyle w:val="51"/>
              <w:spacing w:before="90" w:line="274" w:lineRule="auto"/>
              <w:ind w:left="63" w:right="102" w:hanging="24"/>
              <w:rPr>
                <w:sz w:val="17"/>
                <w:szCs w:val="17"/>
              </w:rPr>
            </w:pPr>
            <w:r>
              <w:rPr>
                <w:spacing w:val="9"/>
                <w:sz w:val="17"/>
                <w:szCs w:val="17"/>
              </w:rPr>
              <w:t>挥发性盐基氮、苯甲酸及其钠盐(以苯甲酸计)、山梨酸及其钾盐(以山梨</w:t>
            </w:r>
            <w:r>
              <w:rPr>
                <w:spacing w:val="8"/>
                <w:sz w:val="17"/>
                <w:szCs w:val="17"/>
              </w:rPr>
              <w:t>酸计)、菌落总数、大肠菌群、沙门氏菌、副溶血性弧菌、单核细胞增生李斯特氏菌、二氧化硫残留量</w:t>
            </w:r>
          </w:p>
        </w:tc>
      </w:tr>
      <w:tr w14:paraId="32DEAA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459" w:type="dxa"/>
            <w:vMerge w:val="continue"/>
            <w:tcBorders>
              <w:top w:val="nil"/>
              <w:bottom w:val="nil"/>
            </w:tcBorders>
            <w:vAlign w:val="top"/>
          </w:tcPr>
          <w:p w14:paraId="5AF20884">
            <w:pPr>
              <w:rPr>
                <w:rFonts w:ascii="Arial"/>
                <w:sz w:val="21"/>
              </w:rPr>
            </w:pPr>
          </w:p>
        </w:tc>
        <w:tc>
          <w:tcPr>
            <w:tcW w:w="942" w:type="dxa"/>
            <w:vMerge w:val="continue"/>
            <w:tcBorders>
              <w:top w:val="nil"/>
              <w:bottom w:val="nil"/>
            </w:tcBorders>
            <w:vAlign w:val="top"/>
          </w:tcPr>
          <w:p w14:paraId="4B724502">
            <w:pPr>
              <w:rPr>
                <w:rFonts w:ascii="Arial"/>
                <w:sz w:val="21"/>
              </w:rPr>
            </w:pPr>
          </w:p>
        </w:tc>
        <w:tc>
          <w:tcPr>
            <w:tcW w:w="1360" w:type="dxa"/>
            <w:vMerge w:val="restart"/>
            <w:tcBorders>
              <w:bottom w:val="nil"/>
            </w:tcBorders>
            <w:vAlign w:val="top"/>
          </w:tcPr>
          <w:p w14:paraId="3704AEB1">
            <w:pPr>
              <w:spacing w:line="327" w:lineRule="auto"/>
              <w:rPr>
                <w:rFonts w:ascii="Arial"/>
                <w:sz w:val="21"/>
              </w:rPr>
            </w:pPr>
          </w:p>
          <w:p w14:paraId="22DE0B91">
            <w:pPr>
              <w:spacing w:line="327" w:lineRule="auto"/>
              <w:rPr>
                <w:rFonts w:ascii="Arial"/>
                <w:sz w:val="21"/>
              </w:rPr>
            </w:pPr>
          </w:p>
          <w:p w14:paraId="0D6B9979">
            <w:pPr>
              <w:pStyle w:val="51"/>
              <w:spacing w:before="55" w:line="227" w:lineRule="auto"/>
              <w:ind w:left="146"/>
              <w:rPr>
                <w:sz w:val="17"/>
                <w:szCs w:val="17"/>
              </w:rPr>
            </w:pPr>
            <w:r>
              <w:rPr>
                <w:spacing w:val="8"/>
                <w:sz w:val="17"/>
                <w:szCs w:val="17"/>
              </w:rPr>
              <w:t>速冻其他食品</w:t>
            </w:r>
          </w:p>
        </w:tc>
        <w:tc>
          <w:tcPr>
            <w:tcW w:w="1581" w:type="dxa"/>
            <w:vAlign w:val="top"/>
          </w:tcPr>
          <w:p w14:paraId="3325FF25">
            <w:pPr>
              <w:pStyle w:val="51"/>
              <w:spacing w:before="192" w:line="227" w:lineRule="auto"/>
              <w:ind w:left="257"/>
              <w:rPr>
                <w:sz w:val="17"/>
                <w:szCs w:val="17"/>
              </w:rPr>
            </w:pPr>
            <w:r>
              <w:rPr>
                <w:spacing w:val="8"/>
                <w:sz w:val="17"/>
                <w:szCs w:val="17"/>
              </w:rPr>
              <w:t>速冻谷物食品</w:t>
            </w:r>
          </w:p>
        </w:tc>
        <w:tc>
          <w:tcPr>
            <w:tcW w:w="1586" w:type="dxa"/>
            <w:vAlign w:val="top"/>
          </w:tcPr>
          <w:p w14:paraId="6EA67986">
            <w:pPr>
              <w:pStyle w:val="51"/>
              <w:spacing w:before="192" w:line="227" w:lineRule="auto"/>
              <w:ind w:left="260"/>
              <w:rPr>
                <w:sz w:val="17"/>
                <w:szCs w:val="17"/>
              </w:rPr>
            </w:pPr>
            <w:r>
              <w:rPr>
                <w:spacing w:val="8"/>
                <w:sz w:val="17"/>
                <w:szCs w:val="17"/>
              </w:rPr>
              <w:t>速冻谷物食品</w:t>
            </w:r>
          </w:p>
        </w:tc>
        <w:tc>
          <w:tcPr>
            <w:tcW w:w="682" w:type="dxa"/>
            <w:vAlign w:val="top"/>
          </w:tcPr>
          <w:p w14:paraId="171C3FB3">
            <w:pPr>
              <w:pStyle w:val="51"/>
              <w:spacing w:before="192" w:line="230" w:lineRule="auto"/>
              <w:ind w:left="173"/>
              <w:rPr>
                <w:sz w:val="17"/>
                <w:szCs w:val="17"/>
              </w:rPr>
            </w:pPr>
            <w:r>
              <w:rPr>
                <w:spacing w:val="2"/>
                <w:sz w:val="17"/>
                <w:szCs w:val="17"/>
              </w:rPr>
              <w:t>一般</w:t>
            </w:r>
          </w:p>
        </w:tc>
        <w:tc>
          <w:tcPr>
            <w:tcW w:w="8563" w:type="dxa"/>
            <w:vAlign w:val="top"/>
          </w:tcPr>
          <w:p w14:paraId="0EBCEF44">
            <w:pPr>
              <w:pStyle w:val="51"/>
              <w:spacing w:before="193" w:line="241" w:lineRule="auto"/>
              <w:ind w:left="37"/>
              <w:rPr>
                <w:sz w:val="8"/>
                <w:szCs w:val="8"/>
              </w:rPr>
            </w:pPr>
            <w:r>
              <w:rPr>
                <w:spacing w:val="8"/>
                <w:sz w:val="17"/>
                <w:szCs w:val="17"/>
              </w:rPr>
              <w:t>铅(以</w:t>
            </w:r>
            <w:r>
              <w:rPr>
                <w:sz w:val="17"/>
                <w:szCs w:val="17"/>
              </w:rPr>
              <w:t>Pb</w:t>
            </w:r>
            <w:r>
              <w:rPr>
                <w:spacing w:val="8"/>
                <w:sz w:val="17"/>
                <w:szCs w:val="17"/>
              </w:rPr>
              <w:t>计)、黄曲霉毒素B</w:t>
            </w:r>
            <w:r>
              <w:rPr>
                <w:spacing w:val="8"/>
                <w:position w:val="-2"/>
                <w:sz w:val="8"/>
                <w:szCs w:val="8"/>
              </w:rPr>
              <w:t>1</w:t>
            </w:r>
          </w:p>
        </w:tc>
      </w:tr>
      <w:tr w14:paraId="6CFD2F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459" w:type="dxa"/>
            <w:vMerge w:val="continue"/>
            <w:tcBorders>
              <w:top w:val="nil"/>
              <w:bottom w:val="nil"/>
            </w:tcBorders>
            <w:vAlign w:val="top"/>
          </w:tcPr>
          <w:p w14:paraId="40492C9F">
            <w:pPr>
              <w:rPr>
                <w:rFonts w:ascii="Arial"/>
                <w:sz w:val="21"/>
              </w:rPr>
            </w:pPr>
          </w:p>
        </w:tc>
        <w:tc>
          <w:tcPr>
            <w:tcW w:w="942" w:type="dxa"/>
            <w:vMerge w:val="continue"/>
            <w:tcBorders>
              <w:top w:val="nil"/>
              <w:bottom w:val="nil"/>
            </w:tcBorders>
            <w:vAlign w:val="top"/>
          </w:tcPr>
          <w:p w14:paraId="7D955F83">
            <w:pPr>
              <w:rPr>
                <w:rFonts w:ascii="Arial"/>
                <w:sz w:val="21"/>
              </w:rPr>
            </w:pPr>
          </w:p>
        </w:tc>
        <w:tc>
          <w:tcPr>
            <w:tcW w:w="1360" w:type="dxa"/>
            <w:vMerge w:val="continue"/>
            <w:tcBorders>
              <w:top w:val="nil"/>
              <w:bottom w:val="nil"/>
            </w:tcBorders>
            <w:vAlign w:val="top"/>
          </w:tcPr>
          <w:p w14:paraId="4B4EC4BB">
            <w:pPr>
              <w:rPr>
                <w:rFonts w:ascii="Arial"/>
                <w:sz w:val="21"/>
              </w:rPr>
            </w:pPr>
          </w:p>
        </w:tc>
        <w:tc>
          <w:tcPr>
            <w:tcW w:w="1581" w:type="dxa"/>
            <w:vAlign w:val="top"/>
          </w:tcPr>
          <w:p w14:paraId="0817FC36">
            <w:pPr>
              <w:pStyle w:val="51"/>
              <w:spacing w:before="193" w:line="224" w:lineRule="auto"/>
              <w:ind w:left="257"/>
              <w:rPr>
                <w:sz w:val="17"/>
                <w:szCs w:val="17"/>
              </w:rPr>
            </w:pPr>
            <w:r>
              <w:rPr>
                <w:spacing w:val="8"/>
                <w:sz w:val="17"/>
                <w:szCs w:val="17"/>
              </w:rPr>
              <w:t>速冻蔬菜制品</w:t>
            </w:r>
          </w:p>
        </w:tc>
        <w:tc>
          <w:tcPr>
            <w:tcW w:w="1586" w:type="dxa"/>
            <w:vAlign w:val="top"/>
          </w:tcPr>
          <w:p w14:paraId="725A52A7">
            <w:pPr>
              <w:pStyle w:val="51"/>
              <w:spacing w:before="193" w:line="224" w:lineRule="auto"/>
              <w:ind w:left="260"/>
              <w:rPr>
                <w:sz w:val="17"/>
                <w:szCs w:val="17"/>
              </w:rPr>
            </w:pPr>
            <w:r>
              <w:rPr>
                <w:spacing w:val="8"/>
                <w:sz w:val="17"/>
                <w:szCs w:val="17"/>
              </w:rPr>
              <w:t>速冻蔬菜制品</w:t>
            </w:r>
          </w:p>
        </w:tc>
        <w:tc>
          <w:tcPr>
            <w:tcW w:w="682" w:type="dxa"/>
            <w:vAlign w:val="top"/>
          </w:tcPr>
          <w:p w14:paraId="0259D9EE">
            <w:pPr>
              <w:pStyle w:val="51"/>
              <w:spacing w:before="193" w:line="230" w:lineRule="auto"/>
              <w:ind w:left="173"/>
              <w:rPr>
                <w:sz w:val="17"/>
                <w:szCs w:val="17"/>
              </w:rPr>
            </w:pPr>
            <w:r>
              <w:rPr>
                <w:spacing w:val="2"/>
                <w:sz w:val="17"/>
                <w:szCs w:val="17"/>
              </w:rPr>
              <w:t>一般</w:t>
            </w:r>
          </w:p>
        </w:tc>
        <w:tc>
          <w:tcPr>
            <w:tcW w:w="8563" w:type="dxa"/>
            <w:vAlign w:val="top"/>
          </w:tcPr>
          <w:p w14:paraId="33896E76">
            <w:pPr>
              <w:pStyle w:val="51"/>
              <w:spacing w:before="193" w:line="228" w:lineRule="auto"/>
              <w:ind w:left="37"/>
              <w:rPr>
                <w:sz w:val="17"/>
                <w:szCs w:val="17"/>
              </w:rPr>
            </w:pPr>
            <w:r>
              <w:rPr>
                <w:spacing w:val="8"/>
                <w:sz w:val="17"/>
                <w:szCs w:val="17"/>
              </w:rPr>
              <w:t>铅(以</w:t>
            </w:r>
            <w:r>
              <w:rPr>
                <w:sz w:val="17"/>
                <w:szCs w:val="17"/>
              </w:rPr>
              <w:t>Pb</w:t>
            </w:r>
            <w:r>
              <w:rPr>
                <w:spacing w:val="8"/>
                <w:sz w:val="17"/>
                <w:szCs w:val="17"/>
              </w:rPr>
              <w:t>计)、镉(以</w:t>
            </w:r>
            <w:r>
              <w:rPr>
                <w:sz w:val="17"/>
                <w:szCs w:val="17"/>
              </w:rPr>
              <w:t>Cd</w:t>
            </w:r>
            <w:r>
              <w:rPr>
                <w:spacing w:val="8"/>
                <w:sz w:val="17"/>
                <w:szCs w:val="17"/>
              </w:rPr>
              <w:t>计)、糖精钠(以糖精计)</w:t>
            </w:r>
          </w:p>
        </w:tc>
      </w:tr>
      <w:tr w14:paraId="43F843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459" w:type="dxa"/>
            <w:vMerge w:val="continue"/>
            <w:tcBorders>
              <w:top w:val="nil"/>
            </w:tcBorders>
            <w:vAlign w:val="top"/>
          </w:tcPr>
          <w:p w14:paraId="61CF0481">
            <w:pPr>
              <w:rPr>
                <w:rFonts w:ascii="Arial"/>
                <w:sz w:val="21"/>
              </w:rPr>
            </w:pPr>
          </w:p>
        </w:tc>
        <w:tc>
          <w:tcPr>
            <w:tcW w:w="942" w:type="dxa"/>
            <w:vMerge w:val="continue"/>
            <w:tcBorders>
              <w:top w:val="nil"/>
            </w:tcBorders>
            <w:vAlign w:val="top"/>
          </w:tcPr>
          <w:p w14:paraId="035EE1E5">
            <w:pPr>
              <w:rPr>
                <w:rFonts w:ascii="Arial"/>
                <w:sz w:val="21"/>
              </w:rPr>
            </w:pPr>
          </w:p>
        </w:tc>
        <w:tc>
          <w:tcPr>
            <w:tcW w:w="1360" w:type="dxa"/>
            <w:vMerge w:val="continue"/>
            <w:tcBorders>
              <w:top w:val="nil"/>
            </w:tcBorders>
            <w:vAlign w:val="top"/>
          </w:tcPr>
          <w:p w14:paraId="0525743F">
            <w:pPr>
              <w:rPr>
                <w:rFonts w:ascii="Arial"/>
                <w:sz w:val="21"/>
              </w:rPr>
            </w:pPr>
          </w:p>
        </w:tc>
        <w:tc>
          <w:tcPr>
            <w:tcW w:w="1581" w:type="dxa"/>
            <w:vAlign w:val="top"/>
          </w:tcPr>
          <w:p w14:paraId="371F8418">
            <w:pPr>
              <w:pStyle w:val="51"/>
              <w:spacing w:before="194" w:line="227" w:lineRule="auto"/>
              <w:ind w:left="257"/>
              <w:rPr>
                <w:sz w:val="17"/>
                <w:szCs w:val="17"/>
              </w:rPr>
            </w:pPr>
            <w:r>
              <w:rPr>
                <w:spacing w:val="8"/>
                <w:sz w:val="17"/>
                <w:szCs w:val="17"/>
              </w:rPr>
              <w:t>速冻水果制品</w:t>
            </w:r>
          </w:p>
        </w:tc>
        <w:tc>
          <w:tcPr>
            <w:tcW w:w="1586" w:type="dxa"/>
            <w:vAlign w:val="top"/>
          </w:tcPr>
          <w:p w14:paraId="1CFEC1F9">
            <w:pPr>
              <w:pStyle w:val="51"/>
              <w:spacing w:before="194" w:line="227" w:lineRule="auto"/>
              <w:ind w:left="260"/>
              <w:rPr>
                <w:sz w:val="17"/>
                <w:szCs w:val="17"/>
              </w:rPr>
            </w:pPr>
            <w:r>
              <w:rPr>
                <w:spacing w:val="8"/>
                <w:sz w:val="17"/>
                <w:szCs w:val="17"/>
              </w:rPr>
              <w:t>速冻水果制品</w:t>
            </w:r>
          </w:p>
        </w:tc>
        <w:tc>
          <w:tcPr>
            <w:tcW w:w="682" w:type="dxa"/>
            <w:vAlign w:val="top"/>
          </w:tcPr>
          <w:p w14:paraId="358B1B0A">
            <w:pPr>
              <w:pStyle w:val="51"/>
              <w:spacing w:before="194" w:line="230" w:lineRule="auto"/>
              <w:ind w:left="173"/>
              <w:rPr>
                <w:sz w:val="17"/>
                <w:szCs w:val="17"/>
              </w:rPr>
            </w:pPr>
            <w:r>
              <w:rPr>
                <w:spacing w:val="2"/>
                <w:sz w:val="17"/>
                <w:szCs w:val="17"/>
              </w:rPr>
              <w:t>一般</w:t>
            </w:r>
          </w:p>
        </w:tc>
        <w:tc>
          <w:tcPr>
            <w:tcW w:w="8563" w:type="dxa"/>
            <w:vAlign w:val="top"/>
          </w:tcPr>
          <w:p w14:paraId="046F517E">
            <w:pPr>
              <w:pStyle w:val="51"/>
              <w:spacing w:before="194" w:line="227" w:lineRule="auto"/>
              <w:ind w:left="37"/>
              <w:rPr>
                <w:sz w:val="17"/>
                <w:szCs w:val="17"/>
              </w:rPr>
            </w:pPr>
            <w:r>
              <w:rPr>
                <w:spacing w:val="9"/>
                <w:sz w:val="17"/>
                <w:szCs w:val="17"/>
              </w:rPr>
              <w:t>铅(以</w:t>
            </w:r>
            <w:r>
              <w:rPr>
                <w:sz w:val="17"/>
                <w:szCs w:val="17"/>
              </w:rPr>
              <w:t>Pb</w:t>
            </w:r>
            <w:r>
              <w:rPr>
                <w:spacing w:val="9"/>
                <w:sz w:val="17"/>
                <w:szCs w:val="17"/>
              </w:rPr>
              <w:t>计)、镉(以</w:t>
            </w:r>
            <w:r>
              <w:rPr>
                <w:sz w:val="17"/>
                <w:szCs w:val="17"/>
              </w:rPr>
              <w:t>Cd</w:t>
            </w:r>
            <w:r>
              <w:rPr>
                <w:spacing w:val="9"/>
                <w:sz w:val="17"/>
                <w:szCs w:val="17"/>
              </w:rPr>
              <w:t>计)、菌落总数、大肠菌群、霉菌、沙门氏菌、金黄色葡萄球菌</w:t>
            </w:r>
          </w:p>
        </w:tc>
      </w:tr>
      <w:tr w14:paraId="7661B2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4" w:hRule="atLeast"/>
        </w:trPr>
        <w:tc>
          <w:tcPr>
            <w:tcW w:w="459" w:type="dxa"/>
            <w:vMerge w:val="restart"/>
            <w:tcBorders>
              <w:bottom w:val="nil"/>
            </w:tcBorders>
            <w:vAlign w:val="top"/>
          </w:tcPr>
          <w:p w14:paraId="09487CC4">
            <w:pPr>
              <w:spacing w:line="244" w:lineRule="auto"/>
              <w:rPr>
                <w:rFonts w:ascii="Arial"/>
                <w:sz w:val="21"/>
              </w:rPr>
            </w:pPr>
          </w:p>
          <w:p w14:paraId="3C6F0C70">
            <w:pPr>
              <w:spacing w:line="244" w:lineRule="auto"/>
              <w:rPr>
                <w:rFonts w:ascii="Arial"/>
                <w:sz w:val="21"/>
              </w:rPr>
            </w:pPr>
          </w:p>
          <w:p w14:paraId="7AF5C92C">
            <w:pPr>
              <w:spacing w:line="245" w:lineRule="auto"/>
              <w:rPr>
                <w:rFonts w:ascii="Arial"/>
                <w:sz w:val="21"/>
              </w:rPr>
            </w:pPr>
          </w:p>
          <w:p w14:paraId="0D45C1AA">
            <w:pPr>
              <w:spacing w:line="245" w:lineRule="auto"/>
              <w:rPr>
                <w:rFonts w:ascii="Arial"/>
                <w:sz w:val="21"/>
              </w:rPr>
            </w:pPr>
          </w:p>
          <w:p w14:paraId="0A32E1C0">
            <w:pPr>
              <w:spacing w:line="245" w:lineRule="auto"/>
              <w:rPr>
                <w:rFonts w:ascii="Arial"/>
                <w:sz w:val="21"/>
              </w:rPr>
            </w:pPr>
          </w:p>
          <w:p w14:paraId="1F37BD8D">
            <w:pPr>
              <w:spacing w:line="245" w:lineRule="auto"/>
              <w:rPr>
                <w:rFonts w:ascii="Arial"/>
                <w:sz w:val="21"/>
              </w:rPr>
            </w:pPr>
          </w:p>
          <w:p w14:paraId="4895E7D4">
            <w:pPr>
              <w:spacing w:line="245" w:lineRule="auto"/>
              <w:rPr>
                <w:rFonts w:ascii="Arial"/>
                <w:sz w:val="21"/>
              </w:rPr>
            </w:pPr>
          </w:p>
          <w:p w14:paraId="20278608">
            <w:pPr>
              <w:pStyle w:val="51"/>
              <w:spacing w:before="55" w:line="229" w:lineRule="exact"/>
              <w:ind w:left="156"/>
              <w:rPr>
                <w:sz w:val="17"/>
                <w:szCs w:val="17"/>
              </w:rPr>
            </w:pPr>
            <w:r>
              <w:rPr>
                <w:spacing w:val="-6"/>
                <w:position w:val="1"/>
                <w:sz w:val="17"/>
                <w:szCs w:val="17"/>
              </w:rPr>
              <w:t>12</w:t>
            </w:r>
          </w:p>
        </w:tc>
        <w:tc>
          <w:tcPr>
            <w:tcW w:w="942" w:type="dxa"/>
            <w:vMerge w:val="restart"/>
            <w:tcBorders>
              <w:bottom w:val="nil"/>
            </w:tcBorders>
            <w:vAlign w:val="top"/>
          </w:tcPr>
          <w:p w14:paraId="3DD78756">
            <w:pPr>
              <w:spacing w:line="260" w:lineRule="auto"/>
              <w:rPr>
                <w:rFonts w:ascii="Arial"/>
                <w:sz w:val="21"/>
              </w:rPr>
            </w:pPr>
          </w:p>
          <w:p w14:paraId="12106EA7">
            <w:pPr>
              <w:spacing w:line="260" w:lineRule="auto"/>
              <w:rPr>
                <w:rFonts w:ascii="Arial"/>
                <w:sz w:val="21"/>
              </w:rPr>
            </w:pPr>
          </w:p>
          <w:p w14:paraId="1F217BD0">
            <w:pPr>
              <w:spacing w:line="260" w:lineRule="auto"/>
              <w:rPr>
                <w:rFonts w:ascii="Arial"/>
                <w:sz w:val="21"/>
              </w:rPr>
            </w:pPr>
          </w:p>
          <w:p w14:paraId="6FC50964">
            <w:pPr>
              <w:spacing w:line="261" w:lineRule="auto"/>
              <w:rPr>
                <w:rFonts w:ascii="Arial"/>
                <w:sz w:val="21"/>
              </w:rPr>
            </w:pPr>
          </w:p>
          <w:p w14:paraId="57D703BC">
            <w:pPr>
              <w:spacing w:line="261" w:lineRule="auto"/>
              <w:rPr>
                <w:rFonts w:ascii="Arial"/>
                <w:sz w:val="21"/>
              </w:rPr>
            </w:pPr>
          </w:p>
          <w:p w14:paraId="33F2F3D7">
            <w:pPr>
              <w:spacing w:line="261" w:lineRule="auto"/>
              <w:rPr>
                <w:rFonts w:ascii="Arial"/>
                <w:sz w:val="21"/>
              </w:rPr>
            </w:pPr>
          </w:p>
          <w:p w14:paraId="1232B94E">
            <w:pPr>
              <w:pStyle w:val="51"/>
              <w:spacing w:before="55" w:line="326" w:lineRule="auto"/>
              <w:ind w:left="207" w:right="112" w:hanging="93"/>
              <w:rPr>
                <w:sz w:val="17"/>
                <w:szCs w:val="17"/>
              </w:rPr>
            </w:pPr>
            <w:r>
              <w:rPr>
                <w:spacing w:val="7"/>
                <w:sz w:val="17"/>
                <w:szCs w:val="17"/>
              </w:rPr>
              <w:t>薯类和膨</w:t>
            </w:r>
            <w:r>
              <w:rPr>
                <w:spacing w:val="5"/>
                <w:sz w:val="17"/>
                <w:szCs w:val="17"/>
              </w:rPr>
              <w:t>化食品</w:t>
            </w:r>
          </w:p>
        </w:tc>
        <w:tc>
          <w:tcPr>
            <w:tcW w:w="1360" w:type="dxa"/>
            <w:vMerge w:val="restart"/>
            <w:tcBorders>
              <w:bottom w:val="nil"/>
            </w:tcBorders>
            <w:vAlign w:val="top"/>
          </w:tcPr>
          <w:p w14:paraId="16C34FE4">
            <w:pPr>
              <w:spacing w:line="244" w:lineRule="auto"/>
              <w:rPr>
                <w:rFonts w:ascii="Arial"/>
                <w:sz w:val="21"/>
              </w:rPr>
            </w:pPr>
          </w:p>
          <w:p w14:paraId="188DE79B">
            <w:pPr>
              <w:spacing w:line="244" w:lineRule="auto"/>
              <w:rPr>
                <w:rFonts w:ascii="Arial"/>
                <w:sz w:val="21"/>
              </w:rPr>
            </w:pPr>
          </w:p>
          <w:p w14:paraId="3835BC4C">
            <w:pPr>
              <w:spacing w:line="245" w:lineRule="auto"/>
              <w:rPr>
                <w:rFonts w:ascii="Arial"/>
                <w:sz w:val="21"/>
              </w:rPr>
            </w:pPr>
          </w:p>
          <w:p w14:paraId="584F6F68">
            <w:pPr>
              <w:spacing w:line="245" w:lineRule="auto"/>
              <w:rPr>
                <w:rFonts w:ascii="Arial"/>
                <w:sz w:val="21"/>
              </w:rPr>
            </w:pPr>
          </w:p>
          <w:p w14:paraId="0E33F78F">
            <w:pPr>
              <w:spacing w:line="245" w:lineRule="auto"/>
              <w:rPr>
                <w:rFonts w:ascii="Arial"/>
                <w:sz w:val="21"/>
              </w:rPr>
            </w:pPr>
          </w:p>
          <w:p w14:paraId="296D45EE">
            <w:pPr>
              <w:spacing w:line="245" w:lineRule="auto"/>
              <w:rPr>
                <w:rFonts w:ascii="Arial"/>
                <w:sz w:val="21"/>
              </w:rPr>
            </w:pPr>
          </w:p>
          <w:p w14:paraId="0162D340">
            <w:pPr>
              <w:spacing w:line="245" w:lineRule="auto"/>
              <w:rPr>
                <w:rFonts w:ascii="Arial"/>
                <w:sz w:val="21"/>
              </w:rPr>
            </w:pPr>
          </w:p>
          <w:p w14:paraId="7C440B71">
            <w:pPr>
              <w:pStyle w:val="51"/>
              <w:spacing w:before="55" w:line="228" w:lineRule="auto"/>
              <w:ind w:left="53"/>
              <w:rPr>
                <w:sz w:val="17"/>
                <w:szCs w:val="17"/>
              </w:rPr>
            </w:pPr>
            <w:r>
              <w:rPr>
                <w:spacing w:val="8"/>
                <w:sz w:val="17"/>
                <w:szCs w:val="17"/>
              </w:rPr>
              <w:t>薯类和膨化食品</w:t>
            </w:r>
          </w:p>
        </w:tc>
        <w:tc>
          <w:tcPr>
            <w:tcW w:w="1581" w:type="dxa"/>
            <w:vAlign w:val="top"/>
          </w:tcPr>
          <w:p w14:paraId="3B1CFE0D">
            <w:pPr>
              <w:spacing w:line="332" w:lineRule="auto"/>
              <w:rPr>
                <w:rFonts w:ascii="Arial"/>
                <w:sz w:val="21"/>
              </w:rPr>
            </w:pPr>
          </w:p>
          <w:p w14:paraId="151ACA30">
            <w:pPr>
              <w:pStyle w:val="51"/>
              <w:spacing w:before="55" w:line="228" w:lineRule="auto"/>
              <w:ind w:left="437"/>
              <w:rPr>
                <w:sz w:val="17"/>
                <w:szCs w:val="17"/>
              </w:rPr>
            </w:pPr>
            <w:r>
              <w:rPr>
                <w:spacing w:val="7"/>
                <w:sz w:val="17"/>
                <w:szCs w:val="17"/>
              </w:rPr>
              <w:t>膨化食品</w:t>
            </w:r>
          </w:p>
        </w:tc>
        <w:tc>
          <w:tcPr>
            <w:tcW w:w="1586" w:type="dxa"/>
            <w:vAlign w:val="top"/>
          </w:tcPr>
          <w:p w14:paraId="2F1F278E">
            <w:pPr>
              <w:pStyle w:val="51"/>
              <w:spacing w:before="238" w:line="326" w:lineRule="auto"/>
              <w:ind w:left="86" w:right="71" w:hanging="4"/>
              <w:rPr>
                <w:sz w:val="17"/>
                <w:szCs w:val="17"/>
              </w:rPr>
            </w:pPr>
            <w:r>
              <w:rPr>
                <w:spacing w:val="8"/>
                <w:sz w:val="17"/>
                <w:szCs w:val="17"/>
              </w:rPr>
              <w:t>含油型膨化食品和</w:t>
            </w:r>
            <w:r>
              <w:rPr>
                <w:spacing w:val="7"/>
                <w:sz w:val="17"/>
                <w:szCs w:val="17"/>
              </w:rPr>
              <w:t>非含油型膨化食品</w:t>
            </w:r>
          </w:p>
        </w:tc>
        <w:tc>
          <w:tcPr>
            <w:tcW w:w="682" w:type="dxa"/>
            <w:vAlign w:val="top"/>
          </w:tcPr>
          <w:p w14:paraId="7F66B836">
            <w:pPr>
              <w:spacing w:line="332" w:lineRule="auto"/>
              <w:rPr>
                <w:rFonts w:ascii="Arial"/>
                <w:sz w:val="21"/>
              </w:rPr>
            </w:pPr>
          </w:p>
          <w:p w14:paraId="66717CC4">
            <w:pPr>
              <w:pStyle w:val="51"/>
              <w:spacing w:before="55" w:line="227" w:lineRule="auto"/>
              <w:ind w:left="170"/>
              <w:rPr>
                <w:sz w:val="17"/>
                <w:szCs w:val="17"/>
              </w:rPr>
            </w:pPr>
            <w:r>
              <w:rPr>
                <w:spacing w:val="3"/>
                <w:sz w:val="17"/>
                <w:szCs w:val="17"/>
              </w:rPr>
              <w:t>较高</w:t>
            </w:r>
          </w:p>
        </w:tc>
        <w:tc>
          <w:tcPr>
            <w:tcW w:w="8563" w:type="dxa"/>
            <w:vAlign w:val="top"/>
          </w:tcPr>
          <w:p w14:paraId="0E3D1EBD">
            <w:pPr>
              <w:pStyle w:val="51"/>
              <w:spacing w:before="90" w:line="291" w:lineRule="auto"/>
              <w:ind w:left="37" w:right="26"/>
              <w:jc w:val="both"/>
              <w:rPr>
                <w:sz w:val="17"/>
                <w:szCs w:val="17"/>
              </w:rPr>
            </w:pPr>
            <w:r>
              <w:rPr>
                <w:spacing w:val="7"/>
                <w:sz w:val="17"/>
                <w:szCs w:val="17"/>
              </w:rPr>
              <w:t>水分、酸价(以脂肪计)(</w:t>
            </w:r>
            <w:r>
              <w:rPr>
                <w:sz w:val="17"/>
                <w:szCs w:val="17"/>
              </w:rPr>
              <w:t>KOH</w:t>
            </w:r>
            <w:r>
              <w:rPr>
                <w:spacing w:val="7"/>
                <w:sz w:val="17"/>
                <w:szCs w:val="17"/>
              </w:rPr>
              <w:t>)、过氧化值(以脂肪计)、黄曲霉毒素B</w:t>
            </w:r>
            <w:r>
              <w:rPr>
                <w:spacing w:val="7"/>
                <w:position w:val="-2"/>
                <w:sz w:val="8"/>
                <w:szCs w:val="8"/>
              </w:rPr>
              <w:t>1</w:t>
            </w:r>
            <w:r>
              <w:rPr>
                <w:spacing w:val="-13"/>
                <w:position w:val="-2"/>
                <w:sz w:val="8"/>
                <w:szCs w:val="8"/>
              </w:rPr>
              <w:t xml:space="preserve"> </w:t>
            </w:r>
            <w:r>
              <w:rPr>
                <w:spacing w:val="7"/>
                <w:sz w:val="17"/>
                <w:szCs w:val="17"/>
              </w:rPr>
              <w:t>、糖精钠(以糖</w:t>
            </w:r>
            <w:r>
              <w:rPr>
                <w:spacing w:val="6"/>
                <w:sz w:val="17"/>
                <w:szCs w:val="17"/>
              </w:rPr>
              <w:t>精计)、甜蜜素(以环己基氨</w:t>
            </w:r>
            <w:r>
              <w:rPr>
                <w:spacing w:val="9"/>
                <w:sz w:val="17"/>
                <w:szCs w:val="17"/>
              </w:rPr>
              <w:t>基磺酸计)、纽甜、三氯蔗糖、合成着色剂(新红、苋菜</w:t>
            </w:r>
            <w:r>
              <w:rPr>
                <w:spacing w:val="8"/>
                <w:sz w:val="17"/>
                <w:szCs w:val="17"/>
              </w:rPr>
              <w:t>红、酸性红、喹啉黄)、菌落总数、大肠菌群、沙门氏菌、金黄色葡萄球菌</w:t>
            </w:r>
          </w:p>
        </w:tc>
      </w:tr>
      <w:tr w14:paraId="4D505B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459" w:type="dxa"/>
            <w:vMerge w:val="continue"/>
            <w:tcBorders>
              <w:top w:val="nil"/>
              <w:bottom w:val="nil"/>
            </w:tcBorders>
            <w:vAlign w:val="top"/>
          </w:tcPr>
          <w:p w14:paraId="23423929">
            <w:pPr>
              <w:rPr>
                <w:rFonts w:ascii="Arial"/>
                <w:sz w:val="21"/>
              </w:rPr>
            </w:pPr>
          </w:p>
        </w:tc>
        <w:tc>
          <w:tcPr>
            <w:tcW w:w="942" w:type="dxa"/>
            <w:vMerge w:val="continue"/>
            <w:tcBorders>
              <w:top w:val="nil"/>
              <w:bottom w:val="nil"/>
            </w:tcBorders>
            <w:vAlign w:val="top"/>
          </w:tcPr>
          <w:p w14:paraId="401E2963">
            <w:pPr>
              <w:rPr>
                <w:rFonts w:ascii="Arial"/>
                <w:sz w:val="21"/>
              </w:rPr>
            </w:pPr>
          </w:p>
        </w:tc>
        <w:tc>
          <w:tcPr>
            <w:tcW w:w="1360" w:type="dxa"/>
            <w:vMerge w:val="continue"/>
            <w:tcBorders>
              <w:top w:val="nil"/>
              <w:bottom w:val="nil"/>
            </w:tcBorders>
            <w:vAlign w:val="top"/>
          </w:tcPr>
          <w:p w14:paraId="45B52C6A">
            <w:pPr>
              <w:rPr>
                <w:rFonts w:ascii="Arial"/>
                <w:sz w:val="21"/>
              </w:rPr>
            </w:pPr>
          </w:p>
        </w:tc>
        <w:tc>
          <w:tcPr>
            <w:tcW w:w="1581" w:type="dxa"/>
            <w:vMerge w:val="restart"/>
            <w:tcBorders>
              <w:bottom w:val="nil"/>
            </w:tcBorders>
            <w:vAlign w:val="top"/>
          </w:tcPr>
          <w:p w14:paraId="7481CF4A">
            <w:pPr>
              <w:spacing w:line="252" w:lineRule="auto"/>
              <w:rPr>
                <w:rFonts w:ascii="Arial"/>
                <w:sz w:val="21"/>
              </w:rPr>
            </w:pPr>
          </w:p>
          <w:p w14:paraId="2485E4A4">
            <w:pPr>
              <w:spacing w:line="252" w:lineRule="auto"/>
              <w:rPr>
                <w:rFonts w:ascii="Arial"/>
                <w:sz w:val="21"/>
              </w:rPr>
            </w:pPr>
          </w:p>
          <w:p w14:paraId="27CFB989">
            <w:pPr>
              <w:spacing w:line="252" w:lineRule="auto"/>
              <w:rPr>
                <w:rFonts w:ascii="Arial"/>
                <w:sz w:val="21"/>
              </w:rPr>
            </w:pPr>
          </w:p>
          <w:p w14:paraId="02510713">
            <w:pPr>
              <w:spacing w:line="252" w:lineRule="auto"/>
              <w:rPr>
                <w:rFonts w:ascii="Arial"/>
                <w:sz w:val="21"/>
              </w:rPr>
            </w:pPr>
          </w:p>
          <w:p w14:paraId="261EC85E">
            <w:pPr>
              <w:spacing w:line="252" w:lineRule="auto"/>
              <w:rPr>
                <w:rFonts w:ascii="Arial"/>
                <w:sz w:val="21"/>
              </w:rPr>
            </w:pPr>
          </w:p>
          <w:p w14:paraId="739E3081">
            <w:pPr>
              <w:pStyle w:val="51"/>
              <w:spacing w:before="56" w:line="230" w:lineRule="auto"/>
              <w:ind w:left="436"/>
              <w:rPr>
                <w:sz w:val="17"/>
                <w:szCs w:val="17"/>
              </w:rPr>
            </w:pPr>
            <w:r>
              <w:rPr>
                <w:spacing w:val="7"/>
                <w:sz w:val="17"/>
                <w:szCs w:val="17"/>
              </w:rPr>
              <w:t>薯类食品</w:t>
            </w:r>
          </w:p>
        </w:tc>
        <w:tc>
          <w:tcPr>
            <w:tcW w:w="1586" w:type="dxa"/>
            <w:vAlign w:val="top"/>
          </w:tcPr>
          <w:p w14:paraId="33DF5575">
            <w:pPr>
              <w:pStyle w:val="51"/>
              <w:spacing w:before="239" w:line="227" w:lineRule="auto"/>
              <w:ind w:left="446"/>
              <w:rPr>
                <w:sz w:val="17"/>
                <w:szCs w:val="17"/>
              </w:rPr>
            </w:pPr>
            <w:r>
              <w:rPr>
                <w:spacing w:val="5"/>
                <w:sz w:val="17"/>
                <w:szCs w:val="17"/>
              </w:rPr>
              <w:t>干制薯类</w:t>
            </w:r>
          </w:p>
        </w:tc>
        <w:tc>
          <w:tcPr>
            <w:tcW w:w="682" w:type="dxa"/>
            <w:vAlign w:val="top"/>
          </w:tcPr>
          <w:p w14:paraId="13F81709">
            <w:pPr>
              <w:pStyle w:val="51"/>
              <w:spacing w:before="239" w:line="230" w:lineRule="auto"/>
              <w:ind w:left="173"/>
              <w:rPr>
                <w:sz w:val="17"/>
                <w:szCs w:val="17"/>
              </w:rPr>
            </w:pPr>
            <w:r>
              <w:rPr>
                <w:spacing w:val="2"/>
                <w:sz w:val="17"/>
                <w:szCs w:val="17"/>
              </w:rPr>
              <w:t>一般</w:t>
            </w:r>
          </w:p>
        </w:tc>
        <w:tc>
          <w:tcPr>
            <w:tcW w:w="8563" w:type="dxa"/>
            <w:vAlign w:val="top"/>
          </w:tcPr>
          <w:p w14:paraId="0748CB16">
            <w:pPr>
              <w:pStyle w:val="51"/>
              <w:spacing w:before="90" w:line="274" w:lineRule="auto"/>
              <w:ind w:left="40" w:right="26" w:hanging="3"/>
              <w:rPr>
                <w:sz w:val="17"/>
                <w:szCs w:val="17"/>
              </w:rPr>
            </w:pPr>
            <w:r>
              <w:rPr>
                <w:spacing w:val="9"/>
                <w:sz w:val="17"/>
                <w:szCs w:val="17"/>
              </w:rPr>
              <w:t>酸价(以脂肪计)(</w:t>
            </w:r>
            <w:r>
              <w:rPr>
                <w:sz w:val="17"/>
                <w:szCs w:val="17"/>
              </w:rPr>
              <w:t>KOH</w:t>
            </w:r>
            <w:r>
              <w:rPr>
                <w:spacing w:val="9"/>
                <w:sz w:val="17"/>
                <w:szCs w:val="17"/>
              </w:rPr>
              <w:t>)、过氧化值(以脂肪计)、铅(以</w:t>
            </w:r>
            <w:r>
              <w:rPr>
                <w:sz w:val="17"/>
                <w:szCs w:val="17"/>
              </w:rPr>
              <w:t>Pb</w:t>
            </w:r>
            <w:r>
              <w:rPr>
                <w:spacing w:val="8"/>
                <w:sz w:val="17"/>
                <w:szCs w:val="17"/>
              </w:rPr>
              <w:t>计)、菌落总数、大肠菌群、沙门氏菌、金黄色葡萄球菌、二氧化硫残留量</w:t>
            </w:r>
          </w:p>
        </w:tc>
      </w:tr>
      <w:tr w14:paraId="4A3D4B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459" w:type="dxa"/>
            <w:vMerge w:val="continue"/>
            <w:tcBorders>
              <w:top w:val="nil"/>
              <w:bottom w:val="nil"/>
            </w:tcBorders>
            <w:vAlign w:val="top"/>
          </w:tcPr>
          <w:p w14:paraId="5A13203B">
            <w:pPr>
              <w:rPr>
                <w:rFonts w:ascii="Arial"/>
                <w:sz w:val="21"/>
              </w:rPr>
            </w:pPr>
          </w:p>
        </w:tc>
        <w:tc>
          <w:tcPr>
            <w:tcW w:w="942" w:type="dxa"/>
            <w:vMerge w:val="continue"/>
            <w:tcBorders>
              <w:top w:val="nil"/>
              <w:bottom w:val="nil"/>
            </w:tcBorders>
            <w:vAlign w:val="top"/>
          </w:tcPr>
          <w:p w14:paraId="7B08B467">
            <w:pPr>
              <w:rPr>
                <w:rFonts w:ascii="Arial"/>
                <w:sz w:val="21"/>
              </w:rPr>
            </w:pPr>
          </w:p>
        </w:tc>
        <w:tc>
          <w:tcPr>
            <w:tcW w:w="1360" w:type="dxa"/>
            <w:vMerge w:val="continue"/>
            <w:tcBorders>
              <w:top w:val="nil"/>
              <w:bottom w:val="nil"/>
            </w:tcBorders>
            <w:vAlign w:val="top"/>
          </w:tcPr>
          <w:p w14:paraId="399D4385">
            <w:pPr>
              <w:rPr>
                <w:rFonts w:ascii="Arial"/>
                <w:sz w:val="21"/>
              </w:rPr>
            </w:pPr>
          </w:p>
        </w:tc>
        <w:tc>
          <w:tcPr>
            <w:tcW w:w="1581" w:type="dxa"/>
            <w:vMerge w:val="continue"/>
            <w:tcBorders>
              <w:top w:val="nil"/>
              <w:bottom w:val="nil"/>
            </w:tcBorders>
            <w:vAlign w:val="top"/>
          </w:tcPr>
          <w:p w14:paraId="14F087DF">
            <w:pPr>
              <w:rPr>
                <w:rFonts w:ascii="Arial"/>
                <w:sz w:val="21"/>
              </w:rPr>
            </w:pPr>
          </w:p>
        </w:tc>
        <w:tc>
          <w:tcPr>
            <w:tcW w:w="1586" w:type="dxa"/>
            <w:vAlign w:val="top"/>
          </w:tcPr>
          <w:p w14:paraId="5A9425EE">
            <w:pPr>
              <w:pStyle w:val="51"/>
              <w:spacing w:before="195" w:line="230" w:lineRule="auto"/>
              <w:ind w:left="443"/>
              <w:rPr>
                <w:sz w:val="17"/>
                <w:szCs w:val="17"/>
              </w:rPr>
            </w:pPr>
            <w:r>
              <w:rPr>
                <w:spacing w:val="6"/>
                <w:sz w:val="17"/>
                <w:szCs w:val="17"/>
              </w:rPr>
              <w:t>冷冻薯类</w:t>
            </w:r>
          </w:p>
        </w:tc>
        <w:tc>
          <w:tcPr>
            <w:tcW w:w="682" w:type="dxa"/>
            <w:vAlign w:val="top"/>
          </w:tcPr>
          <w:p w14:paraId="2CE64AEF">
            <w:pPr>
              <w:pStyle w:val="51"/>
              <w:spacing w:before="195" w:line="230" w:lineRule="auto"/>
              <w:ind w:left="173"/>
              <w:rPr>
                <w:sz w:val="17"/>
                <w:szCs w:val="17"/>
              </w:rPr>
            </w:pPr>
            <w:r>
              <w:rPr>
                <w:spacing w:val="2"/>
                <w:sz w:val="17"/>
                <w:szCs w:val="17"/>
              </w:rPr>
              <w:t>一般</w:t>
            </w:r>
          </w:p>
        </w:tc>
        <w:tc>
          <w:tcPr>
            <w:tcW w:w="8563" w:type="dxa"/>
            <w:vAlign w:val="top"/>
          </w:tcPr>
          <w:p w14:paraId="3774AEEB">
            <w:pPr>
              <w:pStyle w:val="51"/>
              <w:spacing w:before="195" w:line="228" w:lineRule="auto"/>
              <w:ind w:left="37"/>
              <w:rPr>
                <w:sz w:val="17"/>
                <w:szCs w:val="17"/>
              </w:rPr>
            </w:pPr>
            <w:r>
              <w:rPr>
                <w:spacing w:val="7"/>
                <w:sz w:val="17"/>
                <w:szCs w:val="17"/>
              </w:rPr>
              <w:t>铅(以</w:t>
            </w:r>
            <w:r>
              <w:rPr>
                <w:sz w:val="17"/>
                <w:szCs w:val="17"/>
              </w:rPr>
              <w:t>Pb</w:t>
            </w:r>
            <w:r>
              <w:rPr>
                <w:spacing w:val="7"/>
                <w:sz w:val="17"/>
                <w:szCs w:val="17"/>
              </w:rPr>
              <w:t>计)</w:t>
            </w:r>
          </w:p>
        </w:tc>
      </w:tr>
      <w:tr w14:paraId="6749F5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459" w:type="dxa"/>
            <w:vMerge w:val="continue"/>
            <w:tcBorders>
              <w:top w:val="nil"/>
              <w:bottom w:val="nil"/>
            </w:tcBorders>
            <w:vAlign w:val="top"/>
          </w:tcPr>
          <w:p w14:paraId="33D9133E">
            <w:pPr>
              <w:rPr>
                <w:rFonts w:ascii="Arial"/>
                <w:sz w:val="21"/>
              </w:rPr>
            </w:pPr>
          </w:p>
        </w:tc>
        <w:tc>
          <w:tcPr>
            <w:tcW w:w="942" w:type="dxa"/>
            <w:vMerge w:val="continue"/>
            <w:tcBorders>
              <w:top w:val="nil"/>
              <w:bottom w:val="nil"/>
            </w:tcBorders>
            <w:vAlign w:val="top"/>
          </w:tcPr>
          <w:p w14:paraId="3D9F6AFE">
            <w:pPr>
              <w:rPr>
                <w:rFonts w:ascii="Arial"/>
                <w:sz w:val="21"/>
              </w:rPr>
            </w:pPr>
          </w:p>
        </w:tc>
        <w:tc>
          <w:tcPr>
            <w:tcW w:w="1360" w:type="dxa"/>
            <w:vMerge w:val="continue"/>
            <w:tcBorders>
              <w:top w:val="nil"/>
              <w:bottom w:val="nil"/>
            </w:tcBorders>
            <w:vAlign w:val="top"/>
          </w:tcPr>
          <w:p w14:paraId="551C60E2">
            <w:pPr>
              <w:rPr>
                <w:rFonts w:ascii="Arial"/>
                <w:sz w:val="21"/>
              </w:rPr>
            </w:pPr>
          </w:p>
        </w:tc>
        <w:tc>
          <w:tcPr>
            <w:tcW w:w="1581" w:type="dxa"/>
            <w:vMerge w:val="continue"/>
            <w:tcBorders>
              <w:top w:val="nil"/>
              <w:bottom w:val="nil"/>
            </w:tcBorders>
            <w:vAlign w:val="top"/>
          </w:tcPr>
          <w:p w14:paraId="1C956B2D">
            <w:pPr>
              <w:rPr>
                <w:rFonts w:ascii="Arial"/>
                <w:sz w:val="21"/>
              </w:rPr>
            </w:pPr>
          </w:p>
        </w:tc>
        <w:tc>
          <w:tcPr>
            <w:tcW w:w="1586" w:type="dxa"/>
            <w:vAlign w:val="top"/>
          </w:tcPr>
          <w:p w14:paraId="6F110181">
            <w:pPr>
              <w:pStyle w:val="51"/>
              <w:spacing w:before="239" w:line="229" w:lineRule="auto"/>
              <w:ind w:left="350"/>
              <w:rPr>
                <w:sz w:val="17"/>
                <w:szCs w:val="17"/>
              </w:rPr>
            </w:pPr>
            <w:r>
              <w:rPr>
                <w:spacing w:val="6"/>
                <w:sz w:val="17"/>
                <w:szCs w:val="17"/>
              </w:rPr>
              <w:t>薯泥(酱)类</w:t>
            </w:r>
          </w:p>
        </w:tc>
        <w:tc>
          <w:tcPr>
            <w:tcW w:w="682" w:type="dxa"/>
            <w:vAlign w:val="top"/>
          </w:tcPr>
          <w:p w14:paraId="6009CB28">
            <w:pPr>
              <w:pStyle w:val="51"/>
              <w:spacing w:before="239" w:line="230" w:lineRule="auto"/>
              <w:ind w:left="173"/>
              <w:rPr>
                <w:sz w:val="17"/>
                <w:szCs w:val="17"/>
              </w:rPr>
            </w:pPr>
            <w:r>
              <w:rPr>
                <w:spacing w:val="2"/>
                <w:sz w:val="17"/>
                <w:szCs w:val="17"/>
              </w:rPr>
              <w:t>一般</w:t>
            </w:r>
          </w:p>
        </w:tc>
        <w:tc>
          <w:tcPr>
            <w:tcW w:w="8563" w:type="dxa"/>
            <w:vAlign w:val="top"/>
          </w:tcPr>
          <w:p w14:paraId="7BEC00C3">
            <w:pPr>
              <w:pStyle w:val="51"/>
              <w:spacing w:before="91" w:line="273" w:lineRule="auto"/>
              <w:ind w:left="40" w:right="89" w:hanging="3"/>
              <w:rPr>
                <w:sz w:val="17"/>
                <w:szCs w:val="17"/>
              </w:rPr>
            </w:pPr>
            <w:r>
              <w:rPr>
                <w:spacing w:val="9"/>
                <w:sz w:val="17"/>
                <w:szCs w:val="17"/>
              </w:rPr>
              <w:t>铅(以</w:t>
            </w:r>
            <w:r>
              <w:rPr>
                <w:sz w:val="17"/>
                <w:szCs w:val="17"/>
              </w:rPr>
              <w:t>Pb</w:t>
            </w:r>
            <w:r>
              <w:rPr>
                <w:spacing w:val="9"/>
                <w:sz w:val="17"/>
                <w:szCs w:val="17"/>
              </w:rPr>
              <w:t>计)、苯甲酸及其钠盐(以苯甲酸计)、山梨酸及其钾盐(以山梨酸计)、商业无菌、沙门氏菌、金</w:t>
            </w:r>
            <w:r>
              <w:rPr>
                <w:spacing w:val="8"/>
                <w:sz w:val="17"/>
                <w:szCs w:val="17"/>
              </w:rPr>
              <w:t>黄色</w:t>
            </w:r>
            <w:r>
              <w:rPr>
                <w:spacing w:val="6"/>
                <w:sz w:val="17"/>
                <w:szCs w:val="17"/>
              </w:rPr>
              <w:t>葡萄球菌</w:t>
            </w:r>
          </w:p>
        </w:tc>
      </w:tr>
      <w:tr w14:paraId="602900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459" w:type="dxa"/>
            <w:vMerge w:val="continue"/>
            <w:tcBorders>
              <w:top w:val="nil"/>
              <w:bottom w:val="nil"/>
            </w:tcBorders>
            <w:vAlign w:val="top"/>
          </w:tcPr>
          <w:p w14:paraId="51475EE7">
            <w:pPr>
              <w:rPr>
                <w:rFonts w:ascii="Arial"/>
                <w:sz w:val="21"/>
              </w:rPr>
            </w:pPr>
          </w:p>
        </w:tc>
        <w:tc>
          <w:tcPr>
            <w:tcW w:w="942" w:type="dxa"/>
            <w:vMerge w:val="continue"/>
            <w:tcBorders>
              <w:top w:val="nil"/>
              <w:bottom w:val="nil"/>
            </w:tcBorders>
            <w:vAlign w:val="top"/>
          </w:tcPr>
          <w:p w14:paraId="4B0CA7A4">
            <w:pPr>
              <w:rPr>
                <w:rFonts w:ascii="Arial"/>
                <w:sz w:val="21"/>
              </w:rPr>
            </w:pPr>
          </w:p>
        </w:tc>
        <w:tc>
          <w:tcPr>
            <w:tcW w:w="1360" w:type="dxa"/>
            <w:vMerge w:val="continue"/>
            <w:tcBorders>
              <w:top w:val="nil"/>
              <w:bottom w:val="nil"/>
            </w:tcBorders>
            <w:vAlign w:val="top"/>
          </w:tcPr>
          <w:p w14:paraId="23BC8C27">
            <w:pPr>
              <w:rPr>
                <w:rFonts w:ascii="Arial"/>
                <w:sz w:val="21"/>
              </w:rPr>
            </w:pPr>
          </w:p>
        </w:tc>
        <w:tc>
          <w:tcPr>
            <w:tcW w:w="1581" w:type="dxa"/>
            <w:vMerge w:val="continue"/>
            <w:tcBorders>
              <w:top w:val="nil"/>
              <w:bottom w:val="nil"/>
            </w:tcBorders>
            <w:vAlign w:val="top"/>
          </w:tcPr>
          <w:p w14:paraId="5608F31F">
            <w:pPr>
              <w:rPr>
                <w:rFonts w:ascii="Arial"/>
                <w:sz w:val="21"/>
              </w:rPr>
            </w:pPr>
          </w:p>
        </w:tc>
        <w:tc>
          <w:tcPr>
            <w:tcW w:w="1586" w:type="dxa"/>
            <w:vAlign w:val="top"/>
          </w:tcPr>
          <w:p w14:paraId="10266586">
            <w:pPr>
              <w:pStyle w:val="51"/>
              <w:spacing w:before="196" w:line="229" w:lineRule="auto"/>
              <w:ind w:left="530"/>
              <w:rPr>
                <w:sz w:val="17"/>
                <w:szCs w:val="17"/>
              </w:rPr>
            </w:pPr>
            <w:r>
              <w:rPr>
                <w:spacing w:val="6"/>
                <w:sz w:val="17"/>
                <w:szCs w:val="17"/>
              </w:rPr>
              <w:t>薯粉类</w:t>
            </w:r>
          </w:p>
        </w:tc>
        <w:tc>
          <w:tcPr>
            <w:tcW w:w="682" w:type="dxa"/>
            <w:vAlign w:val="top"/>
          </w:tcPr>
          <w:p w14:paraId="28FF4CD0">
            <w:pPr>
              <w:pStyle w:val="51"/>
              <w:spacing w:before="196" w:line="230" w:lineRule="auto"/>
              <w:ind w:left="173"/>
              <w:rPr>
                <w:sz w:val="17"/>
                <w:szCs w:val="17"/>
              </w:rPr>
            </w:pPr>
            <w:r>
              <w:rPr>
                <w:spacing w:val="2"/>
                <w:sz w:val="17"/>
                <w:szCs w:val="17"/>
              </w:rPr>
              <w:t>一般</w:t>
            </w:r>
          </w:p>
        </w:tc>
        <w:tc>
          <w:tcPr>
            <w:tcW w:w="8563" w:type="dxa"/>
            <w:vAlign w:val="top"/>
          </w:tcPr>
          <w:p w14:paraId="351797F7">
            <w:pPr>
              <w:pStyle w:val="51"/>
              <w:spacing w:before="196" w:line="228" w:lineRule="auto"/>
              <w:ind w:left="37"/>
              <w:rPr>
                <w:sz w:val="17"/>
                <w:szCs w:val="17"/>
              </w:rPr>
            </w:pPr>
            <w:r>
              <w:rPr>
                <w:spacing w:val="7"/>
                <w:sz w:val="17"/>
                <w:szCs w:val="17"/>
              </w:rPr>
              <w:t>铅(以</w:t>
            </w:r>
            <w:r>
              <w:rPr>
                <w:sz w:val="17"/>
                <w:szCs w:val="17"/>
              </w:rPr>
              <w:t>Pb</w:t>
            </w:r>
            <w:r>
              <w:rPr>
                <w:spacing w:val="7"/>
                <w:sz w:val="17"/>
                <w:szCs w:val="17"/>
              </w:rPr>
              <w:t>计)、二氧化硫残留量</w:t>
            </w:r>
          </w:p>
        </w:tc>
      </w:tr>
      <w:tr w14:paraId="4A366E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7" w:hRule="atLeast"/>
        </w:trPr>
        <w:tc>
          <w:tcPr>
            <w:tcW w:w="459" w:type="dxa"/>
            <w:vMerge w:val="continue"/>
            <w:tcBorders>
              <w:top w:val="nil"/>
            </w:tcBorders>
            <w:vAlign w:val="top"/>
          </w:tcPr>
          <w:p w14:paraId="462EFB28">
            <w:pPr>
              <w:rPr>
                <w:rFonts w:ascii="Arial"/>
                <w:sz w:val="21"/>
              </w:rPr>
            </w:pPr>
          </w:p>
        </w:tc>
        <w:tc>
          <w:tcPr>
            <w:tcW w:w="942" w:type="dxa"/>
            <w:vMerge w:val="continue"/>
            <w:tcBorders>
              <w:top w:val="nil"/>
            </w:tcBorders>
            <w:vAlign w:val="top"/>
          </w:tcPr>
          <w:p w14:paraId="532CFFC5">
            <w:pPr>
              <w:rPr>
                <w:rFonts w:ascii="Arial"/>
                <w:sz w:val="21"/>
              </w:rPr>
            </w:pPr>
          </w:p>
        </w:tc>
        <w:tc>
          <w:tcPr>
            <w:tcW w:w="1360" w:type="dxa"/>
            <w:vMerge w:val="continue"/>
            <w:tcBorders>
              <w:top w:val="nil"/>
            </w:tcBorders>
            <w:vAlign w:val="top"/>
          </w:tcPr>
          <w:p w14:paraId="05330D78">
            <w:pPr>
              <w:rPr>
                <w:rFonts w:ascii="Arial"/>
                <w:sz w:val="21"/>
              </w:rPr>
            </w:pPr>
          </w:p>
        </w:tc>
        <w:tc>
          <w:tcPr>
            <w:tcW w:w="1581" w:type="dxa"/>
            <w:vMerge w:val="continue"/>
            <w:tcBorders>
              <w:top w:val="nil"/>
            </w:tcBorders>
            <w:vAlign w:val="top"/>
          </w:tcPr>
          <w:p w14:paraId="18780384">
            <w:pPr>
              <w:rPr>
                <w:rFonts w:ascii="Arial"/>
                <w:sz w:val="21"/>
              </w:rPr>
            </w:pPr>
          </w:p>
        </w:tc>
        <w:tc>
          <w:tcPr>
            <w:tcW w:w="1586" w:type="dxa"/>
            <w:vAlign w:val="top"/>
          </w:tcPr>
          <w:p w14:paraId="77C8D591">
            <w:pPr>
              <w:pStyle w:val="51"/>
              <w:spacing w:before="195" w:line="227" w:lineRule="auto"/>
              <w:ind w:left="262"/>
              <w:rPr>
                <w:sz w:val="17"/>
                <w:szCs w:val="17"/>
              </w:rPr>
            </w:pPr>
            <w:r>
              <w:rPr>
                <w:spacing w:val="7"/>
                <w:sz w:val="17"/>
                <w:szCs w:val="17"/>
              </w:rPr>
              <w:t>其他薯类食品</w:t>
            </w:r>
          </w:p>
        </w:tc>
        <w:tc>
          <w:tcPr>
            <w:tcW w:w="682" w:type="dxa"/>
            <w:vAlign w:val="top"/>
          </w:tcPr>
          <w:p w14:paraId="35FB35AF">
            <w:pPr>
              <w:pStyle w:val="51"/>
              <w:spacing w:before="195" w:line="230" w:lineRule="auto"/>
              <w:ind w:left="173"/>
              <w:rPr>
                <w:sz w:val="17"/>
                <w:szCs w:val="17"/>
              </w:rPr>
            </w:pPr>
            <w:r>
              <w:rPr>
                <w:spacing w:val="2"/>
                <w:sz w:val="17"/>
                <w:szCs w:val="17"/>
              </w:rPr>
              <w:t>一般</w:t>
            </w:r>
          </w:p>
        </w:tc>
        <w:tc>
          <w:tcPr>
            <w:tcW w:w="8563" w:type="dxa"/>
            <w:vAlign w:val="top"/>
          </w:tcPr>
          <w:p w14:paraId="7986A0F0">
            <w:pPr>
              <w:pStyle w:val="51"/>
              <w:spacing w:before="195" w:line="227" w:lineRule="auto"/>
              <w:ind w:left="37"/>
              <w:rPr>
                <w:sz w:val="17"/>
                <w:szCs w:val="17"/>
              </w:rPr>
            </w:pPr>
            <w:r>
              <w:rPr>
                <w:spacing w:val="8"/>
                <w:sz w:val="17"/>
                <w:szCs w:val="17"/>
              </w:rPr>
              <w:t>铅(以</w:t>
            </w:r>
            <w:r>
              <w:rPr>
                <w:sz w:val="17"/>
                <w:szCs w:val="17"/>
              </w:rPr>
              <w:t>Pb</w:t>
            </w:r>
            <w:r>
              <w:rPr>
                <w:spacing w:val="8"/>
                <w:sz w:val="17"/>
                <w:szCs w:val="17"/>
              </w:rPr>
              <w:t>计)、沙门氏菌、金黄色葡萄球菌</w:t>
            </w:r>
          </w:p>
        </w:tc>
      </w:tr>
    </w:tbl>
    <w:p w14:paraId="4B82A599">
      <w:pPr>
        <w:rPr>
          <w:rFonts w:ascii="Arial"/>
          <w:sz w:val="21"/>
        </w:rPr>
      </w:pPr>
    </w:p>
    <w:p w14:paraId="7C2FC9D2">
      <w:pPr>
        <w:rPr>
          <w:rFonts w:ascii="Arial" w:hAnsi="Arial" w:eastAsia="Arial" w:cs="Arial"/>
          <w:sz w:val="21"/>
          <w:szCs w:val="21"/>
        </w:rPr>
        <w:sectPr>
          <w:pgSz w:w="16838" w:h="11906"/>
          <w:pgMar w:top="1011" w:right="829" w:bottom="400" w:left="366" w:header="567" w:footer="567" w:gutter="0"/>
          <w:pgNumType w:fmt="decimal"/>
          <w:cols w:space="720" w:num="1"/>
        </w:sectPr>
      </w:pPr>
    </w:p>
    <w:p w14:paraId="13CBAE7B">
      <w:pPr>
        <w:spacing w:before="18"/>
      </w:pPr>
    </w:p>
    <w:p w14:paraId="3341DF62">
      <w:pPr>
        <w:spacing w:before="18"/>
      </w:pPr>
    </w:p>
    <w:tbl>
      <w:tblPr>
        <w:tblStyle w:val="50"/>
        <w:tblW w:w="15173" w:type="dxa"/>
        <w:tblInd w:w="46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59"/>
        <w:gridCol w:w="942"/>
        <w:gridCol w:w="1360"/>
        <w:gridCol w:w="1581"/>
        <w:gridCol w:w="1586"/>
        <w:gridCol w:w="682"/>
        <w:gridCol w:w="8563"/>
      </w:tblGrid>
      <w:tr w14:paraId="48483C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459" w:type="dxa"/>
            <w:vAlign w:val="top"/>
          </w:tcPr>
          <w:p w14:paraId="6AAB5F69">
            <w:pPr>
              <w:spacing w:before="241" w:line="234" w:lineRule="auto"/>
              <w:ind w:left="52"/>
              <w:rPr>
                <w:rFonts w:ascii="黑体" w:hAnsi="黑体" w:eastAsia="黑体" w:cs="黑体"/>
                <w:sz w:val="17"/>
                <w:szCs w:val="17"/>
              </w:rPr>
            </w:pPr>
            <w:r>
              <w:rPr>
                <w:rFonts w:ascii="黑体" w:hAnsi="黑体" w:eastAsia="黑体" w:cs="黑体"/>
                <w:spacing w:val="6"/>
                <w:sz w:val="17"/>
                <w:szCs w:val="17"/>
              </w:rPr>
              <w:t>序号</w:t>
            </w:r>
          </w:p>
        </w:tc>
        <w:tc>
          <w:tcPr>
            <w:tcW w:w="942" w:type="dxa"/>
            <w:vAlign w:val="top"/>
          </w:tcPr>
          <w:p w14:paraId="24208AA0">
            <w:pPr>
              <w:spacing w:before="90" w:line="232" w:lineRule="auto"/>
              <w:ind w:left="111"/>
              <w:rPr>
                <w:rFonts w:ascii="黑体" w:hAnsi="黑体" w:eastAsia="黑体" w:cs="黑体"/>
                <w:sz w:val="17"/>
                <w:szCs w:val="17"/>
              </w:rPr>
            </w:pPr>
            <w:r>
              <w:rPr>
                <w:rFonts w:ascii="黑体" w:hAnsi="黑体" w:eastAsia="黑体" w:cs="黑体"/>
                <w:spacing w:val="8"/>
                <w:sz w:val="17"/>
                <w:szCs w:val="17"/>
              </w:rPr>
              <w:t>食品大类</w:t>
            </w:r>
          </w:p>
          <w:p w14:paraId="63F66ABA">
            <w:pPr>
              <w:spacing w:before="86" w:line="227" w:lineRule="auto"/>
              <w:ind w:left="237"/>
              <w:rPr>
                <w:rFonts w:ascii="黑体" w:hAnsi="黑体" w:eastAsia="黑体" w:cs="黑体"/>
                <w:sz w:val="17"/>
                <w:szCs w:val="17"/>
              </w:rPr>
            </w:pPr>
            <w:r>
              <w:rPr>
                <w:rFonts w:ascii="黑体" w:hAnsi="黑体" w:eastAsia="黑体" w:cs="黑体"/>
                <w:spacing w:val="-4"/>
                <w:sz w:val="17"/>
                <w:szCs w:val="17"/>
              </w:rPr>
              <w:t>(一级)</w:t>
            </w:r>
          </w:p>
        </w:tc>
        <w:tc>
          <w:tcPr>
            <w:tcW w:w="1360" w:type="dxa"/>
            <w:vAlign w:val="top"/>
          </w:tcPr>
          <w:p w14:paraId="43214390">
            <w:pPr>
              <w:spacing w:before="90" w:line="232" w:lineRule="auto"/>
              <w:ind w:left="321"/>
              <w:rPr>
                <w:rFonts w:ascii="黑体" w:hAnsi="黑体" w:eastAsia="黑体" w:cs="黑体"/>
                <w:sz w:val="17"/>
                <w:szCs w:val="17"/>
              </w:rPr>
            </w:pPr>
            <w:r>
              <w:rPr>
                <w:rFonts w:ascii="黑体" w:hAnsi="黑体" w:eastAsia="黑体" w:cs="黑体"/>
                <w:spacing w:val="8"/>
                <w:sz w:val="17"/>
                <w:szCs w:val="17"/>
              </w:rPr>
              <w:t>食品亚类</w:t>
            </w:r>
          </w:p>
          <w:p w14:paraId="26BC0964">
            <w:pPr>
              <w:spacing w:before="86" w:line="227" w:lineRule="auto"/>
              <w:ind w:left="444"/>
              <w:rPr>
                <w:rFonts w:ascii="黑体" w:hAnsi="黑体" w:eastAsia="黑体" w:cs="黑体"/>
                <w:sz w:val="17"/>
                <w:szCs w:val="17"/>
              </w:rPr>
            </w:pPr>
            <w:r>
              <w:rPr>
                <w:rFonts w:ascii="黑体" w:hAnsi="黑体" w:eastAsia="黑体" w:cs="黑体"/>
                <w:spacing w:val="-3"/>
                <w:sz w:val="17"/>
                <w:szCs w:val="17"/>
              </w:rPr>
              <w:t>(二级)</w:t>
            </w:r>
          </w:p>
        </w:tc>
        <w:tc>
          <w:tcPr>
            <w:tcW w:w="1581" w:type="dxa"/>
            <w:vAlign w:val="top"/>
          </w:tcPr>
          <w:p w14:paraId="50DEA52F">
            <w:pPr>
              <w:spacing w:before="90" w:line="232" w:lineRule="auto"/>
              <w:ind w:left="433"/>
              <w:rPr>
                <w:rFonts w:ascii="黑体" w:hAnsi="黑体" w:eastAsia="黑体" w:cs="黑体"/>
                <w:sz w:val="17"/>
                <w:szCs w:val="17"/>
              </w:rPr>
            </w:pPr>
            <w:r>
              <w:rPr>
                <w:rFonts w:ascii="黑体" w:hAnsi="黑体" w:eastAsia="黑体" w:cs="黑体"/>
                <w:spacing w:val="8"/>
                <w:sz w:val="17"/>
                <w:szCs w:val="17"/>
              </w:rPr>
              <w:t>食品品种</w:t>
            </w:r>
          </w:p>
          <w:p w14:paraId="16B81906">
            <w:pPr>
              <w:spacing w:before="86" w:line="227" w:lineRule="auto"/>
              <w:ind w:left="558"/>
              <w:rPr>
                <w:rFonts w:ascii="黑体" w:hAnsi="黑体" w:eastAsia="黑体" w:cs="黑体"/>
                <w:sz w:val="17"/>
                <w:szCs w:val="17"/>
              </w:rPr>
            </w:pPr>
            <w:r>
              <w:rPr>
                <w:rFonts w:ascii="黑体" w:hAnsi="黑体" w:eastAsia="黑体" w:cs="黑体"/>
                <w:spacing w:val="-4"/>
                <w:sz w:val="17"/>
                <w:szCs w:val="17"/>
              </w:rPr>
              <w:t>(三级)</w:t>
            </w:r>
          </w:p>
        </w:tc>
        <w:tc>
          <w:tcPr>
            <w:tcW w:w="1586" w:type="dxa"/>
            <w:vAlign w:val="top"/>
          </w:tcPr>
          <w:p w14:paraId="091EAD54">
            <w:pPr>
              <w:spacing w:before="90" w:line="232" w:lineRule="auto"/>
              <w:ind w:left="436"/>
              <w:rPr>
                <w:rFonts w:ascii="黑体" w:hAnsi="黑体" w:eastAsia="黑体" w:cs="黑体"/>
                <w:sz w:val="17"/>
                <w:szCs w:val="17"/>
              </w:rPr>
            </w:pPr>
            <w:r>
              <w:rPr>
                <w:rFonts w:ascii="黑体" w:hAnsi="黑体" w:eastAsia="黑体" w:cs="黑体"/>
                <w:spacing w:val="8"/>
                <w:sz w:val="17"/>
                <w:szCs w:val="17"/>
              </w:rPr>
              <w:t>食品细类</w:t>
            </w:r>
          </w:p>
          <w:p w14:paraId="323372A3">
            <w:pPr>
              <w:spacing w:before="86" w:line="227" w:lineRule="auto"/>
              <w:ind w:left="561"/>
              <w:rPr>
                <w:rFonts w:ascii="黑体" w:hAnsi="黑体" w:eastAsia="黑体" w:cs="黑体"/>
                <w:sz w:val="17"/>
                <w:szCs w:val="17"/>
              </w:rPr>
            </w:pPr>
            <w:r>
              <w:rPr>
                <w:rFonts w:ascii="黑体" w:hAnsi="黑体" w:eastAsia="黑体" w:cs="黑体"/>
                <w:spacing w:val="-4"/>
                <w:sz w:val="17"/>
                <w:szCs w:val="17"/>
              </w:rPr>
              <w:t>(四级)</w:t>
            </w:r>
          </w:p>
        </w:tc>
        <w:tc>
          <w:tcPr>
            <w:tcW w:w="682" w:type="dxa"/>
            <w:vAlign w:val="top"/>
          </w:tcPr>
          <w:p w14:paraId="2151DAF6">
            <w:pPr>
              <w:spacing w:before="89" w:line="233" w:lineRule="auto"/>
              <w:ind w:left="166"/>
              <w:rPr>
                <w:rFonts w:ascii="黑体" w:hAnsi="黑体" w:eastAsia="黑体" w:cs="黑体"/>
                <w:sz w:val="17"/>
                <w:szCs w:val="17"/>
              </w:rPr>
            </w:pPr>
            <w:r>
              <w:rPr>
                <w:rFonts w:ascii="黑体" w:hAnsi="黑体" w:eastAsia="黑体" w:cs="黑体"/>
                <w:spacing w:val="6"/>
                <w:sz w:val="17"/>
                <w:szCs w:val="17"/>
              </w:rPr>
              <w:t>风险</w:t>
            </w:r>
          </w:p>
          <w:p w14:paraId="73B510CE">
            <w:pPr>
              <w:spacing w:before="85" w:line="227" w:lineRule="auto"/>
              <w:ind w:left="163"/>
              <w:rPr>
                <w:rFonts w:ascii="黑体" w:hAnsi="黑体" w:eastAsia="黑体" w:cs="黑体"/>
                <w:sz w:val="17"/>
                <w:szCs w:val="17"/>
              </w:rPr>
            </w:pPr>
            <w:r>
              <w:rPr>
                <w:rFonts w:ascii="黑体" w:hAnsi="黑体" w:eastAsia="黑体" w:cs="黑体"/>
                <w:spacing w:val="7"/>
                <w:sz w:val="17"/>
                <w:szCs w:val="17"/>
              </w:rPr>
              <w:t>等级</w:t>
            </w:r>
          </w:p>
        </w:tc>
        <w:tc>
          <w:tcPr>
            <w:tcW w:w="8563" w:type="dxa"/>
            <w:vAlign w:val="top"/>
          </w:tcPr>
          <w:p w14:paraId="165D89C5">
            <w:pPr>
              <w:spacing w:before="241" w:line="232" w:lineRule="auto"/>
              <w:ind w:left="3744"/>
              <w:rPr>
                <w:rFonts w:ascii="黑体" w:hAnsi="黑体" w:eastAsia="黑体" w:cs="黑体"/>
                <w:sz w:val="17"/>
                <w:szCs w:val="17"/>
              </w:rPr>
            </w:pPr>
            <w:r>
              <w:rPr>
                <w:rFonts w:ascii="黑体" w:hAnsi="黑体" w:eastAsia="黑体" w:cs="黑体"/>
                <w:spacing w:val="8"/>
                <w:sz w:val="17"/>
                <w:szCs w:val="17"/>
              </w:rPr>
              <w:t>监督抽检项目</w:t>
            </w:r>
          </w:p>
        </w:tc>
      </w:tr>
      <w:tr w14:paraId="5A1BB9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8" w:hRule="atLeast"/>
        </w:trPr>
        <w:tc>
          <w:tcPr>
            <w:tcW w:w="459" w:type="dxa"/>
            <w:vMerge w:val="restart"/>
            <w:tcBorders>
              <w:bottom w:val="nil"/>
            </w:tcBorders>
            <w:vAlign w:val="top"/>
          </w:tcPr>
          <w:p w14:paraId="2B08CC7C">
            <w:pPr>
              <w:spacing w:line="269" w:lineRule="auto"/>
              <w:rPr>
                <w:rFonts w:ascii="Arial"/>
                <w:sz w:val="21"/>
              </w:rPr>
            </w:pPr>
          </w:p>
          <w:p w14:paraId="3F159C14">
            <w:pPr>
              <w:spacing w:line="269" w:lineRule="auto"/>
              <w:rPr>
                <w:rFonts w:ascii="Arial"/>
                <w:sz w:val="21"/>
              </w:rPr>
            </w:pPr>
          </w:p>
          <w:p w14:paraId="3170BB02">
            <w:pPr>
              <w:spacing w:line="269" w:lineRule="auto"/>
              <w:rPr>
                <w:rFonts w:ascii="Arial"/>
                <w:sz w:val="21"/>
              </w:rPr>
            </w:pPr>
          </w:p>
          <w:p w14:paraId="57D488A7">
            <w:pPr>
              <w:spacing w:line="269" w:lineRule="auto"/>
              <w:rPr>
                <w:rFonts w:ascii="Arial"/>
                <w:sz w:val="21"/>
              </w:rPr>
            </w:pPr>
          </w:p>
          <w:p w14:paraId="0603EF78">
            <w:pPr>
              <w:spacing w:line="269" w:lineRule="auto"/>
              <w:rPr>
                <w:rFonts w:ascii="Arial"/>
                <w:sz w:val="21"/>
              </w:rPr>
            </w:pPr>
          </w:p>
          <w:p w14:paraId="3E270D19">
            <w:pPr>
              <w:spacing w:line="269" w:lineRule="auto"/>
              <w:rPr>
                <w:rFonts w:ascii="Arial"/>
                <w:sz w:val="21"/>
              </w:rPr>
            </w:pPr>
          </w:p>
          <w:p w14:paraId="79D0631A">
            <w:pPr>
              <w:pStyle w:val="51"/>
              <w:spacing w:before="56" w:line="227" w:lineRule="exact"/>
              <w:ind w:left="156"/>
              <w:rPr>
                <w:sz w:val="17"/>
                <w:szCs w:val="17"/>
              </w:rPr>
            </w:pPr>
            <w:r>
              <w:rPr>
                <w:spacing w:val="-6"/>
                <w:position w:val="1"/>
                <w:sz w:val="17"/>
                <w:szCs w:val="17"/>
              </w:rPr>
              <w:t>13</w:t>
            </w:r>
          </w:p>
        </w:tc>
        <w:tc>
          <w:tcPr>
            <w:tcW w:w="942" w:type="dxa"/>
            <w:vMerge w:val="restart"/>
            <w:tcBorders>
              <w:bottom w:val="nil"/>
            </w:tcBorders>
            <w:vAlign w:val="top"/>
          </w:tcPr>
          <w:p w14:paraId="2D6C332B">
            <w:pPr>
              <w:spacing w:line="269" w:lineRule="auto"/>
              <w:rPr>
                <w:rFonts w:ascii="Arial"/>
                <w:sz w:val="21"/>
              </w:rPr>
            </w:pPr>
          </w:p>
          <w:p w14:paraId="2EDC6891">
            <w:pPr>
              <w:spacing w:line="269" w:lineRule="auto"/>
              <w:rPr>
                <w:rFonts w:ascii="Arial"/>
                <w:sz w:val="21"/>
              </w:rPr>
            </w:pPr>
          </w:p>
          <w:p w14:paraId="04D66493">
            <w:pPr>
              <w:spacing w:line="269" w:lineRule="auto"/>
              <w:rPr>
                <w:rFonts w:ascii="Arial"/>
                <w:sz w:val="21"/>
              </w:rPr>
            </w:pPr>
          </w:p>
          <w:p w14:paraId="10C45E91">
            <w:pPr>
              <w:spacing w:line="269" w:lineRule="auto"/>
              <w:rPr>
                <w:rFonts w:ascii="Arial"/>
                <w:sz w:val="21"/>
              </w:rPr>
            </w:pPr>
          </w:p>
          <w:p w14:paraId="5341B5A4">
            <w:pPr>
              <w:spacing w:line="269" w:lineRule="auto"/>
              <w:rPr>
                <w:rFonts w:ascii="Arial"/>
                <w:sz w:val="21"/>
              </w:rPr>
            </w:pPr>
          </w:p>
          <w:p w14:paraId="232A9CF2">
            <w:pPr>
              <w:spacing w:line="270" w:lineRule="auto"/>
              <w:rPr>
                <w:rFonts w:ascii="Arial"/>
                <w:sz w:val="21"/>
              </w:rPr>
            </w:pPr>
          </w:p>
          <w:p w14:paraId="6CEF9B37">
            <w:pPr>
              <w:pStyle w:val="51"/>
              <w:spacing w:before="55" w:line="227" w:lineRule="auto"/>
              <w:ind w:left="117"/>
              <w:rPr>
                <w:sz w:val="17"/>
                <w:szCs w:val="17"/>
              </w:rPr>
            </w:pPr>
            <w:r>
              <w:rPr>
                <w:spacing w:val="6"/>
                <w:sz w:val="17"/>
                <w:szCs w:val="17"/>
              </w:rPr>
              <w:t>糖果制品</w:t>
            </w:r>
          </w:p>
        </w:tc>
        <w:tc>
          <w:tcPr>
            <w:tcW w:w="1360" w:type="dxa"/>
            <w:vMerge w:val="restart"/>
            <w:tcBorders>
              <w:bottom w:val="nil"/>
            </w:tcBorders>
            <w:vAlign w:val="top"/>
          </w:tcPr>
          <w:p w14:paraId="7E9D6EDD">
            <w:pPr>
              <w:spacing w:line="244" w:lineRule="auto"/>
              <w:rPr>
                <w:rFonts w:ascii="Arial"/>
                <w:sz w:val="21"/>
              </w:rPr>
            </w:pPr>
          </w:p>
          <w:p w14:paraId="0858079D">
            <w:pPr>
              <w:spacing w:line="244" w:lineRule="auto"/>
              <w:rPr>
                <w:rFonts w:ascii="Arial"/>
                <w:sz w:val="21"/>
              </w:rPr>
            </w:pPr>
          </w:p>
          <w:p w14:paraId="6E45C14D">
            <w:pPr>
              <w:spacing w:line="244" w:lineRule="auto"/>
              <w:rPr>
                <w:rFonts w:ascii="Arial"/>
                <w:sz w:val="21"/>
              </w:rPr>
            </w:pPr>
          </w:p>
          <w:p w14:paraId="2F1EBE25">
            <w:pPr>
              <w:spacing w:line="244" w:lineRule="auto"/>
              <w:rPr>
                <w:rFonts w:ascii="Arial"/>
                <w:sz w:val="21"/>
              </w:rPr>
            </w:pPr>
          </w:p>
          <w:p w14:paraId="09F7110E">
            <w:pPr>
              <w:spacing w:line="245" w:lineRule="auto"/>
              <w:rPr>
                <w:rFonts w:ascii="Arial"/>
                <w:sz w:val="21"/>
              </w:rPr>
            </w:pPr>
          </w:p>
          <w:p w14:paraId="2440FC26">
            <w:pPr>
              <w:spacing w:line="245" w:lineRule="auto"/>
              <w:rPr>
                <w:rFonts w:ascii="Arial"/>
                <w:sz w:val="21"/>
              </w:rPr>
            </w:pPr>
          </w:p>
          <w:p w14:paraId="481CD0DF">
            <w:pPr>
              <w:pStyle w:val="51"/>
              <w:spacing w:before="56" w:line="326" w:lineRule="auto"/>
              <w:ind w:left="196" w:right="94" w:hanging="95"/>
              <w:rPr>
                <w:sz w:val="17"/>
                <w:szCs w:val="17"/>
              </w:rPr>
            </w:pPr>
            <w:r>
              <w:rPr>
                <w:spacing w:val="2"/>
                <w:sz w:val="17"/>
                <w:szCs w:val="17"/>
              </w:rPr>
              <w:t>糖果制品</w:t>
            </w:r>
            <w:r>
              <w:rPr>
                <w:spacing w:val="-47"/>
                <w:sz w:val="17"/>
                <w:szCs w:val="17"/>
              </w:rPr>
              <w:t xml:space="preserve"> </w:t>
            </w:r>
            <w:r>
              <w:rPr>
                <w:spacing w:val="2"/>
                <w:sz w:val="17"/>
                <w:szCs w:val="17"/>
              </w:rPr>
              <w:t>(含巧</w:t>
            </w:r>
            <w:r>
              <w:rPr>
                <w:spacing w:val="6"/>
                <w:sz w:val="17"/>
                <w:szCs w:val="17"/>
              </w:rPr>
              <w:t>克力及制品)</w:t>
            </w:r>
          </w:p>
        </w:tc>
        <w:tc>
          <w:tcPr>
            <w:tcW w:w="1581" w:type="dxa"/>
            <w:vAlign w:val="top"/>
          </w:tcPr>
          <w:p w14:paraId="55E7F508">
            <w:pPr>
              <w:spacing w:line="446" w:lineRule="auto"/>
              <w:rPr>
                <w:rFonts w:ascii="Arial"/>
                <w:sz w:val="21"/>
              </w:rPr>
            </w:pPr>
          </w:p>
          <w:p w14:paraId="1A2974FA">
            <w:pPr>
              <w:pStyle w:val="51"/>
              <w:spacing w:before="55" w:line="228" w:lineRule="auto"/>
              <w:ind w:left="618"/>
              <w:rPr>
                <w:sz w:val="17"/>
                <w:szCs w:val="17"/>
              </w:rPr>
            </w:pPr>
            <w:r>
              <w:rPr>
                <w:spacing w:val="3"/>
                <w:sz w:val="17"/>
                <w:szCs w:val="17"/>
              </w:rPr>
              <w:t>糖果</w:t>
            </w:r>
          </w:p>
        </w:tc>
        <w:tc>
          <w:tcPr>
            <w:tcW w:w="1586" w:type="dxa"/>
            <w:vAlign w:val="top"/>
          </w:tcPr>
          <w:p w14:paraId="654E26CF">
            <w:pPr>
              <w:spacing w:line="446" w:lineRule="auto"/>
              <w:rPr>
                <w:rFonts w:ascii="Arial"/>
                <w:sz w:val="21"/>
              </w:rPr>
            </w:pPr>
          </w:p>
          <w:p w14:paraId="376DEE37">
            <w:pPr>
              <w:pStyle w:val="51"/>
              <w:spacing w:before="55" w:line="228" w:lineRule="auto"/>
              <w:ind w:left="621"/>
              <w:rPr>
                <w:sz w:val="17"/>
                <w:szCs w:val="17"/>
              </w:rPr>
            </w:pPr>
            <w:r>
              <w:rPr>
                <w:spacing w:val="3"/>
                <w:sz w:val="17"/>
                <w:szCs w:val="17"/>
              </w:rPr>
              <w:t>糖果</w:t>
            </w:r>
          </w:p>
        </w:tc>
        <w:tc>
          <w:tcPr>
            <w:tcW w:w="682" w:type="dxa"/>
            <w:vAlign w:val="top"/>
          </w:tcPr>
          <w:p w14:paraId="7AADCE06">
            <w:pPr>
              <w:spacing w:line="446" w:lineRule="auto"/>
              <w:rPr>
                <w:rFonts w:ascii="Arial"/>
                <w:sz w:val="21"/>
              </w:rPr>
            </w:pPr>
          </w:p>
          <w:p w14:paraId="4C77AF5A">
            <w:pPr>
              <w:pStyle w:val="51"/>
              <w:spacing w:before="55" w:line="230" w:lineRule="auto"/>
              <w:ind w:left="173"/>
              <w:rPr>
                <w:sz w:val="17"/>
                <w:szCs w:val="17"/>
              </w:rPr>
            </w:pPr>
            <w:r>
              <w:rPr>
                <w:spacing w:val="2"/>
                <w:sz w:val="17"/>
                <w:szCs w:val="17"/>
              </w:rPr>
              <w:t>一般</w:t>
            </w:r>
          </w:p>
        </w:tc>
        <w:tc>
          <w:tcPr>
            <w:tcW w:w="8563" w:type="dxa"/>
            <w:vAlign w:val="top"/>
          </w:tcPr>
          <w:p w14:paraId="4FF58378">
            <w:pPr>
              <w:pStyle w:val="51"/>
              <w:spacing w:before="100" w:line="279" w:lineRule="auto"/>
              <w:ind w:left="37"/>
              <w:jc w:val="both"/>
              <w:rPr>
                <w:sz w:val="17"/>
                <w:szCs w:val="17"/>
              </w:rPr>
            </w:pPr>
            <w:r>
              <w:rPr>
                <w:spacing w:val="6"/>
                <w:sz w:val="17"/>
                <w:szCs w:val="17"/>
              </w:rPr>
              <w:t>铅(以</w:t>
            </w:r>
            <w:r>
              <w:rPr>
                <w:sz w:val="17"/>
                <w:szCs w:val="17"/>
              </w:rPr>
              <w:t>Pb</w:t>
            </w:r>
            <w:r>
              <w:rPr>
                <w:spacing w:val="6"/>
                <w:sz w:val="17"/>
                <w:szCs w:val="17"/>
              </w:rPr>
              <w:t>计)、糖精钠(以糖精计)、甜蜜素</w:t>
            </w:r>
            <w:r>
              <w:rPr>
                <w:spacing w:val="5"/>
                <w:sz w:val="17"/>
                <w:szCs w:val="17"/>
              </w:rPr>
              <w:t>(以环己基氨基磺酸计)、合成着色剂(柠檬黄、新红、苋菜红、靛蓝、</w:t>
            </w:r>
            <w:r>
              <w:rPr>
                <w:spacing w:val="7"/>
                <w:sz w:val="17"/>
                <w:szCs w:val="17"/>
              </w:rPr>
              <w:t>胭脂红、</w:t>
            </w:r>
            <w:r>
              <w:rPr>
                <w:spacing w:val="-32"/>
                <w:sz w:val="17"/>
                <w:szCs w:val="17"/>
              </w:rPr>
              <w:t xml:space="preserve"> </w:t>
            </w:r>
            <w:r>
              <w:rPr>
                <w:spacing w:val="7"/>
                <w:sz w:val="17"/>
                <w:szCs w:val="17"/>
              </w:rPr>
              <w:t>日落黄、诱惑红、亮蓝、酸性红、喹啉黄、赤藓红)、相同色泽着色剂混合使用时各自用量占其最大</w:t>
            </w:r>
            <w:r>
              <w:rPr>
                <w:spacing w:val="10"/>
                <w:sz w:val="17"/>
                <w:szCs w:val="17"/>
              </w:rPr>
              <w:t>使用量的比例之和、二氧化硫残留量、菌落总数、大肠菌群、西地那非、他达拉非、酚丁、双酚沙丁、双丙</w:t>
            </w:r>
            <w:r>
              <w:rPr>
                <w:spacing w:val="8"/>
                <w:sz w:val="17"/>
                <w:szCs w:val="17"/>
              </w:rPr>
              <w:t>酚丁、脱乙酰比沙可啶</w:t>
            </w:r>
          </w:p>
        </w:tc>
      </w:tr>
      <w:tr w14:paraId="3BA148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trPr>
        <w:tc>
          <w:tcPr>
            <w:tcW w:w="459" w:type="dxa"/>
            <w:vMerge w:val="continue"/>
            <w:tcBorders>
              <w:top w:val="nil"/>
              <w:bottom w:val="nil"/>
            </w:tcBorders>
            <w:vAlign w:val="top"/>
          </w:tcPr>
          <w:p w14:paraId="2D063E24">
            <w:pPr>
              <w:rPr>
                <w:rFonts w:ascii="Arial"/>
                <w:sz w:val="21"/>
              </w:rPr>
            </w:pPr>
          </w:p>
        </w:tc>
        <w:tc>
          <w:tcPr>
            <w:tcW w:w="942" w:type="dxa"/>
            <w:vMerge w:val="continue"/>
            <w:tcBorders>
              <w:top w:val="nil"/>
              <w:bottom w:val="nil"/>
            </w:tcBorders>
            <w:vAlign w:val="top"/>
          </w:tcPr>
          <w:p w14:paraId="40F64B66">
            <w:pPr>
              <w:rPr>
                <w:rFonts w:ascii="Arial"/>
                <w:sz w:val="21"/>
              </w:rPr>
            </w:pPr>
          </w:p>
        </w:tc>
        <w:tc>
          <w:tcPr>
            <w:tcW w:w="1360" w:type="dxa"/>
            <w:vMerge w:val="continue"/>
            <w:tcBorders>
              <w:top w:val="nil"/>
              <w:bottom w:val="nil"/>
            </w:tcBorders>
            <w:vAlign w:val="top"/>
          </w:tcPr>
          <w:p w14:paraId="79DAD6AF">
            <w:pPr>
              <w:rPr>
                <w:rFonts w:ascii="Arial"/>
                <w:sz w:val="21"/>
              </w:rPr>
            </w:pPr>
          </w:p>
        </w:tc>
        <w:tc>
          <w:tcPr>
            <w:tcW w:w="1581" w:type="dxa"/>
            <w:vAlign w:val="top"/>
          </w:tcPr>
          <w:p w14:paraId="261E895F">
            <w:pPr>
              <w:spacing w:line="331" w:lineRule="auto"/>
              <w:rPr>
                <w:rFonts w:ascii="Arial"/>
                <w:sz w:val="21"/>
              </w:rPr>
            </w:pPr>
          </w:p>
          <w:p w14:paraId="2C09BE11">
            <w:pPr>
              <w:pStyle w:val="51"/>
              <w:spacing w:before="55" w:line="227" w:lineRule="auto"/>
              <w:ind w:left="77"/>
              <w:rPr>
                <w:sz w:val="17"/>
                <w:szCs w:val="17"/>
              </w:rPr>
            </w:pPr>
            <w:r>
              <w:rPr>
                <w:spacing w:val="8"/>
                <w:sz w:val="17"/>
                <w:szCs w:val="17"/>
              </w:rPr>
              <w:t>巧克力及巧克力制</w:t>
            </w:r>
          </w:p>
          <w:p w14:paraId="10291ED7">
            <w:pPr>
              <w:pStyle w:val="51"/>
              <w:spacing w:before="90" w:line="241" w:lineRule="auto"/>
              <w:ind w:left="729"/>
              <w:rPr>
                <w:sz w:val="17"/>
                <w:szCs w:val="17"/>
              </w:rPr>
            </w:pPr>
            <w:r>
              <w:rPr>
                <w:sz w:val="17"/>
                <w:szCs w:val="17"/>
              </w:rPr>
              <w:t>品</w:t>
            </w:r>
          </w:p>
        </w:tc>
        <w:tc>
          <w:tcPr>
            <w:tcW w:w="1586" w:type="dxa"/>
            <w:vAlign w:val="top"/>
          </w:tcPr>
          <w:p w14:paraId="0E4C52D0">
            <w:pPr>
              <w:pStyle w:val="51"/>
              <w:spacing w:before="88" w:line="227" w:lineRule="auto"/>
              <w:ind w:left="80"/>
              <w:rPr>
                <w:sz w:val="17"/>
                <w:szCs w:val="17"/>
              </w:rPr>
            </w:pPr>
            <w:r>
              <w:rPr>
                <w:spacing w:val="8"/>
                <w:sz w:val="17"/>
                <w:szCs w:val="17"/>
              </w:rPr>
              <w:t>巧克力、巧克力制</w:t>
            </w:r>
          </w:p>
          <w:p w14:paraId="5958321B">
            <w:pPr>
              <w:pStyle w:val="51"/>
              <w:spacing w:before="90" w:line="229" w:lineRule="auto"/>
              <w:ind w:left="55"/>
              <w:rPr>
                <w:sz w:val="17"/>
                <w:szCs w:val="17"/>
              </w:rPr>
            </w:pPr>
            <w:r>
              <w:rPr>
                <w:spacing w:val="-4"/>
                <w:sz w:val="17"/>
                <w:szCs w:val="17"/>
              </w:rPr>
              <w:t>品、代可可脂巧克力</w:t>
            </w:r>
          </w:p>
          <w:p w14:paraId="3AC26BF3">
            <w:pPr>
              <w:pStyle w:val="51"/>
              <w:spacing w:before="89" w:line="229" w:lineRule="auto"/>
              <w:ind w:left="83"/>
              <w:rPr>
                <w:sz w:val="17"/>
                <w:szCs w:val="17"/>
              </w:rPr>
            </w:pPr>
            <w:r>
              <w:rPr>
                <w:spacing w:val="8"/>
                <w:sz w:val="17"/>
                <w:szCs w:val="17"/>
              </w:rPr>
              <w:t>及代可可脂巧克力</w:t>
            </w:r>
          </w:p>
          <w:p w14:paraId="21A765E0">
            <w:pPr>
              <w:pStyle w:val="51"/>
              <w:spacing w:before="89" w:line="223" w:lineRule="auto"/>
              <w:ind w:left="621"/>
              <w:rPr>
                <w:sz w:val="17"/>
                <w:szCs w:val="17"/>
              </w:rPr>
            </w:pPr>
            <w:r>
              <w:rPr>
                <w:spacing w:val="3"/>
                <w:sz w:val="17"/>
                <w:szCs w:val="17"/>
              </w:rPr>
              <w:t>制品</w:t>
            </w:r>
          </w:p>
        </w:tc>
        <w:tc>
          <w:tcPr>
            <w:tcW w:w="682" w:type="dxa"/>
            <w:vAlign w:val="top"/>
          </w:tcPr>
          <w:p w14:paraId="1425FA4E">
            <w:pPr>
              <w:spacing w:line="478" w:lineRule="auto"/>
              <w:rPr>
                <w:rFonts w:ascii="Arial"/>
                <w:sz w:val="21"/>
              </w:rPr>
            </w:pPr>
          </w:p>
          <w:p w14:paraId="7B9CEC25">
            <w:pPr>
              <w:pStyle w:val="51"/>
              <w:spacing w:before="56" w:line="230" w:lineRule="auto"/>
              <w:ind w:left="173"/>
              <w:rPr>
                <w:sz w:val="17"/>
                <w:szCs w:val="17"/>
              </w:rPr>
            </w:pPr>
            <w:r>
              <w:rPr>
                <w:spacing w:val="2"/>
                <w:sz w:val="17"/>
                <w:szCs w:val="17"/>
              </w:rPr>
              <w:t>一般</w:t>
            </w:r>
          </w:p>
        </w:tc>
        <w:tc>
          <w:tcPr>
            <w:tcW w:w="8563" w:type="dxa"/>
            <w:vAlign w:val="top"/>
          </w:tcPr>
          <w:p w14:paraId="305D66B5">
            <w:pPr>
              <w:spacing w:line="467" w:lineRule="auto"/>
              <w:rPr>
                <w:rFonts w:ascii="Arial"/>
                <w:sz w:val="21"/>
              </w:rPr>
            </w:pPr>
          </w:p>
          <w:p w14:paraId="053DEDA8">
            <w:pPr>
              <w:pStyle w:val="51"/>
              <w:spacing w:before="55" w:line="227" w:lineRule="auto"/>
              <w:ind w:left="37"/>
              <w:rPr>
                <w:sz w:val="17"/>
                <w:szCs w:val="17"/>
              </w:rPr>
            </w:pPr>
            <w:r>
              <w:rPr>
                <w:spacing w:val="7"/>
                <w:sz w:val="17"/>
                <w:szCs w:val="17"/>
              </w:rPr>
              <w:t>铅(以</w:t>
            </w:r>
            <w:r>
              <w:rPr>
                <w:sz w:val="17"/>
                <w:szCs w:val="17"/>
              </w:rPr>
              <w:t>Pb</w:t>
            </w:r>
            <w:r>
              <w:rPr>
                <w:spacing w:val="7"/>
                <w:sz w:val="17"/>
                <w:szCs w:val="17"/>
              </w:rPr>
              <w:t>计)、沙门氏菌</w:t>
            </w:r>
          </w:p>
        </w:tc>
      </w:tr>
      <w:tr w14:paraId="070ADE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8" w:hRule="atLeast"/>
        </w:trPr>
        <w:tc>
          <w:tcPr>
            <w:tcW w:w="459" w:type="dxa"/>
            <w:vMerge w:val="continue"/>
            <w:tcBorders>
              <w:top w:val="nil"/>
            </w:tcBorders>
            <w:vAlign w:val="top"/>
          </w:tcPr>
          <w:p w14:paraId="25A88E0B">
            <w:pPr>
              <w:rPr>
                <w:rFonts w:ascii="Arial"/>
                <w:sz w:val="21"/>
              </w:rPr>
            </w:pPr>
          </w:p>
        </w:tc>
        <w:tc>
          <w:tcPr>
            <w:tcW w:w="942" w:type="dxa"/>
            <w:vMerge w:val="continue"/>
            <w:tcBorders>
              <w:top w:val="nil"/>
            </w:tcBorders>
            <w:vAlign w:val="top"/>
          </w:tcPr>
          <w:p w14:paraId="2D536D74">
            <w:pPr>
              <w:rPr>
                <w:rFonts w:ascii="Arial"/>
                <w:sz w:val="21"/>
              </w:rPr>
            </w:pPr>
          </w:p>
        </w:tc>
        <w:tc>
          <w:tcPr>
            <w:tcW w:w="1360" w:type="dxa"/>
            <w:vMerge w:val="continue"/>
            <w:tcBorders>
              <w:top w:val="nil"/>
            </w:tcBorders>
            <w:vAlign w:val="top"/>
          </w:tcPr>
          <w:p w14:paraId="0647E4D7">
            <w:pPr>
              <w:rPr>
                <w:rFonts w:ascii="Arial"/>
                <w:sz w:val="21"/>
              </w:rPr>
            </w:pPr>
          </w:p>
        </w:tc>
        <w:tc>
          <w:tcPr>
            <w:tcW w:w="1581" w:type="dxa"/>
            <w:vAlign w:val="top"/>
          </w:tcPr>
          <w:p w14:paraId="57E49F85">
            <w:pPr>
              <w:spacing w:line="448" w:lineRule="auto"/>
              <w:rPr>
                <w:rFonts w:ascii="Arial"/>
                <w:sz w:val="21"/>
              </w:rPr>
            </w:pPr>
          </w:p>
          <w:p w14:paraId="63A6D019">
            <w:pPr>
              <w:pStyle w:val="51"/>
              <w:spacing w:before="55" w:line="228" w:lineRule="auto"/>
              <w:ind w:left="619"/>
              <w:rPr>
                <w:sz w:val="17"/>
                <w:szCs w:val="17"/>
              </w:rPr>
            </w:pPr>
            <w:r>
              <w:rPr>
                <w:spacing w:val="3"/>
                <w:sz w:val="17"/>
                <w:szCs w:val="17"/>
              </w:rPr>
              <w:t>果冻</w:t>
            </w:r>
          </w:p>
        </w:tc>
        <w:tc>
          <w:tcPr>
            <w:tcW w:w="1586" w:type="dxa"/>
            <w:vAlign w:val="top"/>
          </w:tcPr>
          <w:p w14:paraId="473CA9DD">
            <w:pPr>
              <w:spacing w:line="448" w:lineRule="auto"/>
              <w:rPr>
                <w:rFonts w:ascii="Arial"/>
                <w:sz w:val="21"/>
              </w:rPr>
            </w:pPr>
          </w:p>
          <w:p w14:paraId="2FD222EF">
            <w:pPr>
              <w:pStyle w:val="51"/>
              <w:spacing w:before="55" w:line="228" w:lineRule="auto"/>
              <w:ind w:left="622"/>
              <w:rPr>
                <w:sz w:val="17"/>
                <w:szCs w:val="17"/>
              </w:rPr>
            </w:pPr>
            <w:r>
              <w:rPr>
                <w:spacing w:val="3"/>
                <w:sz w:val="17"/>
                <w:szCs w:val="17"/>
              </w:rPr>
              <w:t>果冻</w:t>
            </w:r>
          </w:p>
        </w:tc>
        <w:tc>
          <w:tcPr>
            <w:tcW w:w="682" w:type="dxa"/>
            <w:vAlign w:val="top"/>
          </w:tcPr>
          <w:p w14:paraId="04F51B20">
            <w:pPr>
              <w:spacing w:line="448" w:lineRule="auto"/>
              <w:rPr>
                <w:rFonts w:ascii="Arial"/>
                <w:sz w:val="21"/>
              </w:rPr>
            </w:pPr>
          </w:p>
          <w:p w14:paraId="2773B5A5">
            <w:pPr>
              <w:pStyle w:val="51"/>
              <w:spacing w:before="55" w:line="230" w:lineRule="auto"/>
              <w:ind w:left="173"/>
              <w:rPr>
                <w:sz w:val="17"/>
                <w:szCs w:val="17"/>
              </w:rPr>
            </w:pPr>
            <w:r>
              <w:rPr>
                <w:spacing w:val="2"/>
                <w:sz w:val="17"/>
                <w:szCs w:val="17"/>
              </w:rPr>
              <w:t>一般</w:t>
            </w:r>
          </w:p>
        </w:tc>
        <w:tc>
          <w:tcPr>
            <w:tcW w:w="8563" w:type="dxa"/>
            <w:vAlign w:val="top"/>
          </w:tcPr>
          <w:p w14:paraId="25AEEAA0">
            <w:pPr>
              <w:pStyle w:val="51"/>
              <w:spacing w:before="104" w:line="278" w:lineRule="auto"/>
              <w:ind w:left="37" w:right="26" w:firstLine="16"/>
              <w:jc w:val="both"/>
              <w:rPr>
                <w:sz w:val="17"/>
                <w:szCs w:val="17"/>
              </w:rPr>
            </w:pPr>
            <w:r>
              <w:rPr>
                <w:spacing w:val="8"/>
                <w:sz w:val="17"/>
                <w:szCs w:val="17"/>
              </w:rPr>
              <w:t>山梨酸及其钾盐(以山梨酸计)、苯甲酸及其钠盐(以苯甲酸计)、糖精钠(以糖精计)、甜蜜素(</w:t>
            </w:r>
            <w:r>
              <w:rPr>
                <w:spacing w:val="7"/>
                <w:sz w:val="17"/>
                <w:szCs w:val="17"/>
              </w:rPr>
              <w:t>以环己基氨基磺</w:t>
            </w:r>
            <w:r>
              <w:rPr>
                <w:spacing w:val="10"/>
                <w:sz w:val="17"/>
                <w:szCs w:val="17"/>
              </w:rPr>
              <w:t>酸计)、安赛蜜、合成着色剂(柠檬黄、新红、苋菜红、靛蓝、胭脂红、日落黄、诱惑红、亮蓝、酸性红、喹</w:t>
            </w:r>
            <w:r>
              <w:rPr>
                <w:spacing w:val="9"/>
                <w:sz w:val="17"/>
                <w:szCs w:val="17"/>
              </w:rPr>
              <w:t>啉黄、赤藓红)、相同色泽着色剂混合使用时各自用量占其最大使用量的比</w:t>
            </w:r>
            <w:r>
              <w:rPr>
                <w:spacing w:val="8"/>
                <w:sz w:val="17"/>
                <w:szCs w:val="17"/>
              </w:rPr>
              <w:t>例之和、菌落总数、大肠菌群、霉</w:t>
            </w:r>
            <w:r>
              <w:rPr>
                <w:spacing w:val="9"/>
                <w:sz w:val="17"/>
                <w:szCs w:val="17"/>
              </w:rPr>
              <w:t>菌、酵母、双丙酚丁、脱乙酰比沙可啶</w:t>
            </w:r>
          </w:p>
        </w:tc>
      </w:tr>
      <w:tr w14:paraId="339779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trPr>
        <w:tc>
          <w:tcPr>
            <w:tcW w:w="459" w:type="dxa"/>
            <w:vMerge w:val="restart"/>
            <w:tcBorders>
              <w:bottom w:val="nil"/>
            </w:tcBorders>
            <w:vAlign w:val="top"/>
          </w:tcPr>
          <w:p w14:paraId="6B2CE69F">
            <w:pPr>
              <w:rPr>
                <w:rFonts w:ascii="Arial"/>
                <w:sz w:val="21"/>
              </w:rPr>
            </w:pPr>
          </w:p>
          <w:p w14:paraId="20237D42">
            <w:pPr>
              <w:rPr>
                <w:rFonts w:ascii="Arial"/>
                <w:sz w:val="21"/>
              </w:rPr>
            </w:pPr>
          </w:p>
          <w:p w14:paraId="4800BA8E">
            <w:pPr>
              <w:rPr>
                <w:rFonts w:ascii="Arial"/>
                <w:sz w:val="21"/>
              </w:rPr>
            </w:pPr>
          </w:p>
          <w:p w14:paraId="1B5D6DBC">
            <w:pPr>
              <w:rPr>
                <w:rFonts w:ascii="Arial"/>
                <w:sz w:val="21"/>
              </w:rPr>
            </w:pPr>
          </w:p>
          <w:p w14:paraId="49B5E7DE">
            <w:pPr>
              <w:spacing w:line="241" w:lineRule="auto"/>
              <w:rPr>
                <w:rFonts w:ascii="Arial"/>
                <w:sz w:val="21"/>
              </w:rPr>
            </w:pPr>
          </w:p>
          <w:p w14:paraId="588B74AF">
            <w:pPr>
              <w:spacing w:line="241" w:lineRule="auto"/>
              <w:rPr>
                <w:rFonts w:ascii="Arial"/>
                <w:sz w:val="21"/>
              </w:rPr>
            </w:pPr>
          </w:p>
          <w:p w14:paraId="7A80E54C">
            <w:pPr>
              <w:spacing w:line="241" w:lineRule="auto"/>
              <w:rPr>
                <w:rFonts w:ascii="Arial"/>
                <w:sz w:val="21"/>
              </w:rPr>
            </w:pPr>
          </w:p>
          <w:p w14:paraId="68517B4D">
            <w:pPr>
              <w:spacing w:line="241" w:lineRule="auto"/>
              <w:rPr>
                <w:rFonts w:ascii="Arial"/>
                <w:sz w:val="21"/>
              </w:rPr>
            </w:pPr>
          </w:p>
          <w:p w14:paraId="2D544889">
            <w:pPr>
              <w:spacing w:line="241" w:lineRule="auto"/>
              <w:rPr>
                <w:rFonts w:ascii="Arial"/>
                <w:sz w:val="21"/>
              </w:rPr>
            </w:pPr>
          </w:p>
          <w:p w14:paraId="340A6F9F">
            <w:pPr>
              <w:pStyle w:val="51"/>
              <w:spacing w:before="55" w:line="228" w:lineRule="exact"/>
              <w:ind w:left="156"/>
              <w:rPr>
                <w:sz w:val="17"/>
                <w:szCs w:val="17"/>
              </w:rPr>
            </w:pPr>
            <w:r>
              <w:rPr>
                <w:spacing w:val="-6"/>
                <w:position w:val="1"/>
                <w:sz w:val="17"/>
                <w:szCs w:val="17"/>
              </w:rPr>
              <w:t>14</w:t>
            </w:r>
          </w:p>
        </w:tc>
        <w:tc>
          <w:tcPr>
            <w:tcW w:w="942" w:type="dxa"/>
            <w:vMerge w:val="restart"/>
            <w:tcBorders>
              <w:bottom w:val="nil"/>
            </w:tcBorders>
            <w:vAlign w:val="top"/>
          </w:tcPr>
          <w:p w14:paraId="4D8992D3">
            <w:pPr>
              <w:spacing w:line="252" w:lineRule="auto"/>
              <w:rPr>
                <w:rFonts w:ascii="Arial"/>
                <w:sz w:val="21"/>
              </w:rPr>
            </w:pPr>
          </w:p>
          <w:p w14:paraId="0DF31451">
            <w:pPr>
              <w:spacing w:line="252" w:lineRule="auto"/>
              <w:rPr>
                <w:rFonts w:ascii="Arial"/>
                <w:sz w:val="21"/>
              </w:rPr>
            </w:pPr>
          </w:p>
          <w:p w14:paraId="2FF272E9">
            <w:pPr>
              <w:spacing w:line="252" w:lineRule="auto"/>
              <w:rPr>
                <w:rFonts w:ascii="Arial"/>
                <w:sz w:val="21"/>
              </w:rPr>
            </w:pPr>
          </w:p>
          <w:p w14:paraId="7972B869">
            <w:pPr>
              <w:spacing w:line="252" w:lineRule="auto"/>
              <w:rPr>
                <w:rFonts w:ascii="Arial"/>
                <w:sz w:val="21"/>
              </w:rPr>
            </w:pPr>
          </w:p>
          <w:p w14:paraId="3C732CCC">
            <w:pPr>
              <w:spacing w:line="252" w:lineRule="auto"/>
              <w:rPr>
                <w:rFonts w:ascii="Arial"/>
                <w:sz w:val="21"/>
              </w:rPr>
            </w:pPr>
          </w:p>
          <w:p w14:paraId="72D99B79">
            <w:pPr>
              <w:spacing w:line="252" w:lineRule="auto"/>
              <w:rPr>
                <w:rFonts w:ascii="Arial"/>
                <w:sz w:val="21"/>
              </w:rPr>
            </w:pPr>
          </w:p>
          <w:p w14:paraId="19081393">
            <w:pPr>
              <w:spacing w:line="252" w:lineRule="auto"/>
              <w:rPr>
                <w:rFonts w:ascii="Arial"/>
                <w:sz w:val="21"/>
              </w:rPr>
            </w:pPr>
          </w:p>
          <w:p w14:paraId="4E0900A8">
            <w:pPr>
              <w:spacing w:line="253" w:lineRule="auto"/>
              <w:rPr>
                <w:rFonts w:ascii="Arial"/>
                <w:sz w:val="21"/>
              </w:rPr>
            </w:pPr>
          </w:p>
          <w:p w14:paraId="0DB38C21">
            <w:pPr>
              <w:pStyle w:val="51"/>
              <w:spacing w:before="55" w:line="326" w:lineRule="auto"/>
              <w:ind w:left="212" w:right="112" w:hanging="96"/>
              <w:rPr>
                <w:sz w:val="17"/>
                <w:szCs w:val="17"/>
              </w:rPr>
            </w:pPr>
            <w:r>
              <w:rPr>
                <w:spacing w:val="7"/>
                <w:sz w:val="17"/>
                <w:szCs w:val="17"/>
              </w:rPr>
              <w:t>茶叶及相</w:t>
            </w:r>
            <w:r>
              <w:rPr>
                <w:spacing w:val="4"/>
                <w:sz w:val="17"/>
                <w:szCs w:val="17"/>
              </w:rPr>
              <w:t>关制品</w:t>
            </w:r>
          </w:p>
        </w:tc>
        <w:tc>
          <w:tcPr>
            <w:tcW w:w="1360" w:type="dxa"/>
            <w:vAlign w:val="top"/>
          </w:tcPr>
          <w:p w14:paraId="1BA9A0EA">
            <w:pPr>
              <w:rPr>
                <w:rFonts w:ascii="Arial"/>
                <w:sz w:val="21"/>
              </w:rPr>
            </w:pPr>
          </w:p>
          <w:p w14:paraId="0DB8CC20">
            <w:pPr>
              <w:spacing w:line="241" w:lineRule="auto"/>
              <w:rPr>
                <w:rFonts w:ascii="Arial"/>
                <w:sz w:val="21"/>
              </w:rPr>
            </w:pPr>
          </w:p>
          <w:p w14:paraId="279AE85F">
            <w:pPr>
              <w:pStyle w:val="51"/>
              <w:spacing w:before="55" w:line="228" w:lineRule="auto"/>
              <w:ind w:left="506"/>
              <w:rPr>
                <w:sz w:val="17"/>
                <w:szCs w:val="17"/>
              </w:rPr>
            </w:pPr>
            <w:r>
              <w:rPr>
                <w:spacing w:val="4"/>
                <w:sz w:val="17"/>
                <w:szCs w:val="17"/>
              </w:rPr>
              <w:t>茶叶</w:t>
            </w:r>
          </w:p>
        </w:tc>
        <w:tc>
          <w:tcPr>
            <w:tcW w:w="1581" w:type="dxa"/>
            <w:vAlign w:val="top"/>
          </w:tcPr>
          <w:p w14:paraId="4498AD30">
            <w:pPr>
              <w:rPr>
                <w:rFonts w:ascii="Arial"/>
                <w:sz w:val="21"/>
              </w:rPr>
            </w:pPr>
          </w:p>
          <w:p w14:paraId="3BE482B3">
            <w:pPr>
              <w:spacing w:line="241" w:lineRule="auto"/>
              <w:rPr>
                <w:rFonts w:ascii="Arial"/>
                <w:sz w:val="21"/>
              </w:rPr>
            </w:pPr>
          </w:p>
          <w:p w14:paraId="6B1827B5">
            <w:pPr>
              <w:pStyle w:val="51"/>
              <w:spacing w:before="55" w:line="228" w:lineRule="auto"/>
              <w:ind w:left="617"/>
              <w:rPr>
                <w:sz w:val="17"/>
                <w:szCs w:val="17"/>
              </w:rPr>
            </w:pPr>
            <w:r>
              <w:rPr>
                <w:spacing w:val="4"/>
                <w:sz w:val="17"/>
                <w:szCs w:val="17"/>
              </w:rPr>
              <w:t>茶叶</w:t>
            </w:r>
          </w:p>
        </w:tc>
        <w:tc>
          <w:tcPr>
            <w:tcW w:w="1586" w:type="dxa"/>
            <w:vAlign w:val="top"/>
          </w:tcPr>
          <w:p w14:paraId="06215D52">
            <w:pPr>
              <w:pStyle w:val="51"/>
              <w:spacing w:before="90" w:line="229" w:lineRule="auto"/>
              <w:jc w:val="right"/>
              <w:rPr>
                <w:sz w:val="17"/>
                <w:szCs w:val="17"/>
              </w:rPr>
            </w:pPr>
            <w:r>
              <w:rPr>
                <w:spacing w:val="-16"/>
                <w:sz w:val="17"/>
                <w:szCs w:val="17"/>
              </w:rPr>
              <w:t>绿茶、红茶、乌龙茶、</w:t>
            </w:r>
          </w:p>
          <w:p w14:paraId="6F7C1C85">
            <w:pPr>
              <w:pStyle w:val="51"/>
              <w:spacing w:before="89" w:line="229" w:lineRule="auto"/>
              <w:jc w:val="right"/>
              <w:rPr>
                <w:sz w:val="17"/>
                <w:szCs w:val="17"/>
              </w:rPr>
            </w:pPr>
            <w:r>
              <w:rPr>
                <w:spacing w:val="1"/>
                <w:sz w:val="17"/>
                <w:szCs w:val="17"/>
              </w:rPr>
              <w:t>黄茶、白茶、黑茶、</w:t>
            </w:r>
          </w:p>
          <w:p w14:paraId="500BE5E0">
            <w:pPr>
              <w:pStyle w:val="51"/>
              <w:spacing w:before="89" w:line="226" w:lineRule="auto"/>
              <w:ind w:left="36"/>
              <w:rPr>
                <w:sz w:val="17"/>
                <w:szCs w:val="17"/>
              </w:rPr>
            </w:pPr>
            <w:r>
              <w:rPr>
                <w:spacing w:val="-2"/>
                <w:sz w:val="17"/>
                <w:szCs w:val="17"/>
              </w:rPr>
              <w:t>花茶、袋泡茶、紧压</w:t>
            </w:r>
          </w:p>
          <w:p w14:paraId="76F5F4DA">
            <w:pPr>
              <w:pStyle w:val="51"/>
              <w:spacing w:before="91" w:line="221" w:lineRule="auto"/>
              <w:ind w:left="711"/>
              <w:rPr>
                <w:sz w:val="17"/>
                <w:szCs w:val="17"/>
              </w:rPr>
            </w:pPr>
            <w:r>
              <w:rPr>
                <w:sz w:val="17"/>
                <w:szCs w:val="17"/>
              </w:rPr>
              <w:t>茶</w:t>
            </w:r>
          </w:p>
        </w:tc>
        <w:tc>
          <w:tcPr>
            <w:tcW w:w="682" w:type="dxa"/>
            <w:vAlign w:val="top"/>
          </w:tcPr>
          <w:p w14:paraId="384C51F7">
            <w:pPr>
              <w:rPr>
                <w:rFonts w:ascii="Arial"/>
                <w:sz w:val="21"/>
              </w:rPr>
            </w:pPr>
          </w:p>
          <w:p w14:paraId="2A694A6C">
            <w:pPr>
              <w:spacing w:line="241" w:lineRule="auto"/>
              <w:rPr>
                <w:rFonts w:ascii="Arial"/>
                <w:sz w:val="21"/>
              </w:rPr>
            </w:pPr>
          </w:p>
          <w:p w14:paraId="1F25ACD9">
            <w:pPr>
              <w:pStyle w:val="51"/>
              <w:spacing w:before="55" w:line="230" w:lineRule="auto"/>
              <w:ind w:left="173"/>
              <w:rPr>
                <w:sz w:val="17"/>
                <w:szCs w:val="17"/>
              </w:rPr>
            </w:pPr>
            <w:r>
              <w:rPr>
                <w:spacing w:val="2"/>
                <w:sz w:val="17"/>
                <w:szCs w:val="17"/>
              </w:rPr>
              <w:t>一般</w:t>
            </w:r>
          </w:p>
        </w:tc>
        <w:tc>
          <w:tcPr>
            <w:tcW w:w="8563" w:type="dxa"/>
            <w:vAlign w:val="top"/>
          </w:tcPr>
          <w:p w14:paraId="58F3ED06">
            <w:pPr>
              <w:pStyle w:val="51"/>
              <w:spacing w:before="268" w:line="283" w:lineRule="auto"/>
              <w:ind w:left="38" w:right="24" w:hanging="1"/>
              <w:jc w:val="both"/>
              <w:rPr>
                <w:sz w:val="17"/>
                <w:szCs w:val="17"/>
              </w:rPr>
            </w:pPr>
            <w:r>
              <w:rPr>
                <w:spacing w:val="10"/>
                <w:sz w:val="17"/>
                <w:szCs w:val="17"/>
              </w:rPr>
              <w:t>铅(以</w:t>
            </w:r>
            <w:r>
              <w:rPr>
                <w:sz w:val="17"/>
                <w:szCs w:val="17"/>
              </w:rPr>
              <w:t>Pb</w:t>
            </w:r>
            <w:r>
              <w:rPr>
                <w:spacing w:val="10"/>
                <w:sz w:val="17"/>
                <w:szCs w:val="17"/>
              </w:rPr>
              <w:t>计)、草甘膦、吡虫啉、乙酰甲胺磷、联苯菊酯、灭多威、三氯杀螨醇、氰戊菊酯和S-氰</w:t>
            </w:r>
            <w:r>
              <w:rPr>
                <w:spacing w:val="9"/>
                <w:sz w:val="17"/>
                <w:szCs w:val="17"/>
              </w:rPr>
              <w:t>戊菊酯、甲</w:t>
            </w:r>
            <w:r>
              <w:rPr>
                <w:spacing w:val="8"/>
                <w:sz w:val="17"/>
                <w:szCs w:val="17"/>
              </w:rPr>
              <w:t>拌磷、克百威、水胺硫磷、氧乐果、毒死蜱、啶虫脒、多菌灵、茚虫威</w:t>
            </w:r>
            <w:r>
              <w:rPr>
                <w:spacing w:val="7"/>
                <w:sz w:val="17"/>
                <w:szCs w:val="17"/>
              </w:rPr>
              <w:t>、合成着色剂(柠檬黄、</w:t>
            </w:r>
            <w:r>
              <w:rPr>
                <w:spacing w:val="-33"/>
                <w:sz w:val="17"/>
                <w:szCs w:val="17"/>
              </w:rPr>
              <w:t xml:space="preserve"> </w:t>
            </w:r>
            <w:r>
              <w:rPr>
                <w:spacing w:val="7"/>
                <w:sz w:val="17"/>
                <w:szCs w:val="17"/>
              </w:rPr>
              <w:t>日落黄、胭脂</w:t>
            </w:r>
            <w:r>
              <w:rPr>
                <w:spacing w:val="9"/>
                <w:sz w:val="17"/>
                <w:szCs w:val="17"/>
              </w:rPr>
              <w:t>红、亮蓝)、糖精钠(以糖精计)、甜蜜素(以</w:t>
            </w:r>
            <w:r>
              <w:rPr>
                <w:spacing w:val="8"/>
                <w:sz w:val="17"/>
                <w:szCs w:val="17"/>
              </w:rPr>
              <w:t>环己基氨基磺酸计)</w:t>
            </w:r>
          </w:p>
        </w:tc>
      </w:tr>
      <w:tr w14:paraId="2194B1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459" w:type="dxa"/>
            <w:vMerge w:val="continue"/>
            <w:tcBorders>
              <w:top w:val="nil"/>
              <w:bottom w:val="nil"/>
            </w:tcBorders>
            <w:vAlign w:val="top"/>
          </w:tcPr>
          <w:p w14:paraId="62746209">
            <w:pPr>
              <w:rPr>
                <w:rFonts w:ascii="Arial"/>
                <w:sz w:val="21"/>
              </w:rPr>
            </w:pPr>
          </w:p>
        </w:tc>
        <w:tc>
          <w:tcPr>
            <w:tcW w:w="942" w:type="dxa"/>
            <w:vMerge w:val="continue"/>
            <w:tcBorders>
              <w:top w:val="nil"/>
              <w:bottom w:val="nil"/>
            </w:tcBorders>
            <w:vAlign w:val="top"/>
          </w:tcPr>
          <w:p w14:paraId="02DA5328">
            <w:pPr>
              <w:rPr>
                <w:rFonts w:ascii="Arial"/>
                <w:sz w:val="21"/>
              </w:rPr>
            </w:pPr>
          </w:p>
        </w:tc>
        <w:tc>
          <w:tcPr>
            <w:tcW w:w="1360" w:type="dxa"/>
            <w:vMerge w:val="restart"/>
            <w:tcBorders>
              <w:bottom w:val="nil"/>
            </w:tcBorders>
            <w:vAlign w:val="top"/>
          </w:tcPr>
          <w:p w14:paraId="1C59993C">
            <w:pPr>
              <w:spacing w:line="283" w:lineRule="auto"/>
              <w:rPr>
                <w:rFonts w:ascii="Arial"/>
                <w:sz w:val="21"/>
              </w:rPr>
            </w:pPr>
          </w:p>
          <w:p w14:paraId="2A02C338">
            <w:pPr>
              <w:spacing w:line="283" w:lineRule="auto"/>
              <w:rPr>
                <w:rFonts w:ascii="Arial"/>
                <w:sz w:val="21"/>
              </w:rPr>
            </w:pPr>
          </w:p>
          <w:p w14:paraId="0A6E699A">
            <w:pPr>
              <w:spacing w:line="283" w:lineRule="auto"/>
              <w:rPr>
                <w:rFonts w:ascii="Arial"/>
                <w:sz w:val="21"/>
              </w:rPr>
            </w:pPr>
          </w:p>
          <w:p w14:paraId="04252D81">
            <w:pPr>
              <w:spacing w:line="283" w:lineRule="auto"/>
              <w:rPr>
                <w:rFonts w:ascii="Arial"/>
                <w:sz w:val="21"/>
              </w:rPr>
            </w:pPr>
          </w:p>
          <w:p w14:paraId="62BB2D0F">
            <w:pPr>
              <w:spacing w:line="284" w:lineRule="auto"/>
              <w:rPr>
                <w:rFonts w:ascii="Arial"/>
                <w:sz w:val="21"/>
              </w:rPr>
            </w:pPr>
          </w:p>
          <w:p w14:paraId="6EFF3DE4">
            <w:pPr>
              <w:pStyle w:val="51"/>
              <w:spacing w:before="55" w:line="327" w:lineRule="auto"/>
              <w:ind w:left="326" w:right="320" w:firstLine="1"/>
              <w:rPr>
                <w:sz w:val="17"/>
                <w:szCs w:val="17"/>
              </w:rPr>
            </w:pPr>
            <w:r>
              <w:rPr>
                <w:spacing w:val="6"/>
                <w:sz w:val="17"/>
                <w:szCs w:val="17"/>
              </w:rPr>
              <w:t>含茶制品</w:t>
            </w:r>
            <w:r>
              <w:rPr>
                <w:spacing w:val="7"/>
                <w:sz w:val="17"/>
                <w:szCs w:val="17"/>
              </w:rPr>
              <w:t>和代用茶</w:t>
            </w:r>
          </w:p>
        </w:tc>
        <w:tc>
          <w:tcPr>
            <w:tcW w:w="1581" w:type="dxa"/>
            <w:vAlign w:val="top"/>
          </w:tcPr>
          <w:p w14:paraId="2EB5DB1B">
            <w:pPr>
              <w:pStyle w:val="51"/>
              <w:spacing w:before="240" w:line="227" w:lineRule="auto"/>
              <w:ind w:left="439"/>
              <w:rPr>
                <w:sz w:val="17"/>
                <w:szCs w:val="17"/>
              </w:rPr>
            </w:pPr>
            <w:r>
              <w:rPr>
                <w:spacing w:val="6"/>
                <w:sz w:val="17"/>
                <w:szCs w:val="17"/>
              </w:rPr>
              <w:t>含茶制品</w:t>
            </w:r>
          </w:p>
        </w:tc>
        <w:tc>
          <w:tcPr>
            <w:tcW w:w="1586" w:type="dxa"/>
            <w:vAlign w:val="top"/>
          </w:tcPr>
          <w:p w14:paraId="6277F342">
            <w:pPr>
              <w:pStyle w:val="51"/>
              <w:spacing w:before="90" w:line="274" w:lineRule="auto"/>
              <w:ind w:left="620" w:right="26" w:hanging="586"/>
              <w:rPr>
                <w:sz w:val="17"/>
                <w:szCs w:val="17"/>
              </w:rPr>
            </w:pPr>
            <w:r>
              <w:rPr>
                <w:spacing w:val="-2"/>
                <w:sz w:val="17"/>
                <w:szCs w:val="17"/>
              </w:rPr>
              <w:t>速溶茶类、其他含茶</w:t>
            </w:r>
            <w:r>
              <w:rPr>
                <w:spacing w:val="3"/>
                <w:sz w:val="17"/>
                <w:szCs w:val="17"/>
              </w:rPr>
              <w:t>制品</w:t>
            </w:r>
          </w:p>
        </w:tc>
        <w:tc>
          <w:tcPr>
            <w:tcW w:w="682" w:type="dxa"/>
            <w:vAlign w:val="top"/>
          </w:tcPr>
          <w:p w14:paraId="1C071178">
            <w:pPr>
              <w:pStyle w:val="51"/>
              <w:spacing w:before="240" w:line="230" w:lineRule="auto"/>
              <w:ind w:left="173"/>
              <w:rPr>
                <w:sz w:val="17"/>
                <w:szCs w:val="17"/>
              </w:rPr>
            </w:pPr>
            <w:r>
              <w:rPr>
                <w:spacing w:val="2"/>
                <w:sz w:val="17"/>
                <w:szCs w:val="17"/>
              </w:rPr>
              <w:t>一般</w:t>
            </w:r>
          </w:p>
        </w:tc>
        <w:tc>
          <w:tcPr>
            <w:tcW w:w="8563" w:type="dxa"/>
            <w:vAlign w:val="top"/>
          </w:tcPr>
          <w:p w14:paraId="2E7423C2">
            <w:pPr>
              <w:pStyle w:val="51"/>
              <w:spacing w:before="227" w:line="228" w:lineRule="auto"/>
              <w:ind w:left="37"/>
              <w:rPr>
                <w:sz w:val="17"/>
                <w:szCs w:val="17"/>
              </w:rPr>
            </w:pPr>
            <w:r>
              <w:rPr>
                <w:spacing w:val="9"/>
                <w:sz w:val="17"/>
                <w:szCs w:val="17"/>
              </w:rPr>
              <w:t>铅(以</w:t>
            </w:r>
            <w:r>
              <w:rPr>
                <w:sz w:val="17"/>
                <w:szCs w:val="17"/>
              </w:rPr>
              <w:t>Pb</w:t>
            </w:r>
            <w:r>
              <w:rPr>
                <w:spacing w:val="9"/>
                <w:sz w:val="17"/>
                <w:szCs w:val="17"/>
              </w:rPr>
              <w:t>计)、菌落总数、霉菌、霉菌及酵母、合成着色剂(柠檬黄、日落黄、胭脂红、亮蓝)</w:t>
            </w:r>
          </w:p>
        </w:tc>
      </w:tr>
      <w:tr w14:paraId="5CEE6B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459" w:type="dxa"/>
            <w:vMerge w:val="continue"/>
            <w:tcBorders>
              <w:top w:val="nil"/>
              <w:bottom w:val="nil"/>
            </w:tcBorders>
            <w:vAlign w:val="top"/>
          </w:tcPr>
          <w:p w14:paraId="358656DF">
            <w:pPr>
              <w:rPr>
                <w:rFonts w:ascii="Arial"/>
                <w:sz w:val="21"/>
              </w:rPr>
            </w:pPr>
          </w:p>
        </w:tc>
        <w:tc>
          <w:tcPr>
            <w:tcW w:w="942" w:type="dxa"/>
            <w:vMerge w:val="continue"/>
            <w:tcBorders>
              <w:top w:val="nil"/>
              <w:bottom w:val="nil"/>
            </w:tcBorders>
            <w:vAlign w:val="top"/>
          </w:tcPr>
          <w:p w14:paraId="4A946FEC">
            <w:pPr>
              <w:rPr>
                <w:rFonts w:ascii="Arial"/>
                <w:sz w:val="21"/>
              </w:rPr>
            </w:pPr>
          </w:p>
        </w:tc>
        <w:tc>
          <w:tcPr>
            <w:tcW w:w="1360" w:type="dxa"/>
            <w:vMerge w:val="continue"/>
            <w:tcBorders>
              <w:top w:val="nil"/>
              <w:bottom w:val="nil"/>
            </w:tcBorders>
            <w:vAlign w:val="top"/>
          </w:tcPr>
          <w:p w14:paraId="3F519551">
            <w:pPr>
              <w:rPr>
                <w:rFonts w:ascii="Arial"/>
                <w:sz w:val="21"/>
              </w:rPr>
            </w:pPr>
          </w:p>
        </w:tc>
        <w:tc>
          <w:tcPr>
            <w:tcW w:w="1581" w:type="dxa"/>
            <w:vMerge w:val="restart"/>
            <w:tcBorders>
              <w:bottom w:val="nil"/>
            </w:tcBorders>
            <w:vAlign w:val="top"/>
          </w:tcPr>
          <w:p w14:paraId="7B07E972">
            <w:pPr>
              <w:spacing w:line="247" w:lineRule="auto"/>
              <w:rPr>
                <w:rFonts w:ascii="Arial"/>
                <w:sz w:val="21"/>
              </w:rPr>
            </w:pPr>
          </w:p>
          <w:p w14:paraId="106BB390">
            <w:pPr>
              <w:spacing w:line="247" w:lineRule="auto"/>
              <w:rPr>
                <w:rFonts w:ascii="Arial"/>
                <w:sz w:val="21"/>
              </w:rPr>
            </w:pPr>
          </w:p>
          <w:p w14:paraId="2C9F3E8B">
            <w:pPr>
              <w:spacing w:line="247" w:lineRule="auto"/>
              <w:rPr>
                <w:rFonts w:ascii="Arial"/>
                <w:sz w:val="21"/>
              </w:rPr>
            </w:pPr>
          </w:p>
          <w:p w14:paraId="1CF1BF7E">
            <w:pPr>
              <w:spacing w:line="248" w:lineRule="auto"/>
              <w:rPr>
                <w:rFonts w:ascii="Arial"/>
                <w:sz w:val="21"/>
              </w:rPr>
            </w:pPr>
          </w:p>
          <w:p w14:paraId="60B4D71F">
            <w:pPr>
              <w:spacing w:line="248" w:lineRule="auto"/>
              <w:rPr>
                <w:rFonts w:ascii="Arial"/>
                <w:sz w:val="21"/>
              </w:rPr>
            </w:pPr>
          </w:p>
          <w:p w14:paraId="25A8B629">
            <w:pPr>
              <w:pStyle w:val="51"/>
              <w:spacing w:before="55" w:line="229" w:lineRule="auto"/>
              <w:ind w:left="532"/>
              <w:rPr>
                <w:sz w:val="17"/>
                <w:szCs w:val="17"/>
              </w:rPr>
            </w:pPr>
            <w:r>
              <w:rPr>
                <w:spacing w:val="4"/>
                <w:sz w:val="17"/>
                <w:szCs w:val="17"/>
              </w:rPr>
              <w:t>代用茶</w:t>
            </w:r>
          </w:p>
        </w:tc>
        <w:tc>
          <w:tcPr>
            <w:tcW w:w="1586" w:type="dxa"/>
            <w:vAlign w:val="top"/>
          </w:tcPr>
          <w:p w14:paraId="7BE98F2B">
            <w:pPr>
              <w:pStyle w:val="51"/>
              <w:spacing w:before="198" w:line="229" w:lineRule="auto"/>
              <w:ind w:left="441"/>
              <w:rPr>
                <w:sz w:val="17"/>
                <w:szCs w:val="17"/>
              </w:rPr>
            </w:pPr>
            <w:r>
              <w:rPr>
                <w:spacing w:val="5"/>
                <w:sz w:val="17"/>
                <w:szCs w:val="17"/>
              </w:rPr>
              <w:t>枸杞(干)</w:t>
            </w:r>
          </w:p>
        </w:tc>
        <w:tc>
          <w:tcPr>
            <w:tcW w:w="682" w:type="dxa"/>
            <w:vAlign w:val="top"/>
          </w:tcPr>
          <w:p w14:paraId="3CBF1467">
            <w:pPr>
              <w:pStyle w:val="51"/>
              <w:spacing w:before="198" w:line="230" w:lineRule="auto"/>
              <w:ind w:left="173"/>
              <w:rPr>
                <w:sz w:val="17"/>
                <w:szCs w:val="17"/>
              </w:rPr>
            </w:pPr>
            <w:r>
              <w:rPr>
                <w:spacing w:val="2"/>
                <w:sz w:val="17"/>
                <w:szCs w:val="17"/>
              </w:rPr>
              <w:t>一般</w:t>
            </w:r>
          </w:p>
        </w:tc>
        <w:tc>
          <w:tcPr>
            <w:tcW w:w="8563" w:type="dxa"/>
            <w:vAlign w:val="top"/>
          </w:tcPr>
          <w:p w14:paraId="37CBFE60">
            <w:pPr>
              <w:pStyle w:val="51"/>
              <w:spacing w:before="68" w:line="268" w:lineRule="auto"/>
              <w:ind w:left="38" w:hanging="1"/>
              <w:rPr>
                <w:sz w:val="17"/>
                <w:szCs w:val="17"/>
              </w:rPr>
            </w:pPr>
            <w:r>
              <w:rPr>
                <w:spacing w:val="8"/>
                <w:sz w:val="17"/>
                <w:szCs w:val="17"/>
              </w:rPr>
              <w:t>铅(以</w:t>
            </w:r>
            <w:r>
              <w:rPr>
                <w:sz w:val="17"/>
                <w:szCs w:val="17"/>
              </w:rPr>
              <w:t>Pb</w:t>
            </w:r>
            <w:r>
              <w:rPr>
                <w:spacing w:val="8"/>
                <w:sz w:val="17"/>
                <w:szCs w:val="17"/>
              </w:rPr>
              <w:t>计)、二氧化硫残留量、啶虫脒、克百威、毒</w:t>
            </w:r>
            <w:r>
              <w:rPr>
                <w:spacing w:val="7"/>
                <w:sz w:val="17"/>
                <w:szCs w:val="17"/>
              </w:rPr>
              <w:t>死蜱、吡虫啉、氯氟氰菊酯和高效氯氟氰菊酯、三唑磷、</w:t>
            </w:r>
            <w:r>
              <w:rPr>
                <w:spacing w:val="3"/>
                <w:sz w:val="17"/>
                <w:szCs w:val="17"/>
              </w:rPr>
              <w:t>霉菌</w:t>
            </w:r>
          </w:p>
        </w:tc>
      </w:tr>
      <w:tr w14:paraId="0823AF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459" w:type="dxa"/>
            <w:vMerge w:val="continue"/>
            <w:tcBorders>
              <w:top w:val="nil"/>
              <w:bottom w:val="nil"/>
            </w:tcBorders>
            <w:vAlign w:val="top"/>
          </w:tcPr>
          <w:p w14:paraId="75322A3C">
            <w:pPr>
              <w:rPr>
                <w:rFonts w:ascii="Arial"/>
                <w:sz w:val="21"/>
              </w:rPr>
            </w:pPr>
          </w:p>
        </w:tc>
        <w:tc>
          <w:tcPr>
            <w:tcW w:w="942" w:type="dxa"/>
            <w:vMerge w:val="continue"/>
            <w:tcBorders>
              <w:top w:val="nil"/>
              <w:bottom w:val="nil"/>
            </w:tcBorders>
            <w:vAlign w:val="top"/>
          </w:tcPr>
          <w:p w14:paraId="07C9B752">
            <w:pPr>
              <w:rPr>
                <w:rFonts w:ascii="Arial"/>
                <w:sz w:val="21"/>
              </w:rPr>
            </w:pPr>
          </w:p>
        </w:tc>
        <w:tc>
          <w:tcPr>
            <w:tcW w:w="1360" w:type="dxa"/>
            <w:vMerge w:val="continue"/>
            <w:tcBorders>
              <w:top w:val="nil"/>
              <w:bottom w:val="nil"/>
            </w:tcBorders>
            <w:vAlign w:val="top"/>
          </w:tcPr>
          <w:p w14:paraId="6D011239">
            <w:pPr>
              <w:rPr>
                <w:rFonts w:ascii="Arial"/>
                <w:sz w:val="21"/>
              </w:rPr>
            </w:pPr>
          </w:p>
        </w:tc>
        <w:tc>
          <w:tcPr>
            <w:tcW w:w="1581" w:type="dxa"/>
            <w:vMerge w:val="continue"/>
            <w:tcBorders>
              <w:top w:val="nil"/>
              <w:bottom w:val="nil"/>
            </w:tcBorders>
            <w:vAlign w:val="top"/>
          </w:tcPr>
          <w:p w14:paraId="02074175">
            <w:pPr>
              <w:rPr>
                <w:rFonts w:ascii="Arial"/>
                <w:sz w:val="21"/>
              </w:rPr>
            </w:pPr>
          </w:p>
        </w:tc>
        <w:tc>
          <w:tcPr>
            <w:tcW w:w="1586" w:type="dxa"/>
            <w:vAlign w:val="top"/>
          </w:tcPr>
          <w:p w14:paraId="663F6819">
            <w:pPr>
              <w:pStyle w:val="51"/>
              <w:spacing w:before="175" w:line="226" w:lineRule="auto"/>
              <w:ind w:left="447"/>
              <w:rPr>
                <w:sz w:val="17"/>
                <w:szCs w:val="17"/>
              </w:rPr>
            </w:pPr>
            <w:r>
              <w:rPr>
                <w:spacing w:val="4"/>
                <w:sz w:val="17"/>
                <w:szCs w:val="17"/>
              </w:rPr>
              <w:t>菊花(干)</w:t>
            </w:r>
          </w:p>
        </w:tc>
        <w:tc>
          <w:tcPr>
            <w:tcW w:w="682" w:type="dxa"/>
            <w:vAlign w:val="top"/>
          </w:tcPr>
          <w:p w14:paraId="3905E472">
            <w:pPr>
              <w:pStyle w:val="51"/>
              <w:spacing w:before="176" w:line="230" w:lineRule="auto"/>
              <w:ind w:left="173"/>
              <w:rPr>
                <w:sz w:val="17"/>
                <w:szCs w:val="17"/>
              </w:rPr>
            </w:pPr>
            <w:r>
              <w:rPr>
                <w:spacing w:val="2"/>
                <w:sz w:val="17"/>
                <w:szCs w:val="17"/>
              </w:rPr>
              <w:t>一般</w:t>
            </w:r>
          </w:p>
        </w:tc>
        <w:tc>
          <w:tcPr>
            <w:tcW w:w="8563" w:type="dxa"/>
            <w:vAlign w:val="top"/>
          </w:tcPr>
          <w:p w14:paraId="3269ABDA">
            <w:pPr>
              <w:pStyle w:val="51"/>
              <w:spacing w:before="58" w:line="248" w:lineRule="auto"/>
              <w:ind w:left="38" w:hanging="1"/>
              <w:rPr>
                <w:sz w:val="17"/>
                <w:szCs w:val="17"/>
              </w:rPr>
            </w:pPr>
            <w:r>
              <w:rPr>
                <w:spacing w:val="8"/>
                <w:sz w:val="17"/>
                <w:szCs w:val="17"/>
              </w:rPr>
              <w:t>铅(以</w:t>
            </w:r>
            <w:r>
              <w:rPr>
                <w:sz w:val="17"/>
                <w:szCs w:val="17"/>
              </w:rPr>
              <w:t>Pb</w:t>
            </w:r>
            <w:r>
              <w:rPr>
                <w:spacing w:val="8"/>
                <w:sz w:val="17"/>
                <w:szCs w:val="17"/>
              </w:rPr>
              <w:t>计)、二氧化硫残留量、啶虫脒、克百威、毒</w:t>
            </w:r>
            <w:r>
              <w:rPr>
                <w:spacing w:val="7"/>
                <w:sz w:val="17"/>
                <w:szCs w:val="17"/>
              </w:rPr>
              <w:t>死蜱、氯氟氰菊酯和高效氯氟氰菊酯、吡虫啉、三唑磷、</w:t>
            </w:r>
            <w:r>
              <w:rPr>
                <w:spacing w:val="3"/>
                <w:sz w:val="17"/>
                <w:szCs w:val="17"/>
              </w:rPr>
              <w:t>霉菌</w:t>
            </w:r>
          </w:p>
        </w:tc>
      </w:tr>
      <w:tr w14:paraId="7E4F08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8" w:hRule="atLeast"/>
        </w:trPr>
        <w:tc>
          <w:tcPr>
            <w:tcW w:w="459" w:type="dxa"/>
            <w:vMerge w:val="continue"/>
            <w:tcBorders>
              <w:top w:val="nil"/>
              <w:bottom w:val="nil"/>
            </w:tcBorders>
            <w:vAlign w:val="top"/>
          </w:tcPr>
          <w:p w14:paraId="25094ADB">
            <w:pPr>
              <w:rPr>
                <w:rFonts w:ascii="Arial"/>
                <w:sz w:val="21"/>
              </w:rPr>
            </w:pPr>
          </w:p>
        </w:tc>
        <w:tc>
          <w:tcPr>
            <w:tcW w:w="942" w:type="dxa"/>
            <w:vMerge w:val="continue"/>
            <w:tcBorders>
              <w:top w:val="nil"/>
              <w:bottom w:val="nil"/>
            </w:tcBorders>
            <w:vAlign w:val="top"/>
          </w:tcPr>
          <w:p w14:paraId="489E7882">
            <w:pPr>
              <w:rPr>
                <w:rFonts w:ascii="Arial"/>
                <w:sz w:val="21"/>
              </w:rPr>
            </w:pPr>
          </w:p>
        </w:tc>
        <w:tc>
          <w:tcPr>
            <w:tcW w:w="1360" w:type="dxa"/>
            <w:vMerge w:val="continue"/>
            <w:tcBorders>
              <w:top w:val="nil"/>
              <w:bottom w:val="nil"/>
            </w:tcBorders>
            <w:vAlign w:val="top"/>
          </w:tcPr>
          <w:p w14:paraId="36F0067A">
            <w:pPr>
              <w:rPr>
                <w:rFonts w:ascii="Arial"/>
                <w:sz w:val="21"/>
              </w:rPr>
            </w:pPr>
          </w:p>
        </w:tc>
        <w:tc>
          <w:tcPr>
            <w:tcW w:w="1581" w:type="dxa"/>
            <w:vMerge w:val="continue"/>
            <w:tcBorders>
              <w:top w:val="nil"/>
              <w:bottom w:val="nil"/>
            </w:tcBorders>
            <w:vAlign w:val="top"/>
          </w:tcPr>
          <w:p w14:paraId="468A9856">
            <w:pPr>
              <w:rPr>
                <w:rFonts w:ascii="Arial"/>
                <w:sz w:val="21"/>
              </w:rPr>
            </w:pPr>
          </w:p>
        </w:tc>
        <w:tc>
          <w:tcPr>
            <w:tcW w:w="1586" w:type="dxa"/>
            <w:vAlign w:val="top"/>
          </w:tcPr>
          <w:p w14:paraId="272443BA">
            <w:pPr>
              <w:pStyle w:val="51"/>
              <w:spacing w:before="176" w:line="226" w:lineRule="auto"/>
              <w:ind w:left="352"/>
              <w:rPr>
                <w:sz w:val="17"/>
                <w:szCs w:val="17"/>
              </w:rPr>
            </w:pPr>
            <w:r>
              <w:rPr>
                <w:spacing w:val="6"/>
                <w:sz w:val="17"/>
                <w:szCs w:val="17"/>
              </w:rPr>
              <w:t>金银花(干)</w:t>
            </w:r>
          </w:p>
        </w:tc>
        <w:tc>
          <w:tcPr>
            <w:tcW w:w="682" w:type="dxa"/>
            <w:vAlign w:val="top"/>
          </w:tcPr>
          <w:p w14:paraId="153C55B5">
            <w:pPr>
              <w:pStyle w:val="51"/>
              <w:spacing w:before="176" w:line="230" w:lineRule="auto"/>
              <w:ind w:left="173"/>
              <w:rPr>
                <w:sz w:val="17"/>
                <w:szCs w:val="17"/>
              </w:rPr>
            </w:pPr>
            <w:r>
              <w:rPr>
                <w:spacing w:val="2"/>
                <w:sz w:val="17"/>
                <w:szCs w:val="17"/>
              </w:rPr>
              <w:t>一般</w:t>
            </w:r>
          </w:p>
        </w:tc>
        <w:tc>
          <w:tcPr>
            <w:tcW w:w="8563" w:type="dxa"/>
            <w:vAlign w:val="top"/>
          </w:tcPr>
          <w:p w14:paraId="042C30E2">
            <w:pPr>
              <w:pStyle w:val="51"/>
              <w:spacing w:before="59" w:line="249" w:lineRule="auto"/>
              <w:ind w:left="38" w:hanging="1"/>
              <w:rPr>
                <w:sz w:val="17"/>
                <w:szCs w:val="17"/>
              </w:rPr>
            </w:pPr>
            <w:r>
              <w:rPr>
                <w:spacing w:val="8"/>
                <w:sz w:val="17"/>
                <w:szCs w:val="17"/>
              </w:rPr>
              <w:t>铅(以</w:t>
            </w:r>
            <w:r>
              <w:rPr>
                <w:sz w:val="17"/>
                <w:szCs w:val="17"/>
              </w:rPr>
              <w:t>Pb</w:t>
            </w:r>
            <w:r>
              <w:rPr>
                <w:spacing w:val="8"/>
                <w:sz w:val="17"/>
                <w:szCs w:val="17"/>
              </w:rPr>
              <w:t>计)、二氧化硫残留量、啶虫脒、克百威、毒</w:t>
            </w:r>
            <w:r>
              <w:rPr>
                <w:spacing w:val="7"/>
                <w:sz w:val="17"/>
                <w:szCs w:val="17"/>
              </w:rPr>
              <w:t>死蜱、氯氟氰菊酯和高效氯氟氰菊酯、吡虫啉、三唑磷、</w:t>
            </w:r>
            <w:r>
              <w:rPr>
                <w:spacing w:val="3"/>
                <w:sz w:val="17"/>
                <w:szCs w:val="17"/>
              </w:rPr>
              <w:t>霉菌</w:t>
            </w:r>
          </w:p>
        </w:tc>
      </w:tr>
      <w:tr w14:paraId="5E453D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459" w:type="dxa"/>
            <w:vMerge w:val="continue"/>
            <w:tcBorders>
              <w:top w:val="nil"/>
              <w:bottom w:val="nil"/>
            </w:tcBorders>
            <w:vAlign w:val="top"/>
          </w:tcPr>
          <w:p w14:paraId="44291502">
            <w:pPr>
              <w:rPr>
                <w:rFonts w:ascii="Arial"/>
                <w:sz w:val="21"/>
              </w:rPr>
            </w:pPr>
          </w:p>
        </w:tc>
        <w:tc>
          <w:tcPr>
            <w:tcW w:w="942" w:type="dxa"/>
            <w:vMerge w:val="continue"/>
            <w:tcBorders>
              <w:top w:val="nil"/>
              <w:bottom w:val="nil"/>
            </w:tcBorders>
            <w:vAlign w:val="top"/>
          </w:tcPr>
          <w:p w14:paraId="22841711">
            <w:pPr>
              <w:rPr>
                <w:rFonts w:ascii="Arial"/>
                <w:sz w:val="21"/>
              </w:rPr>
            </w:pPr>
          </w:p>
        </w:tc>
        <w:tc>
          <w:tcPr>
            <w:tcW w:w="1360" w:type="dxa"/>
            <w:vMerge w:val="continue"/>
            <w:tcBorders>
              <w:top w:val="nil"/>
              <w:bottom w:val="nil"/>
            </w:tcBorders>
            <w:vAlign w:val="top"/>
          </w:tcPr>
          <w:p w14:paraId="7957DB15">
            <w:pPr>
              <w:rPr>
                <w:rFonts w:ascii="Arial"/>
                <w:sz w:val="21"/>
              </w:rPr>
            </w:pPr>
          </w:p>
        </w:tc>
        <w:tc>
          <w:tcPr>
            <w:tcW w:w="1581" w:type="dxa"/>
            <w:vMerge w:val="continue"/>
            <w:tcBorders>
              <w:top w:val="nil"/>
              <w:bottom w:val="nil"/>
            </w:tcBorders>
            <w:vAlign w:val="top"/>
          </w:tcPr>
          <w:p w14:paraId="6DB358FB">
            <w:pPr>
              <w:rPr>
                <w:rFonts w:ascii="Arial"/>
                <w:sz w:val="21"/>
              </w:rPr>
            </w:pPr>
          </w:p>
        </w:tc>
        <w:tc>
          <w:tcPr>
            <w:tcW w:w="1586" w:type="dxa"/>
            <w:vAlign w:val="top"/>
          </w:tcPr>
          <w:p w14:paraId="6BB8D13F">
            <w:pPr>
              <w:pStyle w:val="51"/>
              <w:spacing w:before="176" w:line="229" w:lineRule="auto"/>
              <w:ind w:left="532"/>
              <w:rPr>
                <w:sz w:val="17"/>
                <w:szCs w:val="17"/>
              </w:rPr>
            </w:pPr>
            <w:r>
              <w:rPr>
                <w:spacing w:val="5"/>
                <w:sz w:val="17"/>
                <w:szCs w:val="17"/>
              </w:rPr>
              <w:t>苦丁茶</w:t>
            </w:r>
          </w:p>
        </w:tc>
        <w:tc>
          <w:tcPr>
            <w:tcW w:w="682" w:type="dxa"/>
            <w:vAlign w:val="top"/>
          </w:tcPr>
          <w:p w14:paraId="304EBF29">
            <w:pPr>
              <w:pStyle w:val="51"/>
              <w:spacing w:before="176" w:line="230" w:lineRule="auto"/>
              <w:ind w:left="173"/>
              <w:rPr>
                <w:sz w:val="17"/>
                <w:szCs w:val="17"/>
              </w:rPr>
            </w:pPr>
            <w:r>
              <w:rPr>
                <w:spacing w:val="2"/>
                <w:sz w:val="17"/>
                <w:szCs w:val="17"/>
              </w:rPr>
              <w:t>一般</w:t>
            </w:r>
          </w:p>
        </w:tc>
        <w:tc>
          <w:tcPr>
            <w:tcW w:w="8563" w:type="dxa"/>
            <w:vAlign w:val="top"/>
          </w:tcPr>
          <w:p w14:paraId="4905A3DD">
            <w:pPr>
              <w:pStyle w:val="51"/>
              <w:spacing w:before="58" w:line="248" w:lineRule="auto"/>
              <w:ind w:left="38" w:hanging="1"/>
              <w:rPr>
                <w:sz w:val="17"/>
                <w:szCs w:val="17"/>
              </w:rPr>
            </w:pPr>
            <w:r>
              <w:rPr>
                <w:spacing w:val="8"/>
                <w:sz w:val="17"/>
                <w:szCs w:val="17"/>
              </w:rPr>
              <w:t>铅(以</w:t>
            </w:r>
            <w:r>
              <w:rPr>
                <w:sz w:val="17"/>
                <w:szCs w:val="17"/>
              </w:rPr>
              <w:t>Pb</w:t>
            </w:r>
            <w:r>
              <w:rPr>
                <w:spacing w:val="8"/>
                <w:sz w:val="17"/>
                <w:szCs w:val="17"/>
              </w:rPr>
              <w:t>计)、二氧化硫残留量、啶虫脒、克百威、毒</w:t>
            </w:r>
            <w:r>
              <w:rPr>
                <w:spacing w:val="7"/>
                <w:sz w:val="17"/>
                <w:szCs w:val="17"/>
              </w:rPr>
              <w:t>死蜱、氯氟氰菊酯和高效氯氟氰菊酯、吡虫啉、三唑磷、</w:t>
            </w:r>
            <w:r>
              <w:rPr>
                <w:spacing w:val="3"/>
                <w:sz w:val="17"/>
                <w:szCs w:val="17"/>
              </w:rPr>
              <w:t>霉菌</w:t>
            </w:r>
          </w:p>
        </w:tc>
      </w:tr>
      <w:tr w14:paraId="0FC2F4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7" w:hRule="atLeast"/>
        </w:trPr>
        <w:tc>
          <w:tcPr>
            <w:tcW w:w="459" w:type="dxa"/>
            <w:vMerge w:val="continue"/>
            <w:tcBorders>
              <w:top w:val="nil"/>
            </w:tcBorders>
            <w:vAlign w:val="top"/>
          </w:tcPr>
          <w:p w14:paraId="05A1B254">
            <w:pPr>
              <w:rPr>
                <w:rFonts w:ascii="Arial"/>
                <w:sz w:val="21"/>
              </w:rPr>
            </w:pPr>
          </w:p>
        </w:tc>
        <w:tc>
          <w:tcPr>
            <w:tcW w:w="942" w:type="dxa"/>
            <w:vMerge w:val="continue"/>
            <w:tcBorders>
              <w:top w:val="nil"/>
            </w:tcBorders>
            <w:vAlign w:val="top"/>
          </w:tcPr>
          <w:p w14:paraId="02EA2F1C">
            <w:pPr>
              <w:rPr>
                <w:rFonts w:ascii="Arial"/>
                <w:sz w:val="21"/>
              </w:rPr>
            </w:pPr>
          </w:p>
        </w:tc>
        <w:tc>
          <w:tcPr>
            <w:tcW w:w="1360" w:type="dxa"/>
            <w:vMerge w:val="continue"/>
            <w:tcBorders>
              <w:top w:val="nil"/>
            </w:tcBorders>
            <w:vAlign w:val="top"/>
          </w:tcPr>
          <w:p w14:paraId="3F6B8424">
            <w:pPr>
              <w:rPr>
                <w:rFonts w:ascii="Arial"/>
                <w:sz w:val="21"/>
              </w:rPr>
            </w:pPr>
          </w:p>
        </w:tc>
        <w:tc>
          <w:tcPr>
            <w:tcW w:w="1581" w:type="dxa"/>
            <w:vMerge w:val="continue"/>
            <w:tcBorders>
              <w:top w:val="nil"/>
            </w:tcBorders>
            <w:vAlign w:val="top"/>
          </w:tcPr>
          <w:p w14:paraId="3C97DD5C">
            <w:pPr>
              <w:rPr>
                <w:rFonts w:ascii="Arial"/>
                <w:sz w:val="21"/>
              </w:rPr>
            </w:pPr>
          </w:p>
        </w:tc>
        <w:tc>
          <w:tcPr>
            <w:tcW w:w="1586" w:type="dxa"/>
            <w:vAlign w:val="top"/>
          </w:tcPr>
          <w:p w14:paraId="3DDF2748">
            <w:pPr>
              <w:pStyle w:val="51"/>
              <w:spacing w:before="215" w:line="227" w:lineRule="auto"/>
              <w:ind w:left="353"/>
              <w:rPr>
                <w:sz w:val="17"/>
                <w:szCs w:val="17"/>
              </w:rPr>
            </w:pPr>
            <w:r>
              <w:rPr>
                <w:spacing w:val="7"/>
                <w:sz w:val="17"/>
                <w:szCs w:val="17"/>
              </w:rPr>
              <w:t>其他代用茶</w:t>
            </w:r>
          </w:p>
        </w:tc>
        <w:tc>
          <w:tcPr>
            <w:tcW w:w="682" w:type="dxa"/>
            <w:vAlign w:val="top"/>
          </w:tcPr>
          <w:p w14:paraId="6D8861E2">
            <w:pPr>
              <w:pStyle w:val="51"/>
              <w:spacing w:before="215" w:line="230" w:lineRule="auto"/>
              <w:ind w:left="173"/>
              <w:rPr>
                <w:sz w:val="17"/>
                <w:szCs w:val="17"/>
              </w:rPr>
            </w:pPr>
            <w:r>
              <w:rPr>
                <w:spacing w:val="2"/>
                <w:sz w:val="17"/>
                <w:szCs w:val="17"/>
              </w:rPr>
              <w:t>一般</w:t>
            </w:r>
          </w:p>
        </w:tc>
        <w:tc>
          <w:tcPr>
            <w:tcW w:w="8563" w:type="dxa"/>
            <w:vAlign w:val="top"/>
          </w:tcPr>
          <w:p w14:paraId="1756297B">
            <w:pPr>
              <w:pStyle w:val="51"/>
              <w:spacing w:before="90" w:line="275" w:lineRule="auto"/>
              <w:ind w:left="38" w:hanging="1"/>
              <w:rPr>
                <w:sz w:val="17"/>
                <w:szCs w:val="17"/>
              </w:rPr>
            </w:pPr>
            <w:r>
              <w:rPr>
                <w:spacing w:val="8"/>
                <w:sz w:val="17"/>
                <w:szCs w:val="17"/>
              </w:rPr>
              <w:t>铅(以</w:t>
            </w:r>
            <w:r>
              <w:rPr>
                <w:sz w:val="17"/>
                <w:szCs w:val="17"/>
              </w:rPr>
              <w:t>Pb</w:t>
            </w:r>
            <w:r>
              <w:rPr>
                <w:spacing w:val="8"/>
                <w:sz w:val="17"/>
                <w:szCs w:val="17"/>
              </w:rPr>
              <w:t>计)、二氧化硫残留量、啶虫脒、克百威、毒</w:t>
            </w:r>
            <w:r>
              <w:rPr>
                <w:spacing w:val="7"/>
                <w:sz w:val="17"/>
                <w:szCs w:val="17"/>
              </w:rPr>
              <w:t>死蜱、氯氟氰菊酯和高效氯氟氰菊酯、吡虫啉、三唑磷、</w:t>
            </w:r>
            <w:r>
              <w:rPr>
                <w:spacing w:val="3"/>
                <w:sz w:val="17"/>
                <w:szCs w:val="17"/>
              </w:rPr>
              <w:t>霉菌</w:t>
            </w:r>
          </w:p>
        </w:tc>
      </w:tr>
    </w:tbl>
    <w:p w14:paraId="39DF8FB2">
      <w:pPr>
        <w:rPr>
          <w:rFonts w:ascii="Arial"/>
          <w:sz w:val="21"/>
        </w:rPr>
      </w:pPr>
    </w:p>
    <w:p w14:paraId="63558B36">
      <w:pPr>
        <w:rPr>
          <w:rFonts w:ascii="Arial" w:hAnsi="Arial" w:eastAsia="Arial" w:cs="Arial"/>
          <w:sz w:val="21"/>
          <w:szCs w:val="21"/>
        </w:rPr>
        <w:sectPr>
          <w:pgSz w:w="16838" w:h="11906"/>
          <w:pgMar w:top="1011" w:right="829" w:bottom="400" w:left="363" w:header="567" w:footer="567" w:gutter="0"/>
          <w:pgNumType w:fmt="decimal"/>
          <w:cols w:space="720" w:num="1"/>
        </w:sectPr>
      </w:pPr>
    </w:p>
    <w:p w14:paraId="240F11F4">
      <w:pPr>
        <w:spacing w:before="18"/>
      </w:pPr>
    </w:p>
    <w:p w14:paraId="7C287786">
      <w:pPr>
        <w:spacing w:before="18"/>
      </w:pPr>
    </w:p>
    <w:tbl>
      <w:tblPr>
        <w:tblStyle w:val="50"/>
        <w:tblW w:w="15173" w:type="dxa"/>
        <w:tblInd w:w="46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59"/>
        <w:gridCol w:w="942"/>
        <w:gridCol w:w="1360"/>
        <w:gridCol w:w="1581"/>
        <w:gridCol w:w="1586"/>
        <w:gridCol w:w="682"/>
        <w:gridCol w:w="8563"/>
      </w:tblGrid>
      <w:tr w14:paraId="242C09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459" w:type="dxa"/>
            <w:vAlign w:val="top"/>
          </w:tcPr>
          <w:p w14:paraId="13CD37D5">
            <w:pPr>
              <w:spacing w:before="241" w:line="234" w:lineRule="auto"/>
              <w:ind w:left="52"/>
              <w:rPr>
                <w:rFonts w:ascii="黑体" w:hAnsi="黑体" w:eastAsia="黑体" w:cs="黑体"/>
                <w:sz w:val="17"/>
                <w:szCs w:val="17"/>
              </w:rPr>
            </w:pPr>
            <w:r>
              <w:rPr>
                <w:rFonts w:ascii="黑体" w:hAnsi="黑体" w:eastAsia="黑体" w:cs="黑体"/>
                <w:spacing w:val="6"/>
                <w:sz w:val="17"/>
                <w:szCs w:val="17"/>
              </w:rPr>
              <w:t>序号</w:t>
            </w:r>
          </w:p>
        </w:tc>
        <w:tc>
          <w:tcPr>
            <w:tcW w:w="942" w:type="dxa"/>
            <w:vAlign w:val="top"/>
          </w:tcPr>
          <w:p w14:paraId="6D043E4C">
            <w:pPr>
              <w:spacing w:before="90" w:line="232" w:lineRule="auto"/>
              <w:ind w:left="111"/>
              <w:rPr>
                <w:rFonts w:ascii="黑体" w:hAnsi="黑体" w:eastAsia="黑体" w:cs="黑体"/>
                <w:sz w:val="17"/>
                <w:szCs w:val="17"/>
              </w:rPr>
            </w:pPr>
            <w:r>
              <w:rPr>
                <w:rFonts w:ascii="黑体" w:hAnsi="黑体" w:eastAsia="黑体" w:cs="黑体"/>
                <w:spacing w:val="8"/>
                <w:sz w:val="17"/>
                <w:szCs w:val="17"/>
              </w:rPr>
              <w:t>食品大类</w:t>
            </w:r>
          </w:p>
          <w:p w14:paraId="6841A2F8">
            <w:pPr>
              <w:spacing w:before="86" w:line="227" w:lineRule="auto"/>
              <w:ind w:left="237"/>
              <w:rPr>
                <w:rFonts w:ascii="黑体" w:hAnsi="黑体" w:eastAsia="黑体" w:cs="黑体"/>
                <w:sz w:val="17"/>
                <w:szCs w:val="17"/>
              </w:rPr>
            </w:pPr>
            <w:r>
              <w:rPr>
                <w:rFonts w:ascii="黑体" w:hAnsi="黑体" w:eastAsia="黑体" w:cs="黑体"/>
                <w:spacing w:val="-4"/>
                <w:sz w:val="17"/>
                <w:szCs w:val="17"/>
              </w:rPr>
              <w:t>(一级)</w:t>
            </w:r>
          </w:p>
        </w:tc>
        <w:tc>
          <w:tcPr>
            <w:tcW w:w="1360" w:type="dxa"/>
            <w:vAlign w:val="top"/>
          </w:tcPr>
          <w:p w14:paraId="336E647D">
            <w:pPr>
              <w:spacing w:before="90" w:line="232" w:lineRule="auto"/>
              <w:ind w:left="321"/>
              <w:rPr>
                <w:rFonts w:ascii="黑体" w:hAnsi="黑体" w:eastAsia="黑体" w:cs="黑体"/>
                <w:sz w:val="17"/>
                <w:szCs w:val="17"/>
              </w:rPr>
            </w:pPr>
            <w:r>
              <w:rPr>
                <w:rFonts w:ascii="黑体" w:hAnsi="黑体" w:eastAsia="黑体" w:cs="黑体"/>
                <w:spacing w:val="8"/>
                <w:sz w:val="17"/>
                <w:szCs w:val="17"/>
              </w:rPr>
              <w:t>食品亚类</w:t>
            </w:r>
          </w:p>
          <w:p w14:paraId="7FBDF616">
            <w:pPr>
              <w:spacing w:before="86" w:line="227" w:lineRule="auto"/>
              <w:ind w:left="444"/>
              <w:rPr>
                <w:rFonts w:ascii="黑体" w:hAnsi="黑体" w:eastAsia="黑体" w:cs="黑体"/>
                <w:sz w:val="17"/>
                <w:szCs w:val="17"/>
              </w:rPr>
            </w:pPr>
            <w:r>
              <w:rPr>
                <w:rFonts w:ascii="黑体" w:hAnsi="黑体" w:eastAsia="黑体" w:cs="黑体"/>
                <w:spacing w:val="-3"/>
                <w:sz w:val="17"/>
                <w:szCs w:val="17"/>
              </w:rPr>
              <w:t>(二级)</w:t>
            </w:r>
          </w:p>
        </w:tc>
        <w:tc>
          <w:tcPr>
            <w:tcW w:w="1581" w:type="dxa"/>
            <w:vAlign w:val="top"/>
          </w:tcPr>
          <w:p w14:paraId="7FD67FB1">
            <w:pPr>
              <w:spacing w:before="90" w:line="232" w:lineRule="auto"/>
              <w:ind w:left="433"/>
              <w:rPr>
                <w:rFonts w:ascii="黑体" w:hAnsi="黑体" w:eastAsia="黑体" w:cs="黑体"/>
                <w:sz w:val="17"/>
                <w:szCs w:val="17"/>
              </w:rPr>
            </w:pPr>
            <w:r>
              <w:rPr>
                <w:rFonts w:ascii="黑体" w:hAnsi="黑体" w:eastAsia="黑体" w:cs="黑体"/>
                <w:spacing w:val="8"/>
                <w:sz w:val="17"/>
                <w:szCs w:val="17"/>
              </w:rPr>
              <w:t>食品品种</w:t>
            </w:r>
          </w:p>
          <w:p w14:paraId="13644495">
            <w:pPr>
              <w:spacing w:before="86" w:line="227" w:lineRule="auto"/>
              <w:ind w:left="558"/>
              <w:rPr>
                <w:rFonts w:ascii="黑体" w:hAnsi="黑体" w:eastAsia="黑体" w:cs="黑体"/>
                <w:sz w:val="17"/>
                <w:szCs w:val="17"/>
              </w:rPr>
            </w:pPr>
            <w:r>
              <w:rPr>
                <w:rFonts w:ascii="黑体" w:hAnsi="黑体" w:eastAsia="黑体" w:cs="黑体"/>
                <w:spacing w:val="-4"/>
                <w:sz w:val="17"/>
                <w:szCs w:val="17"/>
              </w:rPr>
              <w:t>(三级)</w:t>
            </w:r>
          </w:p>
        </w:tc>
        <w:tc>
          <w:tcPr>
            <w:tcW w:w="1586" w:type="dxa"/>
            <w:vAlign w:val="top"/>
          </w:tcPr>
          <w:p w14:paraId="0BBC6F81">
            <w:pPr>
              <w:spacing w:before="90" w:line="232" w:lineRule="auto"/>
              <w:ind w:left="436"/>
              <w:rPr>
                <w:rFonts w:ascii="黑体" w:hAnsi="黑体" w:eastAsia="黑体" w:cs="黑体"/>
                <w:sz w:val="17"/>
                <w:szCs w:val="17"/>
              </w:rPr>
            </w:pPr>
            <w:r>
              <w:rPr>
                <w:rFonts w:ascii="黑体" w:hAnsi="黑体" w:eastAsia="黑体" w:cs="黑体"/>
                <w:spacing w:val="8"/>
                <w:sz w:val="17"/>
                <w:szCs w:val="17"/>
              </w:rPr>
              <w:t>食品细类</w:t>
            </w:r>
          </w:p>
          <w:p w14:paraId="79368DE2">
            <w:pPr>
              <w:spacing w:before="86" w:line="227" w:lineRule="auto"/>
              <w:ind w:left="561"/>
              <w:rPr>
                <w:rFonts w:ascii="黑体" w:hAnsi="黑体" w:eastAsia="黑体" w:cs="黑体"/>
                <w:sz w:val="17"/>
                <w:szCs w:val="17"/>
              </w:rPr>
            </w:pPr>
            <w:r>
              <w:rPr>
                <w:rFonts w:ascii="黑体" w:hAnsi="黑体" w:eastAsia="黑体" w:cs="黑体"/>
                <w:spacing w:val="-4"/>
                <w:sz w:val="17"/>
                <w:szCs w:val="17"/>
              </w:rPr>
              <w:t>(四级)</w:t>
            </w:r>
          </w:p>
        </w:tc>
        <w:tc>
          <w:tcPr>
            <w:tcW w:w="682" w:type="dxa"/>
            <w:vAlign w:val="top"/>
          </w:tcPr>
          <w:p w14:paraId="6B78FD40">
            <w:pPr>
              <w:spacing w:before="89" w:line="233" w:lineRule="auto"/>
              <w:ind w:left="166"/>
              <w:rPr>
                <w:rFonts w:ascii="黑体" w:hAnsi="黑体" w:eastAsia="黑体" w:cs="黑体"/>
                <w:sz w:val="17"/>
                <w:szCs w:val="17"/>
              </w:rPr>
            </w:pPr>
            <w:r>
              <w:rPr>
                <w:rFonts w:ascii="黑体" w:hAnsi="黑体" w:eastAsia="黑体" w:cs="黑体"/>
                <w:spacing w:val="6"/>
                <w:sz w:val="17"/>
                <w:szCs w:val="17"/>
              </w:rPr>
              <w:t>风险</w:t>
            </w:r>
          </w:p>
          <w:p w14:paraId="0509799B">
            <w:pPr>
              <w:spacing w:before="85" w:line="227" w:lineRule="auto"/>
              <w:ind w:left="163"/>
              <w:rPr>
                <w:rFonts w:ascii="黑体" w:hAnsi="黑体" w:eastAsia="黑体" w:cs="黑体"/>
                <w:sz w:val="17"/>
                <w:szCs w:val="17"/>
              </w:rPr>
            </w:pPr>
            <w:r>
              <w:rPr>
                <w:rFonts w:ascii="黑体" w:hAnsi="黑体" w:eastAsia="黑体" w:cs="黑体"/>
                <w:spacing w:val="7"/>
                <w:sz w:val="17"/>
                <w:szCs w:val="17"/>
              </w:rPr>
              <w:t>等级</w:t>
            </w:r>
          </w:p>
        </w:tc>
        <w:tc>
          <w:tcPr>
            <w:tcW w:w="8563" w:type="dxa"/>
            <w:vAlign w:val="top"/>
          </w:tcPr>
          <w:p w14:paraId="17EB14D9">
            <w:pPr>
              <w:spacing w:before="241" w:line="232" w:lineRule="auto"/>
              <w:ind w:left="3744"/>
              <w:rPr>
                <w:rFonts w:ascii="黑体" w:hAnsi="黑体" w:eastAsia="黑体" w:cs="黑体"/>
                <w:sz w:val="17"/>
                <w:szCs w:val="17"/>
              </w:rPr>
            </w:pPr>
            <w:r>
              <w:rPr>
                <w:rFonts w:ascii="黑体" w:hAnsi="黑体" w:eastAsia="黑体" w:cs="黑体"/>
                <w:spacing w:val="8"/>
                <w:sz w:val="17"/>
                <w:szCs w:val="17"/>
              </w:rPr>
              <w:t>监督抽检项目</w:t>
            </w:r>
          </w:p>
        </w:tc>
      </w:tr>
      <w:tr w14:paraId="219222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459" w:type="dxa"/>
            <w:vMerge w:val="restart"/>
            <w:tcBorders>
              <w:bottom w:val="nil"/>
            </w:tcBorders>
            <w:vAlign w:val="top"/>
          </w:tcPr>
          <w:p w14:paraId="3E04A589">
            <w:pPr>
              <w:spacing w:line="251" w:lineRule="auto"/>
              <w:rPr>
                <w:rFonts w:ascii="Arial"/>
                <w:sz w:val="21"/>
              </w:rPr>
            </w:pPr>
          </w:p>
          <w:p w14:paraId="496B7907">
            <w:pPr>
              <w:spacing w:line="251" w:lineRule="auto"/>
              <w:rPr>
                <w:rFonts w:ascii="Arial"/>
                <w:sz w:val="21"/>
              </w:rPr>
            </w:pPr>
          </w:p>
          <w:p w14:paraId="609BE63D">
            <w:pPr>
              <w:spacing w:line="251" w:lineRule="auto"/>
              <w:rPr>
                <w:rFonts w:ascii="Arial"/>
                <w:sz w:val="21"/>
              </w:rPr>
            </w:pPr>
          </w:p>
          <w:p w14:paraId="582922B1">
            <w:pPr>
              <w:spacing w:line="252" w:lineRule="auto"/>
              <w:rPr>
                <w:rFonts w:ascii="Arial"/>
                <w:sz w:val="21"/>
              </w:rPr>
            </w:pPr>
          </w:p>
          <w:p w14:paraId="081FCB8F">
            <w:pPr>
              <w:spacing w:line="252" w:lineRule="auto"/>
              <w:rPr>
                <w:rFonts w:ascii="Arial"/>
                <w:sz w:val="21"/>
              </w:rPr>
            </w:pPr>
          </w:p>
          <w:p w14:paraId="01CCAB01">
            <w:pPr>
              <w:spacing w:line="252" w:lineRule="auto"/>
              <w:rPr>
                <w:rFonts w:ascii="Arial"/>
                <w:sz w:val="21"/>
              </w:rPr>
            </w:pPr>
          </w:p>
          <w:p w14:paraId="54ED569E">
            <w:pPr>
              <w:spacing w:line="252" w:lineRule="auto"/>
              <w:rPr>
                <w:rFonts w:ascii="Arial"/>
                <w:sz w:val="21"/>
              </w:rPr>
            </w:pPr>
          </w:p>
          <w:p w14:paraId="4C426FEF">
            <w:pPr>
              <w:spacing w:line="252" w:lineRule="auto"/>
              <w:rPr>
                <w:rFonts w:ascii="Arial"/>
                <w:sz w:val="21"/>
              </w:rPr>
            </w:pPr>
          </w:p>
          <w:p w14:paraId="60CD0FE1">
            <w:pPr>
              <w:spacing w:line="252" w:lineRule="auto"/>
              <w:rPr>
                <w:rFonts w:ascii="Arial"/>
                <w:sz w:val="21"/>
              </w:rPr>
            </w:pPr>
          </w:p>
          <w:p w14:paraId="5150F216">
            <w:pPr>
              <w:spacing w:line="252" w:lineRule="auto"/>
              <w:rPr>
                <w:rFonts w:ascii="Arial"/>
                <w:sz w:val="21"/>
              </w:rPr>
            </w:pPr>
          </w:p>
          <w:p w14:paraId="5BF6916E">
            <w:pPr>
              <w:spacing w:line="252" w:lineRule="auto"/>
              <w:rPr>
                <w:rFonts w:ascii="Arial"/>
                <w:sz w:val="21"/>
              </w:rPr>
            </w:pPr>
          </w:p>
          <w:p w14:paraId="5DCCEA74">
            <w:pPr>
              <w:pStyle w:val="51"/>
              <w:spacing w:before="55" w:line="227" w:lineRule="exact"/>
              <w:ind w:left="156"/>
              <w:rPr>
                <w:sz w:val="17"/>
                <w:szCs w:val="17"/>
              </w:rPr>
            </w:pPr>
            <w:r>
              <w:rPr>
                <w:spacing w:val="-6"/>
                <w:position w:val="1"/>
                <w:sz w:val="17"/>
                <w:szCs w:val="17"/>
              </w:rPr>
              <w:t>15</w:t>
            </w:r>
          </w:p>
        </w:tc>
        <w:tc>
          <w:tcPr>
            <w:tcW w:w="942" w:type="dxa"/>
            <w:vMerge w:val="restart"/>
            <w:tcBorders>
              <w:bottom w:val="nil"/>
            </w:tcBorders>
            <w:vAlign w:val="top"/>
          </w:tcPr>
          <w:p w14:paraId="27BF921E">
            <w:pPr>
              <w:spacing w:line="251" w:lineRule="auto"/>
              <w:rPr>
                <w:rFonts w:ascii="Arial"/>
                <w:sz w:val="21"/>
              </w:rPr>
            </w:pPr>
          </w:p>
          <w:p w14:paraId="4B3EB540">
            <w:pPr>
              <w:spacing w:line="251" w:lineRule="auto"/>
              <w:rPr>
                <w:rFonts w:ascii="Arial"/>
                <w:sz w:val="21"/>
              </w:rPr>
            </w:pPr>
          </w:p>
          <w:p w14:paraId="2580D2E2">
            <w:pPr>
              <w:spacing w:line="251" w:lineRule="auto"/>
              <w:rPr>
                <w:rFonts w:ascii="Arial"/>
                <w:sz w:val="21"/>
              </w:rPr>
            </w:pPr>
          </w:p>
          <w:p w14:paraId="6EDF1EB2">
            <w:pPr>
              <w:spacing w:line="252" w:lineRule="auto"/>
              <w:rPr>
                <w:rFonts w:ascii="Arial"/>
                <w:sz w:val="21"/>
              </w:rPr>
            </w:pPr>
          </w:p>
          <w:p w14:paraId="01A05BA1">
            <w:pPr>
              <w:spacing w:line="252" w:lineRule="auto"/>
              <w:rPr>
                <w:rFonts w:ascii="Arial"/>
                <w:sz w:val="21"/>
              </w:rPr>
            </w:pPr>
          </w:p>
          <w:p w14:paraId="74523EAC">
            <w:pPr>
              <w:spacing w:line="252" w:lineRule="auto"/>
              <w:rPr>
                <w:rFonts w:ascii="Arial"/>
                <w:sz w:val="21"/>
              </w:rPr>
            </w:pPr>
          </w:p>
          <w:p w14:paraId="7C032A2E">
            <w:pPr>
              <w:spacing w:line="252" w:lineRule="auto"/>
              <w:rPr>
                <w:rFonts w:ascii="Arial"/>
                <w:sz w:val="21"/>
              </w:rPr>
            </w:pPr>
          </w:p>
          <w:p w14:paraId="255FAE82">
            <w:pPr>
              <w:spacing w:line="252" w:lineRule="auto"/>
              <w:rPr>
                <w:rFonts w:ascii="Arial"/>
                <w:sz w:val="21"/>
              </w:rPr>
            </w:pPr>
          </w:p>
          <w:p w14:paraId="2E3910C1">
            <w:pPr>
              <w:spacing w:line="252" w:lineRule="auto"/>
              <w:rPr>
                <w:rFonts w:ascii="Arial"/>
                <w:sz w:val="21"/>
              </w:rPr>
            </w:pPr>
          </w:p>
          <w:p w14:paraId="4572A6CA">
            <w:pPr>
              <w:spacing w:line="252" w:lineRule="auto"/>
              <w:rPr>
                <w:rFonts w:ascii="Arial"/>
                <w:sz w:val="21"/>
              </w:rPr>
            </w:pPr>
          </w:p>
          <w:p w14:paraId="6AEB530C">
            <w:pPr>
              <w:spacing w:line="252" w:lineRule="auto"/>
              <w:rPr>
                <w:rFonts w:ascii="Arial"/>
                <w:sz w:val="21"/>
              </w:rPr>
            </w:pPr>
          </w:p>
          <w:p w14:paraId="19DE33A5">
            <w:pPr>
              <w:pStyle w:val="51"/>
              <w:spacing w:before="55" w:line="229" w:lineRule="auto"/>
              <w:ind w:left="296"/>
              <w:rPr>
                <w:sz w:val="17"/>
                <w:szCs w:val="17"/>
              </w:rPr>
            </w:pPr>
            <w:r>
              <w:rPr>
                <w:spacing w:val="4"/>
                <w:sz w:val="17"/>
                <w:szCs w:val="17"/>
              </w:rPr>
              <w:t>酒类</w:t>
            </w:r>
          </w:p>
        </w:tc>
        <w:tc>
          <w:tcPr>
            <w:tcW w:w="1360" w:type="dxa"/>
            <w:vAlign w:val="top"/>
          </w:tcPr>
          <w:p w14:paraId="24E78F6C">
            <w:pPr>
              <w:pStyle w:val="51"/>
              <w:spacing w:before="238" w:line="229" w:lineRule="auto"/>
              <w:ind w:left="415"/>
              <w:rPr>
                <w:sz w:val="17"/>
                <w:szCs w:val="17"/>
              </w:rPr>
            </w:pPr>
            <w:r>
              <w:rPr>
                <w:spacing w:val="6"/>
                <w:sz w:val="17"/>
                <w:szCs w:val="17"/>
              </w:rPr>
              <w:t>蒸馏酒</w:t>
            </w:r>
          </w:p>
        </w:tc>
        <w:tc>
          <w:tcPr>
            <w:tcW w:w="1581" w:type="dxa"/>
            <w:vAlign w:val="top"/>
          </w:tcPr>
          <w:p w14:paraId="03321D0B">
            <w:pPr>
              <w:pStyle w:val="51"/>
              <w:spacing w:before="238" w:line="229" w:lineRule="auto"/>
              <w:ind w:left="644"/>
              <w:rPr>
                <w:sz w:val="17"/>
                <w:szCs w:val="17"/>
              </w:rPr>
            </w:pPr>
            <w:r>
              <w:rPr>
                <w:spacing w:val="-5"/>
                <w:sz w:val="17"/>
                <w:szCs w:val="17"/>
              </w:rPr>
              <w:t>白酒</w:t>
            </w:r>
          </w:p>
        </w:tc>
        <w:tc>
          <w:tcPr>
            <w:tcW w:w="1586" w:type="dxa"/>
            <w:vAlign w:val="top"/>
          </w:tcPr>
          <w:p w14:paraId="149D3AD1">
            <w:pPr>
              <w:pStyle w:val="51"/>
              <w:spacing w:before="86" w:line="229" w:lineRule="auto"/>
              <w:jc w:val="right"/>
              <w:rPr>
                <w:sz w:val="17"/>
                <w:szCs w:val="17"/>
              </w:rPr>
            </w:pPr>
            <w:r>
              <w:rPr>
                <w:spacing w:val="-2"/>
                <w:sz w:val="17"/>
                <w:szCs w:val="17"/>
              </w:rPr>
              <w:t>白酒、白酒(液态)、</w:t>
            </w:r>
          </w:p>
          <w:p w14:paraId="57D0D408">
            <w:pPr>
              <w:pStyle w:val="51"/>
              <w:spacing w:before="89" w:line="226" w:lineRule="auto"/>
              <w:ind w:left="379"/>
              <w:rPr>
                <w:sz w:val="17"/>
                <w:szCs w:val="17"/>
              </w:rPr>
            </w:pPr>
            <w:r>
              <w:rPr>
                <w:spacing w:val="1"/>
                <w:sz w:val="17"/>
                <w:szCs w:val="17"/>
              </w:rPr>
              <w:t>白酒(原酒)</w:t>
            </w:r>
          </w:p>
        </w:tc>
        <w:tc>
          <w:tcPr>
            <w:tcW w:w="682" w:type="dxa"/>
            <w:vAlign w:val="top"/>
          </w:tcPr>
          <w:p w14:paraId="1071DD2A">
            <w:pPr>
              <w:pStyle w:val="51"/>
              <w:spacing w:before="237" w:line="230" w:lineRule="auto"/>
              <w:ind w:left="267"/>
              <w:rPr>
                <w:sz w:val="17"/>
                <w:szCs w:val="17"/>
              </w:rPr>
            </w:pPr>
            <w:r>
              <w:rPr>
                <w:sz w:val="17"/>
                <w:szCs w:val="17"/>
              </w:rPr>
              <w:t>高</w:t>
            </w:r>
          </w:p>
        </w:tc>
        <w:tc>
          <w:tcPr>
            <w:tcW w:w="8563" w:type="dxa"/>
            <w:vAlign w:val="top"/>
          </w:tcPr>
          <w:p w14:paraId="07A8BE60">
            <w:pPr>
              <w:pStyle w:val="51"/>
              <w:spacing w:before="86" w:line="276" w:lineRule="auto"/>
              <w:ind w:left="37" w:right="26"/>
              <w:rPr>
                <w:sz w:val="17"/>
                <w:szCs w:val="17"/>
              </w:rPr>
            </w:pPr>
            <w:r>
              <w:rPr>
                <w:spacing w:val="8"/>
                <w:sz w:val="17"/>
                <w:szCs w:val="17"/>
              </w:rPr>
              <w:t>酒精度、铅(以</w:t>
            </w:r>
            <w:r>
              <w:rPr>
                <w:sz w:val="17"/>
                <w:szCs w:val="17"/>
              </w:rPr>
              <w:t>Pb</w:t>
            </w:r>
            <w:r>
              <w:rPr>
                <w:spacing w:val="8"/>
                <w:sz w:val="17"/>
                <w:szCs w:val="17"/>
              </w:rPr>
              <w:t>计)、</w:t>
            </w:r>
            <w:r>
              <w:rPr>
                <w:spacing w:val="-50"/>
                <w:sz w:val="17"/>
                <w:szCs w:val="17"/>
              </w:rPr>
              <w:t xml:space="preserve"> </w:t>
            </w:r>
            <w:r>
              <w:rPr>
                <w:spacing w:val="8"/>
                <w:sz w:val="17"/>
                <w:szCs w:val="17"/>
              </w:rPr>
              <w:t>甲醇、氰化物(以</w:t>
            </w:r>
            <w:r>
              <w:rPr>
                <w:sz w:val="17"/>
                <w:szCs w:val="17"/>
              </w:rPr>
              <w:t>HCN</w:t>
            </w:r>
            <w:r>
              <w:rPr>
                <w:spacing w:val="8"/>
                <w:sz w:val="17"/>
                <w:szCs w:val="17"/>
              </w:rPr>
              <w:t>计)、糖精钠(以糖精计)、甜蜜素(以环己基</w:t>
            </w:r>
            <w:r>
              <w:rPr>
                <w:spacing w:val="7"/>
                <w:sz w:val="17"/>
                <w:szCs w:val="17"/>
              </w:rPr>
              <w:t>氨基磺酸计)、三氯蔗</w:t>
            </w:r>
            <w:r>
              <w:rPr>
                <w:spacing w:val="8"/>
                <w:sz w:val="17"/>
                <w:szCs w:val="17"/>
              </w:rPr>
              <w:t>糖、安赛蜜、纽甜</w:t>
            </w:r>
          </w:p>
        </w:tc>
      </w:tr>
      <w:tr w14:paraId="704805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459" w:type="dxa"/>
            <w:vMerge w:val="continue"/>
            <w:tcBorders>
              <w:top w:val="nil"/>
              <w:bottom w:val="nil"/>
            </w:tcBorders>
            <w:vAlign w:val="top"/>
          </w:tcPr>
          <w:p w14:paraId="2311738F">
            <w:pPr>
              <w:rPr>
                <w:rFonts w:ascii="Arial"/>
                <w:sz w:val="21"/>
              </w:rPr>
            </w:pPr>
          </w:p>
        </w:tc>
        <w:tc>
          <w:tcPr>
            <w:tcW w:w="942" w:type="dxa"/>
            <w:vMerge w:val="continue"/>
            <w:tcBorders>
              <w:top w:val="nil"/>
              <w:bottom w:val="nil"/>
            </w:tcBorders>
            <w:vAlign w:val="top"/>
          </w:tcPr>
          <w:p w14:paraId="339962C0">
            <w:pPr>
              <w:rPr>
                <w:rFonts w:ascii="Arial"/>
                <w:sz w:val="21"/>
              </w:rPr>
            </w:pPr>
          </w:p>
        </w:tc>
        <w:tc>
          <w:tcPr>
            <w:tcW w:w="1360" w:type="dxa"/>
            <w:vMerge w:val="restart"/>
            <w:tcBorders>
              <w:bottom w:val="nil"/>
            </w:tcBorders>
            <w:vAlign w:val="top"/>
          </w:tcPr>
          <w:p w14:paraId="553ED6AA">
            <w:pPr>
              <w:spacing w:line="287" w:lineRule="auto"/>
              <w:rPr>
                <w:rFonts w:ascii="Arial"/>
                <w:sz w:val="21"/>
              </w:rPr>
            </w:pPr>
          </w:p>
          <w:p w14:paraId="2C537344">
            <w:pPr>
              <w:spacing w:line="287" w:lineRule="auto"/>
              <w:rPr>
                <w:rFonts w:ascii="Arial"/>
                <w:sz w:val="21"/>
              </w:rPr>
            </w:pPr>
          </w:p>
          <w:p w14:paraId="01BB3405">
            <w:pPr>
              <w:spacing w:line="287" w:lineRule="auto"/>
              <w:rPr>
                <w:rFonts w:ascii="Arial"/>
                <w:sz w:val="21"/>
              </w:rPr>
            </w:pPr>
          </w:p>
          <w:p w14:paraId="55463305">
            <w:pPr>
              <w:spacing w:line="288" w:lineRule="auto"/>
              <w:rPr>
                <w:rFonts w:ascii="Arial"/>
                <w:sz w:val="21"/>
              </w:rPr>
            </w:pPr>
          </w:p>
          <w:p w14:paraId="128B3BB0">
            <w:pPr>
              <w:pStyle w:val="51"/>
              <w:spacing w:before="55" w:line="229" w:lineRule="auto"/>
              <w:ind w:left="420"/>
              <w:rPr>
                <w:sz w:val="17"/>
                <w:szCs w:val="17"/>
              </w:rPr>
            </w:pPr>
            <w:r>
              <w:rPr>
                <w:spacing w:val="4"/>
                <w:sz w:val="17"/>
                <w:szCs w:val="17"/>
              </w:rPr>
              <w:t>发酵酒</w:t>
            </w:r>
          </w:p>
        </w:tc>
        <w:tc>
          <w:tcPr>
            <w:tcW w:w="1581" w:type="dxa"/>
            <w:vAlign w:val="top"/>
          </w:tcPr>
          <w:p w14:paraId="126E307A">
            <w:pPr>
              <w:pStyle w:val="51"/>
              <w:spacing w:before="237" w:line="229" w:lineRule="auto"/>
              <w:ind w:left="618"/>
              <w:rPr>
                <w:sz w:val="17"/>
                <w:szCs w:val="17"/>
              </w:rPr>
            </w:pPr>
            <w:r>
              <w:rPr>
                <w:spacing w:val="4"/>
                <w:sz w:val="17"/>
                <w:szCs w:val="17"/>
              </w:rPr>
              <w:t>黄酒</w:t>
            </w:r>
          </w:p>
        </w:tc>
        <w:tc>
          <w:tcPr>
            <w:tcW w:w="1586" w:type="dxa"/>
            <w:vAlign w:val="top"/>
          </w:tcPr>
          <w:p w14:paraId="40FF2B14">
            <w:pPr>
              <w:pStyle w:val="51"/>
              <w:spacing w:before="237" w:line="229" w:lineRule="auto"/>
              <w:ind w:left="620"/>
              <w:rPr>
                <w:sz w:val="17"/>
                <w:szCs w:val="17"/>
              </w:rPr>
            </w:pPr>
            <w:r>
              <w:rPr>
                <w:spacing w:val="4"/>
                <w:sz w:val="17"/>
                <w:szCs w:val="17"/>
              </w:rPr>
              <w:t>黄酒</w:t>
            </w:r>
          </w:p>
        </w:tc>
        <w:tc>
          <w:tcPr>
            <w:tcW w:w="682" w:type="dxa"/>
            <w:vAlign w:val="top"/>
          </w:tcPr>
          <w:p w14:paraId="0EB07423">
            <w:pPr>
              <w:pStyle w:val="51"/>
              <w:spacing w:before="237" w:line="227" w:lineRule="auto"/>
              <w:ind w:left="170"/>
              <w:rPr>
                <w:sz w:val="17"/>
                <w:szCs w:val="17"/>
              </w:rPr>
            </w:pPr>
            <w:r>
              <w:rPr>
                <w:spacing w:val="3"/>
                <w:sz w:val="17"/>
                <w:szCs w:val="17"/>
              </w:rPr>
              <w:t>较高</w:t>
            </w:r>
          </w:p>
        </w:tc>
        <w:tc>
          <w:tcPr>
            <w:tcW w:w="8563" w:type="dxa"/>
            <w:vAlign w:val="top"/>
          </w:tcPr>
          <w:p w14:paraId="0612F0FF">
            <w:pPr>
              <w:pStyle w:val="51"/>
              <w:spacing w:before="85" w:line="276" w:lineRule="auto"/>
              <w:ind w:left="37" w:right="62"/>
              <w:rPr>
                <w:sz w:val="17"/>
                <w:szCs w:val="17"/>
              </w:rPr>
            </w:pPr>
            <w:r>
              <w:rPr>
                <w:spacing w:val="9"/>
                <w:sz w:val="17"/>
                <w:szCs w:val="17"/>
              </w:rPr>
              <w:t>酒精度、氨基酸态氮、苯甲酸及其钠盐(以苯甲酸计)、山梨酸及其钾盐(以山梨酸计)、糖精钠(以糖精计)、</w:t>
            </w:r>
            <w:r>
              <w:rPr>
                <w:spacing w:val="8"/>
                <w:sz w:val="17"/>
                <w:szCs w:val="17"/>
              </w:rPr>
              <w:t>甜蜜素(以环己基氨基磺酸计)</w:t>
            </w:r>
          </w:p>
        </w:tc>
      </w:tr>
      <w:tr w14:paraId="5A6242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459" w:type="dxa"/>
            <w:vMerge w:val="continue"/>
            <w:tcBorders>
              <w:top w:val="nil"/>
              <w:bottom w:val="nil"/>
            </w:tcBorders>
            <w:vAlign w:val="top"/>
          </w:tcPr>
          <w:p w14:paraId="6C0E032E">
            <w:pPr>
              <w:rPr>
                <w:rFonts w:ascii="Arial"/>
                <w:sz w:val="21"/>
              </w:rPr>
            </w:pPr>
          </w:p>
        </w:tc>
        <w:tc>
          <w:tcPr>
            <w:tcW w:w="942" w:type="dxa"/>
            <w:vMerge w:val="continue"/>
            <w:tcBorders>
              <w:top w:val="nil"/>
              <w:bottom w:val="nil"/>
            </w:tcBorders>
            <w:vAlign w:val="top"/>
          </w:tcPr>
          <w:p w14:paraId="303EB059">
            <w:pPr>
              <w:rPr>
                <w:rFonts w:ascii="Arial"/>
                <w:sz w:val="21"/>
              </w:rPr>
            </w:pPr>
          </w:p>
        </w:tc>
        <w:tc>
          <w:tcPr>
            <w:tcW w:w="1360" w:type="dxa"/>
            <w:vMerge w:val="continue"/>
            <w:tcBorders>
              <w:top w:val="nil"/>
              <w:bottom w:val="nil"/>
            </w:tcBorders>
            <w:vAlign w:val="top"/>
          </w:tcPr>
          <w:p w14:paraId="487E8E0D">
            <w:pPr>
              <w:rPr>
                <w:rFonts w:ascii="Arial"/>
                <w:sz w:val="21"/>
              </w:rPr>
            </w:pPr>
          </w:p>
        </w:tc>
        <w:tc>
          <w:tcPr>
            <w:tcW w:w="1581" w:type="dxa"/>
            <w:vAlign w:val="top"/>
          </w:tcPr>
          <w:p w14:paraId="154F79D5">
            <w:pPr>
              <w:pStyle w:val="51"/>
              <w:spacing w:before="192" w:line="228" w:lineRule="auto"/>
              <w:ind w:left="629"/>
              <w:rPr>
                <w:sz w:val="17"/>
                <w:szCs w:val="17"/>
              </w:rPr>
            </w:pPr>
            <w:r>
              <w:rPr>
                <w:spacing w:val="-1"/>
                <w:sz w:val="17"/>
                <w:szCs w:val="17"/>
              </w:rPr>
              <w:t>啤酒</w:t>
            </w:r>
          </w:p>
        </w:tc>
        <w:tc>
          <w:tcPr>
            <w:tcW w:w="1586" w:type="dxa"/>
            <w:vAlign w:val="top"/>
          </w:tcPr>
          <w:p w14:paraId="5AD51634">
            <w:pPr>
              <w:pStyle w:val="51"/>
              <w:spacing w:before="192" w:line="228" w:lineRule="auto"/>
              <w:ind w:left="632"/>
              <w:rPr>
                <w:sz w:val="17"/>
                <w:szCs w:val="17"/>
              </w:rPr>
            </w:pPr>
            <w:r>
              <w:rPr>
                <w:spacing w:val="-1"/>
                <w:sz w:val="17"/>
                <w:szCs w:val="17"/>
              </w:rPr>
              <w:t>啤酒</w:t>
            </w:r>
          </w:p>
        </w:tc>
        <w:tc>
          <w:tcPr>
            <w:tcW w:w="682" w:type="dxa"/>
            <w:vAlign w:val="top"/>
          </w:tcPr>
          <w:p w14:paraId="22993FB3">
            <w:pPr>
              <w:pStyle w:val="51"/>
              <w:spacing w:before="192" w:line="230" w:lineRule="auto"/>
              <w:ind w:left="173"/>
              <w:rPr>
                <w:sz w:val="17"/>
                <w:szCs w:val="17"/>
              </w:rPr>
            </w:pPr>
            <w:r>
              <w:rPr>
                <w:spacing w:val="2"/>
                <w:sz w:val="17"/>
                <w:szCs w:val="17"/>
              </w:rPr>
              <w:t>一般</w:t>
            </w:r>
          </w:p>
        </w:tc>
        <w:tc>
          <w:tcPr>
            <w:tcW w:w="8563" w:type="dxa"/>
            <w:vAlign w:val="top"/>
          </w:tcPr>
          <w:p w14:paraId="3D2EC9A1">
            <w:pPr>
              <w:pStyle w:val="51"/>
              <w:spacing w:before="192" w:line="228" w:lineRule="auto"/>
              <w:ind w:left="37"/>
              <w:rPr>
                <w:sz w:val="17"/>
                <w:szCs w:val="17"/>
              </w:rPr>
            </w:pPr>
            <w:r>
              <w:rPr>
                <w:spacing w:val="8"/>
                <w:sz w:val="17"/>
                <w:szCs w:val="17"/>
              </w:rPr>
              <w:t>酒精度、甲醛</w:t>
            </w:r>
          </w:p>
        </w:tc>
      </w:tr>
      <w:tr w14:paraId="4B0BF3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4" w:hRule="atLeast"/>
        </w:trPr>
        <w:tc>
          <w:tcPr>
            <w:tcW w:w="459" w:type="dxa"/>
            <w:vMerge w:val="continue"/>
            <w:tcBorders>
              <w:top w:val="nil"/>
              <w:bottom w:val="nil"/>
            </w:tcBorders>
            <w:vAlign w:val="top"/>
          </w:tcPr>
          <w:p w14:paraId="5837ED85">
            <w:pPr>
              <w:rPr>
                <w:rFonts w:ascii="Arial"/>
                <w:sz w:val="21"/>
              </w:rPr>
            </w:pPr>
          </w:p>
        </w:tc>
        <w:tc>
          <w:tcPr>
            <w:tcW w:w="942" w:type="dxa"/>
            <w:vMerge w:val="continue"/>
            <w:tcBorders>
              <w:top w:val="nil"/>
              <w:bottom w:val="nil"/>
            </w:tcBorders>
            <w:vAlign w:val="top"/>
          </w:tcPr>
          <w:p w14:paraId="138DAA64">
            <w:pPr>
              <w:rPr>
                <w:rFonts w:ascii="Arial"/>
                <w:sz w:val="21"/>
              </w:rPr>
            </w:pPr>
          </w:p>
        </w:tc>
        <w:tc>
          <w:tcPr>
            <w:tcW w:w="1360" w:type="dxa"/>
            <w:vMerge w:val="continue"/>
            <w:tcBorders>
              <w:top w:val="nil"/>
              <w:bottom w:val="nil"/>
            </w:tcBorders>
            <w:vAlign w:val="top"/>
          </w:tcPr>
          <w:p w14:paraId="53EA48C6">
            <w:pPr>
              <w:rPr>
                <w:rFonts w:ascii="Arial"/>
                <w:sz w:val="21"/>
              </w:rPr>
            </w:pPr>
          </w:p>
        </w:tc>
        <w:tc>
          <w:tcPr>
            <w:tcW w:w="1581" w:type="dxa"/>
            <w:vAlign w:val="top"/>
          </w:tcPr>
          <w:p w14:paraId="7ECD8D40">
            <w:pPr>
              <w:spacing w:line="330" w:lineRule="auto"/>
              <w:rPr>
                <w:rFonts w:ascii="Arial"/>
                <w:sz w:val="21"/>
              </w:rPr>
            </w:pPr>
          </w:p>
          <w:p w14:paraId="140E256D">
            <w:pPr>
              <w:pStyle w:val="51"/>
              <w:spacing w:before="55" w:line="229" w:lineRule="auto"/>
              <w:ind w:left="532"/>
              <w:rPr>
                <w:sz w:val="17"/>
                <w:szCs w:val="17"/>
              </w:rPr>
            </w:pPr>
            <w:r>
              <w:rPr>
                <w:spacing w:val="5"/>
                <w:sz w:val="17"/>
                <w:szCs w:val="17"/>
              </w:rPr>
              <w:t>葡萄酒</w:t>
            </w:r>
          </w:p>
        </w:tc>
        <w:tc>
          <w:tcPr>
            <w:tcW w:w="1586" w:type="dxa"/>
            <w:vAlign w:val="top"/>
          </w:tcPr>
          <w:p w14:paraId="46977AF2">
            <w:pPr>
              <w:spacing w:line="330" w:lineRule="auto"/>
              <w:rPr>
                <w:rFonts w:ascii="Arial"/>
                <w:sz w:val="21"/>
              </w:rPr>
            </w:pPr>
          </w:p>
          <w:p w14:paraId="48D3B546">
            <w:pPr>
              <w:pStyle w:val="51"/>
              <w:spacing w:before="55" w:line="229" w:lineRule="auto"/>
              <w:ind w:left="535"/>
              <w:rPr>
                <w:sz w:val="17"/>
                <w:szCs w:val="17"/>
              </w:rPr>
            </w:pPr>
            <w:r>
              <w:rPr>
                <w:spacing w:val="5"/>
                <w:sz w:val="17"/>
                <w:szCs w:val="17"/>
              </w:rPr>
              <w:t>葡萄酒</w:t>
            </w:r>
          </w:p>
        </w:tc>
        <w:tc>
          <w:tcPr>
            <w:tcW w:w="682" w:type="dxa"/>
            <w:vAlign w:val="top"/>
          </w:tcPr>
          <w:p w14:paraId="6F0316FB">
            <w:pPr>
              <w:spacing w:line="330" w:lineRule="auto"/>
              <w:rPr>
                <w:rFonts w:ascii="Arial"/>
                <w:sz w:val="21"/>
              </w:rPr>
            </w:pPr>
          </w:p>
          <w:p w14:paraId="59FF8D24">
            <w:pPr>
              <w:pStyle w:val="51"/>
              <w:spacing w:before="55" w:line="227" w:lineRule="auto"/>
              <w:ind w:left="170"/>
              <w:rPr>
                <w:sz w:val="17"/>
                <w:szCs w:val="17"/>
              </w:rPr>
            </w:pPr>
            <w:r>
              <w:rPr>
                <w:spacing w:val="3"/>
                <w:sz w:val="17"/>
                <w:szCs w:val="17"/>
              </w:rPr>
              <w:t>较高</w:t>
            </w:r>
          </w:p>
        </w:tc>
        <w:tc>
          <w:tcPr>
            <w:tcW w:w="8563" w:type="dxa"/>
            <w:vAlign w:val="top"/>
          </w:tcPr>
          <w:p w14:paraId="728AD761">
            <w:pPr>
              <w:pStyle w:val="51"/>
              <w:spacing w:before="87" w:line="292" w:lineRule="auto"/>
              <w:ind w:left="37"/>
              <w:jc w:val="both"/>
              <w:rPr>
                <w:sz w:val="17"/>
                <w:szCs w:val="17"/>
              </w:rPr>
            </w:pPr>
            <w:r>
              <w:rPr>
                <w:spacing w:val="9"/>
                <w:sz w:val="17"/>
                <w:szCs w:val="17"/>
              </w:rPr>
              <w:t>酒精度、甲醇、苯甲酸及其钠盐(以苯甲酸计)、山梨酸及其钾盐(以山梨酸计)、糖精钠(以糖精计)、二氧化</w:t>
            </w:r>
            <w:r>
              <w:rPr>
                <w:spacing w:val="5"/>
                <w:sz w:val="17"/>
                <w:szCs w:val="17"/>
              </w:rPr>
              <w:t>硫残留量、甜蜜素(以环己基氨基磺酸计)、三氯蔗糖、合成着色剂(柠檬黄、</w:t>
            </w:r>
            <w:r>
              <w:rPr>
                <w:spacing w:val="-46"/>
                <w:sz w:val="17"/>
                <w:szCs w:val="17"/>
              </w:rPr>
              <w:t xml:space="preserve"> </w:t>
            </w:r>
            <w:r>
              <w:rPr>
                <w:spacing w:val="4"/>
                <w:sz w:val="17"/>
                <w:szCs w:val="17"/>
              </w:rPr>
              <w:t>日落黄、新红、胭脂红、赤藓红、</w:t>
            </w:r>
            <w:r>
              <w:rPr>
                <w:spacing w:val="8"/>
                <w:sz w:val="17"/>
                <w:szCs w:val="17"/>
              </w:rPr>
              <w:t>苋菜红、诱惑红、酸性红、亮蓝)</w:t>
            </w:r>
          </w:p>
        </w:tc>
      </w:tr>
      <w:tr w14:paraId="6A7312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459" w:type="dxa"/>
            <w:vMerge w:val="continue"/>
            <w:tcBorders>
              <w:top w:val="nil"/>
              <w:bottom w:val="nil"/>
            </w:tcBorders>
            <w:vAlign w:val="top"/>
          </w:tcPr>
          <w:p w14:paraId="304029ED">
            <w:pPr>
              <w:rPr>
                <w:rFonts w:ascii="Arial"/>
                <w:sz w:val="21"/>
              </w:rPr>
            </w:pPr>
          </w:p>
        </w:tc>
        <w:tc>
          <w:tcPr>
            <w:tcW w:w="942" w:type="dxa"/>
            <w:vMerge w:val="continue"/>
            <w:tcBorders>
              <w:top w:val="nil"/>
              <w:bottom w:val="nil"/>
            </w:tcBorders>
            <w:vAlign w:val="top"/>
          </w:tcPr>
          <w:p w14:paraId="63BA6909">
            <w:pPr>
              <w:rPr>
                <w:rFonts w:ascii="Arial"/>
                <w:sz w:val="21"/>
              </w:rPr>
            </w:pPr>
          </w:p>
        </w:tc>
        <w:tc>
          <w:tcPr>
            <w:tcW w:w="1360" w:type="dxa"/>
            <w:vMerge w:val="continue"/>
            <w:tcBorders>
              <w:top w:val="nil"/>
            </w:tcBorders>
            <w:vAlign w:val="top"/>
          </w:tcPr>
          <w:p w14:paraId="3B8BF8CC">
            <w:pPr>
              <w:rPr>
                <w:rFonts w:ascii="Arial"/>
                <w:sz w:val="21"/>
              </w:rPr>
            </w:pPr>
          </w:p>
        </w:tc>
        <w:tc>
          <w:tcPr>
            <w:tcW w:w="1581" w:type="dxa"/>
            <w:vAlign w:val="top"/>
          </w:tcPr>
          <w:p w14:paraId="69FEFA6C">
            <w:pPr>
              <w:pStyle w:val="51"/>
              <w:spacing w:before="193" w:line="228" w:lineRule="auto"/>
              <w:ind w:left="619"/>
              <w:rPr>
                <w:sz w:val="17"/>
                <w:szCs w:val="17"/>
              </w:rPr>
            </w:pPr>
            <w:r>
              <w:rPr>
                <w:spacing w:val="3"/>
                <w:sz w:val="17"/>
                <w:szCs w:val="17"/>
              </w:rPr>
              <w:t>果酒</w:t>
            </w:r>
          </w:p>
        </w:tc>
        <w:tc>
          <w:tcPr>
            <w:tcW w:w="1586" w:type="dxa"/>
            <w:vAlign w:val="top"/>
          </w:tcPr>
          <w:p w14:paraId="79AE243F">
            <w:pPr>
              <w:pStyle w:val="51"/>
              <w:spacing w:before="193" w:line="228" w:lineRule="auto"/>
              <w:ind w:left="622"/>
              <w:rPr>
                <w:sz w:val="17"/>
                <w:szCs w:val="17"/>
              </w:rPr>
            </w:pPr>
            <w:r>
              <w:rPr>
                <w:spacing w:val="3"/>
                <w:sz w:val="17"/>
                <w:szCs w:val="17"/>
              </w:rPr>
              <w:t>果酒</w:t>
            </w:r>
          </w:p>
        </w:tc>
        <w:tc>
          <w:tcPr>
            <w:tcW w:w="682" w:type="dxa"/>
            <w:vAlign w:val="top"/>
          </w:tcPr>
          <w:p w14:paraId="2C8C7009">
            <w:pPr>
              <w:pStyle w:val="51"/>
              <w:spacing w:before="193" w:line="227" w:lineRule="auto"/>
              <w:ind w:left="170"/>
              <w:rPr>
                <w:sz w:val="17"/>
                <w:szCs w:val="17"/>
              </w:rPr>
            </w:pPr>
            <w:r>
              <w:rPr>
                <w:spacing w:val="3"/>
                <w:sz w:val="17"/>
                <w:szCs w:val="17"/>
              </w:rPr>
              <w:t>较高</w:t>
            </w:r>
          </w:p>
        </w:tc>
        <w:tc>
          <w:tcPr>
            <w:tcW w:w="8563" w:type="dxa"/>
            <w:vAlign w:val="top"/>
          </w:tcPr>
          <w:p w14:paraId="09B1A5DC">
            <w:pPr>
              <w:pStyle w:val="51"/>
              <w:spacing w:before="193" w:line="226" w:lineRule="auto"/>
              <w:ind w:left="37"/>
              <w:rPr>
                <w:sz w:val="17"/>
                <w:szCs w:val="17"/>
              </w:rPr>
            </w:pPr>
            <w:r>
              <w:rPr>
                <w:spacing w:val="9"/>
                <w:sz w:val="17"/>
                <w:szCs w:val="17"/>
              </w:rPr>
              <w:t>酒精度、展青霉素、糖精钠(以糖精计)、甜蜜素(以环己基氨基磺酸计)、安赛蜜、二氧化硫残留量、酸性红</w:t>
            </w:r>
          </w:p>
        </w:tc>
      </w:tr>
      <w:tr w14:paraId="2E1996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4" w:hRule="atLeast"/>
        </w:trPr>
        <w:tc>
          <w:tcPr>
            <w:tcW w:w="459" w:type="dxa"/>
            <w:vMerge w:val="continue"/>
            <w:tcBorders>
              <w:top w:val="nil"/>
              <w:bottom w:val="nil"/>
            </w:tcBorders>
            <w:vAlign w:val="top"/>
          </w:tcPr>
          <w:p w14:paraId="21526009">
            <w:pPr>
              <w:rPr>
                <w:rFonts w:ascii="Arial"/>
                <w:sz w:val="21"/>
              </w:rPr>
            </w:pPr>
          </w:p>
        </w:tc>
        <w:tc>
          <w:tcPr>
            <w:tcW w:w="942" w:type="dxa"/>
            <w:vMerge w:val="continue"/>
            <w:tcBorders>
              <w:top w:val="nil"/>
              <w:bottom w:val="nil"/>
            </w:tcBorders>
            <w:vAlign w:val="top"/>
          </w:tcPr>
          <w:p w14:paraId="4AFD2DFE">
            <w:pPr>
              <w:rPr>
                <w:rFonts w:ascii="Arial"/>
                <w:sz w:val="21"/>
              </w:rPr>
            </w:pPr>
          </w:p>
        </w:tc>
        <w:tc>
          <w:tcPr>
            <w:tcW w:w="1360" w:type="dxa"/>
            <w:vMerge w:val="restart"/>
            <w:tcBorders>
              <w:bottom w:val="nil"/>
            </w:tcBorders>
            <w:vAlign w:val="top"/>
          </w:tcPr>
          <w:p w14:paraId="5F3A883F">
            <w:pPr>
              <w:spacing w:line="299" w:lineRule="auto"/>
              <w:rPr>
                <w:rFonts w:ascii="Arial"/>
                <w:sz w:val="21"/>
              </w:rPr>
            </w:pPr>
          </w:p>
          <w:p w14:paraId="1540B605">
            <w:pPr>
              <w:spacing w:line="299" w:lineRule="auto"/>
              <w:rPr>
                <w:rFonts w:ascii="Arial"/>
                <w:sz w:val="21"/>
              </w:rPr>
            </w:pPr>
          </w:p>
          <w:p w14:paraId="287DB3C6">
            <w:pPr>
              <w:spacing w:line="299" w:lineRule="auto"/>
              <w:rPr>
                <w:rFonts w:ascii="Arial"/>
                <w:sz w:val="21"/>
              </w:rPr>
            </w:pPr>
          </w:p>
          <w:p w14:paraId="1B91D2A2">
            <w:pPr>
              <w:spacing w:line="300" w:lineRule="auto"/>
              <w:rPr>
                <w:rFonts w:ascii="Arial"/>
                <w:sz w:val="21"/>
              </w:rPr>
            </w:pPr>
          </w:p>
          <w:p w14:paraId="53EDE36C">
            <w:pPr>
              <w:pStyle w:val="51"/>
              <w:spacing w:before="55" w:line="227" w:lineRule="auto"/>
              <w:ind w:left="417"/>
              <w:rPr>
                <w:sz w:val="17"/>
                <w:szCs w:val="17"/>
              </w:rPr>
            </w:pPr>
            <w:r>
              <w:rPr>
                <w:spacing w:val="5"/>
                <w:sz w:val="17"/>
                <w:szCs w:val="17"/>
              </w:rPr>
              <w:t>其他酒</w:t>
            </w:r>
          </w:p>
        </w:tc>
        <w:tc>
          <w:tcPr>
            <w:tcW w:w="1581" w:type="dxa"/>
            <w:vMerge w:val="restart"/>
            <w:tcBorders>
              <w:bottom w:val="nil"/>
            </w:tcBorders>
            <w:vAlign w:val="top"/>
          </w:tcPr>
          <w:p w14:paraId="3A920C3E">
            <w:pPr>
              <w:spacing w:line="317" w:lineRule="auto"/>
              <w:rPr>
                <w:rFonts w:ascii="Arial"/>
                <w:sz w:val="21"/>
              </w:rPr>
            </w:pPr>
          </w:p>
          <w:p w14:paraId="3802B454">
            <w:pPr>
              <w:spacing w:line="317" w:lineRule="auto"/>
              <w:rPr>
                <w:rFonts w:ascii="Arial"/>
                <w:sz w:val="21"/>
              </w:rPr>
            </w:pPr>
          </w:p>
          <w:p w14:paraId="506C6D8F">
            <w:pPr>
              <w:pStyle w:val="51"/>
              <w:spacing w:before="55" w:line="227" w:lineRule="auto"/>
              <w:ind w:left="532"/>
              <w:rPr>
                <w:sz w:val="17"/>
                <w:szCs w:val="17"/>
              </w:rPr>
            </w:pPr>
            <w:r>
              <w:rPr>
                <w:spacing w:val="5"/>
                <w:sz w:val="17"/>
                <w:szCs w:val="17"/>
              </w:rPr>
              <w:t>配制酒</w:t>
            </w:r>
          </w:p>
        </w:tc>
        <w:tc>
          <w:tcPr>
            <w:tcW w:w="1586" w:type="dxa"/>
            <w:vAlign w:val="top"/>
          </w:tcPr>
          <w:p w14:paraId="42297CD3">
            <w:pPr>
              <w:pStyle w:val="51"/>
              <w:spacing w:before="239" w:line="326" w:lineRule="auto"/>
              <w:ind w:left="80" w:right="71" w:firstLine="18"/>
              <w:rPr>
                <w:sz w:val="17"/>
                <w:szCs w:val="17"/>
              </w:rPr>
            </w:pPr>
            <w:r>
              <w:rPr>
                <w:spacing w:val="6"/>
                <w:sz w:val="17"/>
                <w:szCs w:val="17"/>
              </w:rPr>
              <w:t>以蒸馏酒及食用酒</w:t>
            </w:r>
            <w:r>
              <w:rPr>
                <w:spacing w:val="8"/>
                <w:sz w:val="17"/>
                <w:szCs w:val="17"/>
              </w:rPr>
              <w:t>精为酒基的配制酒</w:t>
            </w:r>
          </w:p>
        </w:tc>
        <w:tc>
          <w:tcPr>
            <w:tcW w:w="682" w:type="dxa"/>
            <w:vAlign w:val="top"/>
          </w:tcPr>
          <w:p w14:paraId="6725668F">
            <w:pPr>
              <w:spacing w:line="331" w:lineRule="auto"/>
              <w:rPr>
                <w:rFonts w:ascii="Arial"/>
                <w:sz w:val="21"/>
              </w:rPr>
            </w:pPr>
          </w:p>
          <w:p w14:paraId="4368615A">
            <w:pPr>
              <w:pStyle w:val="51"/>
              <w:spacing w:before="56" w:line="227" w:lineRule="auto"/>
              <w:ind w:left="170"/>
              <w:rPr>
                <w:sz w:val="17"/>
                <w:szCs w:val="17"/>
              </w:rPr>
            </w:pPr>
            <w:r>
              <w:rPr>
                <w:spacing w:val="3"/>
                <w:sz w:val="17"/>
                <w:szCs w:val="17"/>
              </w:rPr>
              <w:t>较高</w:t>
            </w:r>
          </w:p>
        </w:tc>
        <w:tc>
          <w:tcPr>
            <w:tcW w:w="8563" w:type="dxa"/>
            <w:vAlign w:val="top"/>
          </w:tcPr>
          <w:p w14:paraId="2BBE2FCD">
            <w:pPr>
              <w:pStyle w:val="51"/>
              <w:spacing w:before="90" w:line="291" w:lineRule="auto"/>
              <w:ind w:left="37" w:right="24"/>
              <w:jc w:val="both"/>
              <w:rPr>
                <w:sz w:val="17"/>
                <w:szCs w:val="17"/>
              </w:rPr>
            </w:pPr>
            <w:r>
              <w:rPr>
                <w:spacing w:val="8"/>
                <w:sz w:val="17"/>
                <w:szCs w:val="17"/>
              </w:rPr>
              <w:t>酒精度、</w:t>
            </w:r>
            <w:r>
              <w:rPr>
                <w:spacing w:val="-42"/>
                <w:sz w:val="17"/>
                <w:szCs w:val="17"/>
              </w:rPr>
              <w:t xml:space="preserve"> </w:t>
            </w:r>
            <w:r>
              <w:rPr>
                <w:spacing w:val="8"/>
                <w:sz w:val="17"/>
                <w:szCs w:val="17"/>
              </w:rPr>
              <w:t>甲醇、氰化物(以</w:t>
            </w:r>
            <w:r>
              <w:rPr>
                <w:sz w:val="17"/>
                <w:szCs w:val="17"/>
              </w:rPr>
              <w:t>HCN</w:t>
            </w:r>
            <w:r>
              <w:rPr>
                <w:spacing w:val="8"/>
                <w:sz w:val="17"/>
                <w:szCs w:val="17"/>
              </w:rPr>
              <w:t>计)、西地那非、豪莫西地那非、硫代艾地那非、他达拉非、二硫代去甲基卡巴</w:t>
            </w:r>
            <w:r>
              <w:rPr>
                <w:spacing w:val="11"/>
                <w:sz w:val="17"/>
                <w:szCs w:val="17"/>
              </w:rPr>
              <w:t>地那非、那非乙酰酸、去甲基卡巴地那非、去甲基他达拉非、羟基豪莫西地那</w:t>
            </w:r>
            <w:r>
              <w:rPr>
                <w:spacing w:val="10"/>
                <w:sz w:val="17"/>
                <w:szCs w:val="17"/>
              </w:rPr>
              <w:t>非、伐地那非、育亨宾、甜蜜</w:t>
            </w:r>
            <w:r>
              <w:rPr>
                <w:spacing w:val="8"/>
                <w:sz w:val="17"/>
                <w:szCs w:val="17"/>
              </w:rPr>
              <w:t>素(以环己基氨基磺酸计)、安赛蜜、纽甜</w:t>
            </w:r>
          </w:p>
        </w:tc>
      </w:tr>
      <w:tr w14:paraId="59A929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459" w:type="dxa"/>
            <w:vMerge w:val="continue"/>
            <w:tcBorders>
              <w:top w:val="nil"/>
              <w:bottom w:val="nil"/>
            </w:tcBorders>
            <w:vAlign w:val="top"/>
          </w:tcPr>
          <w:p w14:paraId="66065F1B">
            <w:pPr>
              <w:rPr>
                <w:rFonts w:ascii="Arial"/>
                <w:sz w:val="21"/>
              </w:rPr>
            </w:pPr>
          </w:p>
        </w:tc>
        <w:tc>
          <w:tcPr>
            <w:tcW w:w="942" w:type="dxa"/>
            <w:vMerge w:val="continue"/>
            <w:tcBorders>
              <w:top w:val="nil"/>
              <w:bottom w:val="nil"/>
            </w:tcBorders>
            <w:vAlign w:val="top"/>
          </w:tcPr>
          <w:p w14:paraId="4EEDBCEF">
            <w:pPr>
              <w:rPr>
                <w:rFonts w:ascii="Arial"/>
                <w:sz w:val="21"/>
              </w:rPr>
            </w:pPr>
          </w:p>
        </w:tc>
        <w:tc>
          <w:tcPr>
            <w:tcW w:w="1360" w:type="dxa"/>
            <w:vMerge w:val="continue"/>
            <w:tcBorders>
              <w:top w:val="nil"/>
              <w:bottom w:val="nil"/>
            </w:tcBorders>
            <w:vAlign w:val="top"/>
          </w:tcPr>
          <w:p w14:paraId="570EF580">
            <w:pPr>
              <w:rPr>
                <w:rFonts w:ascii="Arial"/>
                <w:sz w:val="21"/>
              </w:rPr>
            </w:pPr>
          </w:p>
        </w:tc>
        <w:tc>
          <w:tcPr>
            <w:tcW w:w="1581" w:type="dxa"/>
            <w:vMerge w:val="continue"/>
            <w:tcBorders>
              <w:top w:val="nil"/>
            </w:tcBorders>
            <w:vAlign w:val="top"/>
          </w:tcPr>
          <w:p w14:paraId="508C4C6C">
            <w:pPr>
              <w:rPr>
                <w:rFonts w:ascii="Arial"/>
                <w:sz w:val="21"/>
              </w:rPr>
            </w:pPr>
          </w:p>
        </w:tc>
        <w:tc>
          <w:tcPr>
            <w:tcW w:w="1586" w:type="dxa"/>
            <w:vAlign w:val="top"/>
          </w:tcPr>
          <w:p w14:paraId="25BBF648">
            <w:pPr>
              <w:pStyle w:val="51"/>
              <w:spacing w:before="88" w:line="275" w:lineRule="auto"/>
              <w:ind w:left="534" w:right="71" w:hanging="435"/>
              <w:rPr>
                <w:sz w:val="17"/>
                <w:szCs w:val="17"/>
              </w:rPr>
            </w:pPr>
            <w:r>
              <w:rPr>
                <w:spacing w:val="6"/>
                <w:sz w:val="17"/>
                <w:szCs w:val="17"/>
              </w:rPr>
              <w:t>以发酵酒为酒基的</w:t>
            </w:r>
            <w:r>
              <w:rPr>
                <w:spacing w:val="5"/>
                <w:sz w:val="17"/>
                <w:szCs w:val="17"/>
              </w:rPr>
              <w:t>配制酒</w:t>
            </w:r>
          </w:p>
        </w:tc>
        <w:tc>
          <w:tcPr>
            <w:tcW w:w="682" w:type="dxa"/>
            <w:vAlign w:val="top"/>
          </w:tcPr>
          <w:p w14:paraId="5B16EDA3">
            <w:pPr>
              <w:pStyle w:val="51"/>
              <w:spacing w:before="240" w:line="227" w:lineRule="auto"/>
              <w:ind w:left="170"/>
              <w:rPr>
                <w:sz w:val="17"/>
                <w:szCs w:val="17"/>
              </w:rPr>
            </w:pPr>
            <w:r>
              <w:rPr>
                <w:spacing w:val="3"/>
                <w:sz w:val="17"/>
                <w:szCs w:val="17"/>
              </w:rPr>
              <w:t>较高</w:t>
            </w:r>
          </w:p>
        </w:tc>
        <w:tc>
          <w:tcPr>
            <w:tcW w:w="8563" w:type="dxa"/>
            <w:vAlign w:val="top"/>
          </w:tcPr>
          <w:p w14:paraId="4BA3F76D">
            <w:pPr>
              <w:pStyle w:val="51"/>
              <w:spacing w:before="88" w:line="275" w:lineRule="auto"/>
              <w:ind w:left="41" w:right="42" w:hanging="4"/>
              <w:rPr>
                <w:sz w:val="17"/>
                <w:szCs w:val="17"/>
              </w:rPr>
            </w:pPr>
            <w:r>
              <w:rPr>
                <w:spacing w:val="10"/>
                <w:sz w:val="17"/>
                <w:szCs w:val="17"/>
              </w:rPr>
              <w:t>酒精度、苯甲酸及其钠盐(以苯甲酸计)、山梨酸及其钾盐(以山梨酸计)、甜蜜</w:t>
            </w:r>
            <w:r>
              <w:rPr>
                <w:spacing w:val="9"/>
                <w:sz w:val="17"/>
                <w:szCs w:val="17"/>
              </w:rPr>
              <w:t>素(以环己基氨基磺酸计)、防腐剂混合使用时各自用量占其最大使用量的比例之和、安赛蜜</w:t>
            </w:r>
          </w:p>
        </w:tc>
      </w:tr>
      <w:tr w14:paraId="4CCC55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459" w:type="dxa"/>
            <w:vMerge w:val="continue"/>
            <w:tcBorders>
              <w:top w:val="nil"/>
              <w:bottom w:val="nil"/>
            </w:tcBorders>
            <w:vAlign w:val="top"/>
          </w:tcPr>
          <w:p w14:paraId="2F4A0CA8">
            <w:pPr>
              <w:rPr>
                <w:rFonts w:ascii="Arial"/>
                <w:sz w:val="21"/>
              </w:rPr>
            </w:pPr>
          </w:p>
        </w:tc>
        <w:tc>
          <w:tcPr>
            <w:tcW w:w="942" w:type="dxa"/>
            <w:vMerge w:val="continue"/>
            <w:tcBorders>
              <w:top w:val="nil"/>
              <w:bottom w:val="nil"/>
            </w:tcBorders>
            <w:vAlign w:val="top"/>
          </w:tcPr>
          <w:p w14:paraId="563AC7C6">
            <w:pPr>
              <w:rPr>
                <w:rFonts w:ascii="Arial"/>
                <w:sz w:val="21"/>
              </w:rPr>
            </w:pPr>
          </w:p>
        </w:tc>
        <w:tc>
          <w:tcPr>
            <w:tcW w:w="1360" w:type="dxa"/>
            <w:vMerge w:val="continue"/>
            <w:tcBorders>
              <w:top w:val="nil"/>
              <w:bottom w:val="nil"/>
            </w:tcBorders>
            <w:vAlign w:val="top"/>
          </w:tcPr>
          <w:p w14:paraId="7A5AD6F5">
            <w:pPr>
              <w:rPr>
                <w:rFonts w:ascii="Arial"/>
                <w:sz w:val="21"/>
              </w:rPr>
            </w:pPr>
          </w:p>
        </w:tc>
        <w:tc>
          <w:tcPr>
            <w:tcW w:w="1581" w:type="dxa"/>
            <w:vAlign w:val="top"/>
          </w:tcPr>
          <w:p w14:paraId="28A8F938">
            <w:pPr>
              <w:pStyle w:val="51"/>
              <w:spacing w:before="194" w:line="227" w:lineRule="auto"/>
              <w:ind w:left="350"/>
              <w:rPr>
                <w:sz w:val="17"/>
                <w:szCs w:val="17"/>
              </w:rPr>
            </w:pPr>
            <w:r>
              <w:rPr>
                <w:spacing w:val="7"/>
                <w:sz w:val="17"/>
                <w:szCs w:val="17"/>
              </w:rPr>
              <w:t>其他蒸馏酒</w:t>
            </w:r>
          </w:p>
        </w:tc>
        <w:tc>
          <w:tcPr>
            <w:tcW w:w="1586" w:type="dxa"/>
            <w:vAlign w:val="top"/>
          </w:tcPr>
          <w:p w14:paraId="3CA9E95E">
            <w:pPr>
              <w:pStyle w:val="51"/>
              <w:spacing w:before="194" w:line="227" w:lineRule="auto"/>
              <w:ind w:left="353"/>
              <w:rPr>
                <w:sz w:val="17"/>
                <w:szCs w:val="17"/>
              </w:rPr>
            </w:pPr>
            <w:r>
              <w:rPr>
                <w:spacing w:val="7"/>
                <w:sz w:val="17"/>
                <w:szCs w:val="17"/>
              </w:rPr>
              <w:t>其他蒸馏酒</w:t>
            </w:r>
          </w:p>
        </w:tc>
        <w:tc>
          <w:tcPr>
            <w:tcW w:w="682" w:type="dxa"/>
            <w:vAlign w:val="top"/>
          </w:tcPr>
          <w:p w14:paraId="5029F2AC">
            <w:pPr>
              <w:pStyle w:val="51"/>
              <w:spacing w:before="194" w:line="227" w:lineRule="auto"/>
              <w:ind w:left="170"/>
              <w:rPr>
                <w:sz w:val="17"/>
                <w:szCs w:val="17"/>
              </w:rPr>
            </w:pPr>
            <w:r>
              <w:rPr>
                <w:spacing w:val="3"/>
                <w:sz w:val="17"/>
                <w:szCs w:val="17"/>
              </w:rPr>
              <w:t>较高</w:t>
            </w:r>
          </w:p>
        </w:tc>
        <w:tc>
          <w:tcPr>
            <w:tcW w:w="8563" w:type="dxa"/>
            <w:vAlign w:val="top"/>
          </w:tcPr>
          <w:p w14:paraId="1D21B1DE">
            <w:pPr>
              <w:pStyle w:val="51"/>
              <w:spacing w:before="194" w:line="227" w:lineRule="auto"/>
              <w:ind w:left="37"/>
              <w:rPr>
                <w:sz w:val="17"/>
                <w:szCs w:val="17"/>
              </w:rPr>
            </w:pPr>
            <w:r>
              <w:rPr>
                <w:spacing w:val="6"/>
                <w:sz w:val="17"/>
                <w:szCs w:val="17"/>
              </w:rPr>
              <w:t>酒精度、铅(以</w:t>
            </w:r>
            <w:r>
              <w:rPr>
                <w:sz w:val="17"/>
                <w:szCs w:val="17"/>
              </w:rPr>
              <w:t>Pb</w:t>
            </w:r>
            <w:r>
              <w:rPr>
                <w:spacing w:val="6"/>
                <w:sz w:val="17"/>
                <w:szCs w:val="17"/>
              </w:rPr>
              <w:t>计)、甲醇、氰化物(以</w:t>
            </w:r>
            <w:r>
              <w:rPr>
                <w:sz w:val="17"/>
                <w:szCs w:val="17"/>
              </w:rPr>
              <w:t>HCN</w:t>
            </w:r>
            <w:r>
              <w:rPr>
                <w:spacing w:val="6"/>
                <w:sz w:val="17"/>
                <w:szCs w:val="17"/>
              </w:rPr>
              <w:t>计)、甜蜜素（以环己基氨基磺酸计）、</w:t>
            </w:r>
            <w:r>
              <w:rPr>
                <w:spacing w:val="65"/>
                <w:sz w:val="17"/>
                <w:szCs w:val="17"/>
              </w:rPr>
              <w:t xml:space="preserve"> </w:t>
            </w:r>
            <w:r>
              <w:rPr>
                <w:spacing w:val="6"/>
                <w:sz w:val="17"/>
                <w:szCs w:val="17"/>
              </w:rPr>
              <w:t>三氯蔗糖</w:t>
            </w:r>
          </w:p>
        </w:tc>
      </w:tr>
      <w:tr w14:paraId="4BC1E6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459" w:type="dxa"/>
            <w:vMerge w:val="continue"/>
            <w:tcBorders>
              <w:top w:val="nil"/>
            </w:tcBorders>
            <w:vAlign w:val="top"/>
          </w:tcPr>
          <w:p w14:paraId="3F500CB3">
            <w:pPr>
              <w:rPr>
                <w:rFonts w:ascii="Arial"/>
                <w:sz w:val="21"/>
              </w:rPr>
            </w:pPr>
          </w:p>
        </w:tc>
        <w:tc>
          <w:tcPr>
            <w:tcW w:w="942" w:type="dxa"/>
            <w:vMerge w:val="continue"/>
            <w:tcBorders>
              <w:top w:val="nil"/>
            </w:tcBorders>
            <w:vAlign w:val="top"/>
          </w:tcPr>
          <w:p w14:paraId="25331692">
            <w:pPr>
              <w:rPr>
                <w:rFonts w:ascii="Arial"/>
                <w:sz w:val="21"/>
              </w:rPr>
            </w:pPr>
          </w:p>
        </w:tc>
        <w:tc>
          <w:tcPr>
            <w:tcW w:w="1360" w:type="dxa"/>
            <w:vMerge w:val="continue"/>
            <w:tcBorders>
              <w:top w:val="nil"/>
            </w:tcBorders>
            <w:vAlign w:val="top"/>
          </w:tcPr>
          <w:p w14:paraId="73F732C7">
            <w:pPr>
              <w:rPr>
                <w:rFonts w:ascii="Arial"/>
                <w:sz w:val="21"/>
              </w:rPr>
            </w:pPr>
          </w:p>
        </w:tc>
        <w:tc>
          <w:tcPr>
            <w:tcW w:w="1581" w:type="dxa"/>
            <w:vAlign w:val="top"/>
          </w:tcPr>
          <w:p w14:paraId="3BFA0A47">
            <w:pPr>
              <w:pStyle w:val="51"/>
              <w:spacing w:before="241" w:line="227" w:lineRule="auto"/>
              <w:ind w:left="350"/>
              <w:rPr>
                <w:sz w:val="17"/>
                <w:szCs w:val="17"/>
              </w:rPr>
            </w:pPr>
            <w:r>
              <w:rPr>
                <w:spacing w:val="7"/>
                <w:sz w:val="17"/>
                <w:szCs w:val="17"/>
              </w:rPr>
              <w:t>其他发酵酒</w:t>
            </w:r>
          </w:p>
        </w:tc>
        <w:tc>
          <w:tcPr>
            <w:tcW w:w="1586" w:type="dxa"/>
            <w:vAlign w:val="top"/>
          </w:tcPr>
          <w:p w14:paraId="10910006">
            <w:pPr>
              <w:pStyle w:val="51"/>
              <w:spacing w:before="241" w:line="227" w:lineRule="auto"/>
              <w:ind w:left="353"/>
              <w:rPr>
                <w:sz w:val="17"/>
                <w:szCs w:val="17"/>
              </w:rPr>
            </w:pPr>
            <w:r>
              <w:rPr>
                <w:spacing w:val="7"/>
                <w:sz w:val="17"/>
                <w:szCs w:val="17"/>
              </w:rPr>
              <w:t>其他发酵酒</w:t>
            </w:r>
          </w:p>
        </w:tc>
        <w:tc>
          <w:tcPr>
            <w:tcW w:w="682" w:type="dxa"/>
            <w:vAlign w:val="top"/>
          </w:tcPr>
          <w:p w14:paraId="07EDEF4F">
            <w:pPr>
              <w:pStyle w:val="51"/>
              <w:spacing w:before="241" w:line="227" w:lineRule="auto"/>
              <w:ind w:left="170"/>
              <w:rPr>
                <w:sz w:val="17"/>
                <w:szCs w:val="17"/>
              </w:rPr>
            </w:pPr>
            <w:r>
              <w:rPr>
                <w:spacing w:val="3"/>
                <w:sz w:val="17"/>
                <w:szCs w:val="17"/>
              </w:rPr>
              <w:t>较高</w:t>
            </w:r>
          </w:p>
        </w:tc>
        <w:tc>
          <w:tcPr>
            <w:tcW w:w="8563" w:type="dxa"/>
            <w:vAlign w:val="top"/>
          </w:tcPr>
          <w:p w14:paraId="2714947A">
            <w:pPr>
              <w:pStyle w:val="51"/>
              <w:spacing w:before="90" w:line="274" w:lineRule="auto"/>
              <w:ind w:left="37" w:right="26"/>
              <w:rPr>
                <w:sz w:val="17"/>
                <w:szCs w:val="17"/>
              </w:rPr>
            </w:pPr>
            <w:r>
              <w:rPr>
                <w:spacing w:val="8"/>
                <w:sz w:val="17"/>
                <w:szCs w:val="17"/>
              </w:rPr>
              <w:t>酒精度、苯甲酸及其钠盐(以苯甲酸计)、山梨酸及其钾盐(以山梨酸计)、糖精钠(以糖精计)、甜蜜素(以环己</w:t>
            </w:r>
            <w:r>
              <w:rPr>
                <w:spacing w:val="6"/>
                <w:sz w:val="17"/>
                <w:szCs w:val="17"/>
              </w:rPr>
              <w:t>基氨基磺酸计)、安赛蜜</w:t>
            </w:r>
          </w:p>
        </w:tc>
      </w:tr>
      <w:tr w14:paraId="2041E1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trPr>
        <w:tc>
          <w:tcPr>
            <w:tcW w:w="459" w:type="dxa"/>
            <w:vMerge w:val="restart"/>
            <w:tcBorders>
              <w:bottom w:val="nil"/>
            </w:tcBorders>
            <w:vAlign w:val="top"/>
          </w:tcPr>
          <w:p w14:paraId="52146D8A">
            <w:pPr>
              <w:spacing w:line="261" w:lineRule="auto"/>
              <w:rPr>
                <w:rFonts w:ascii="Arial"/>
                <w:sz w:val="21"/>
              </w:rPr>
            </w:pPr>
          </w:p>
          <w:p w14:paraId="2F64F2F0">
            <w:pPr>
              <w:spacing w:line="262" w:lineRule="auto"/>
              <w:rPr>
                <w:rFonts w:ascii="Arial"/>
                <w:sz w:val="21"/>
              </w:rPr>
            </w:pPr>
          </w:p>
          <w:p w14:paraId="5A24608C">
            <w:pPr>
              <w:spacing w:line="262" w:lineRule="auto"/>
              <w:rPr>
                <w:rFonts w:ascii="Arial"/>
                <w:sz w:val="21"/>
              </w:rPr>
            </w:pPr>
          </w:p>
          <w:p w14:paraId="0D16ADE2">
            <w:pPr>
              <w:pStyle w:val="51"/>
              <w:spacing w:before="55" w:line="227" w:lineRule="exact"/>
              <w:ind w:left="156"/>
              <w:rPr>
                <w:sz w:val="17"/>
                <w:szCs w:val="17"/>
              </w:rPr>
            </w:pPr>
            <w:r>
              <w:rPr>
                <w:spacing w:val="-6"/>
                <w:position w:val="1"/>
                <w:sz w:val="17"/>
                <w:szCs w:val="17"/>
              </w:rPr>
              <w:t>16</w:t>
            </w:r>
          </w:p>
        </w:tc>
        <w:tc>
          <w:tcPr>
            <w:tcW w:w="942" w:type="dxa"/>
            <w:vMerge w:val="restart"/>
            <w:tcBorders>
              <w:bottom w:val="nil"/>
            </w:tcBorders>
            <w:vAlign w:val="top"/>
          </w:tcPr>
          <w:p w14:paraId="35EA0300">
            <w:pPr>
              <w:spacing w:line="261" w:lineRule="auto"/>
              <w:rPr>
                <w:rFonts w:ascii="Arial"/>
                <w:sz w:val="21"/>
              </w:rPr>
            </w:pPr>
          </w:p>
          <w:p w14:paraId="6424EB4C">
            <w:pPr>
              <w:spacing w:line="261" w:lineRule="auto"/>
              <w:rPr>
                <w:rFonts w:ascii="Arial"/>
                <w:sz w:val="21"/>
              </w:rPr>
            </w:pPr>
          </w:p>
          <w:p w14:paraId="74B8B2A3">
            <w:pPr>
              <w:spacing w:line="262" w:lineRule="auto"/>
              <w:rPr>
                <w:rFonts w:ascii="Arial"/>
                <w:sz w:val="21"/>
              </w:rPr>
            </w:pPr>
          </w:p>
          <w:p w14:paraId="521DB732">
            <w:pPr>
              <w:pStyle w:val="51"/>
              <w:spacing w:before="56" w:line="224" w:lineRule="auto"/>
              <w:ind w:left="119"/>
              <w:rPr>
                <w:sz w:val="17"/>
                <w:szCs w:val="17"/>
              </w:rPr>
            </w:pPr>
            <w:r>
              <w:rPr>
                <w:spacing w:val="6"/>
                <w:sz w:val="17"/>
                <w:szCs w:val="17"/>
              </w:rPr>
              <w:t>蔬菜制品</w:t>
            </w:r>
          </w:p>
        </w:tc>
        <w:tc>
          <w:tcPr>
            <w:tcW w:w="1360" w:type="dxa"/>
            <w:vMerge w:val="restart"/>
            <w:tcBorders>
              <w:bottom w:val="nil"/>
            </w:tcBorders>
            <w:vAlign w:val="top"/>
          </w:tcPr>
          <w:p w14:paraId="02D561E5">
            <w:pPr>
              <w:spacing w:line="261" w:lineRule="auto"/>
              <w:rPr>
                <w:rFonts w:ascii="Arial"/>
                <w:sz w:val="21"/>
              </w:rPr>
            </w:pPr>
          </w:p>
          <w:p w14:paraId="38B97D95">
            <w:pPr>
              <w:spacing w:line="261" w:lineRule="auto"/>
              <w:rPr>
                <w:rFonts w:ascii="Arial"/>
                <w:sz w:val="21"/>
              </w:rPr>
            </w:pPr>
          </w:p>
          <w:p w14:paraId="01A17A95">
            <w:pPr>
              <w:spacing w:line="262" w:lineRule="auto"/>
              <w:rPr>
                <w:rFonts w:ascii="Arial"/>
                <w:sz w:val="21"/>
              </w:rPr>
            </w:pPr>
          </w:p>
          <w:p w14:paraId="4F1AE881">
            <w:pPr>
              <w:pStyle w:val="51"/>
              <w:spacing w:before="56" w:line="224" w:lineRule="auto"/>
              <w:ind w:left="328"/>
              <w:rPr>
                <w:sz w:val="17"/>
                <w:szCs w:val="17"/>
              </w:rPr>
            </w:pPr>
            <w:r>
              <w:rPr>
                <w:spacing w:val="6"/>
                <w:sz w:val="17"/>
                <w:szCs w:val="17"/>
              </w:rPr>
              <w:t>蔬菜制品</w:t>
            </w:r>
          </w:p>
        </w:tc>
        <w:tc>
          <w:tcPr>
            <w:tcW w:w="1581" w:type="dxa"/>
            <w:vAlign w:val="top"/>
          </w:tcPr>
          <w:p w14:paraId="012BCDEA">
            <w:pPr>
              <w:spacing w:line="241" w:lineRule="auto"/>
              <w:rPr>
                <w:rFonts w:ascii="Arial"/>
                <w:sz w:val="21"/>
              </w:rPr>
            </w:pPr>
          </w:p>
          <w:p w14:paraId="652AF39A">
            <w:pPr>
              <w:spacing w:line="241" w:lineRule="auto"/>
              <w:rPr>
                <w:rFonts w:ascii="Arial"/>
                <w:sz w:val="21"/>
              </w:rPr>
            </w:pPr>
          </w:p>
          <w:p w14:paraId="161CA867">
            <w:pPr>
              <w:pStyle w:val="51"/>
              <w:spacing w:before="55" w:line="224" w:lineRule="auto"/>
              <w:ind w:left="529"/>
              <w:rPr>
                <w:sz w:val="17"/>
                <w:szCs w:val="17"/>
              </w:rPr>
            </w:pPr>
            <w:r>
              <w:rPr>
                <w:spacing w:val="6"/>
                <w:sz w:val="17"/>
                <w:szCs w:val="17"/>
              </w:rPr>
              <w:t>酱腌菜</w:t>
            </w:r>
          </w:p>
        </w:tc>
        <w:tc>
          <w:tcPr>
            <w:tcW w:w="1586" w:type="dxa"/>
            <w:vAlign w:val="top"/>
          </w:tcPr>
          <w:p w14:paraId="6E64EE7D">
            <w:pPr>
              <w:spacing w:line="241" w:lineRule="auto"/>
              <w:rPr>
                <w:rFonts w:ascii="Arial"/>
                <w:sz w:val="21"/>
              </w:rPr>
            </w:pPr>
          </w:p>
          <w:p w14:paraId="3CC905A8">
            <w:pPr>
              <w:spacing w:line="241" w:lineRule="auto"/>
              <w:rPr>
                <w:rFonts w:ascii="Arial"/>
                <w:sz w:val="21"/>
              </w:rPr>
            </w:pPr>
          </w:p>
          <w:p w14:paraId="79DF3240">
            <w:pPr>
              <w:pStyle w:val="51"/>
              <w:spacing w:before="55" w:line="224" w:lineRule="auto"/>
              <w:ind w:left="532"/>
              <w:rPr>
                <w:sz w:val="17"/>
                <w:szCs w:val="17"/>
              </w:rPr>
            </w:pPr>
            <w:r>
              <w:rPr>
                <w:spacing w:val="6"/>
                <w:sz w:val="17"/>
                <w:szCs w:val="17"/>
              </w:rPr>
              <w:t>酱腌菜</w:t>
            </w:r>
          </w:p>
        </w:tc>
        <w:tc>
          <w:tcPr>
            <w:tcW w:w="682" w:type="dxa"/>
            <w:vAlign w:val="top"/>
          </w:tcPr>
          <w:p w14:paraId="7F444867">
            <w:pPr>
              <w:spacing w:line="241" w:lineRule="auto"/>
              <w:rPr>
                <w:rFonts w:ascii="Arial"/>
                <w:sz w:val="21"/>
              </w:rPr>
            </w:pPr>
          </w:p>
          <w:p w14:paraId="7B65AFF6">
            <w:pPr>
              <w:spacing w:line="241" w:lineRule="auto"/>
              <w:rPr>
                <w:rFonts w:ascii="Arial"/>
                <w:sz w:val="21"/>
              </w:rPr>
            </w:pPr>
          </w:p>
          <w:p w14:paraId="56C9C538">
            <w:pPr>
              <w:pStyle w:val="51"/>
              <w:spacing w:before="55" w:line="227" w:lineRule="auto"/>
              <w:ind w:left="170"/>
              <w:rPr>
                <w:sz w:val="17"/>
                <w:szCs w:val="17"/>
              </w:rPr>
            </w:pPr>
            <w:r>
              <w:rPr>
                <w:spacing w:val="3"/>
                <w:sz w:val="17"/>
                <w:szCs w:val="17"/>
              </w:rPr>
              <w:t>较高</w:t>
            </w:r>
          </w:p>
        </w:tc>
        <w:tc>
          <w:tcPr>
            <w:tcW w:w="8563" w:type="dxa"/>
            <w:vAlign w:val="top"/>
          </w:tcPr>
          <w:p w14:paraId="04E203D8">
            <w:pPr>
              <w:pStyle w:val="51"/>
              <w:spacing w:before="90" w:line="296" w:lineRule="auto"/>
              <w:ind w:left="37"/>
              <w:jc w:val="both"/>
              <w:rPr>
                <w:sz w:val="17"/>
                <w:szCs w:val="17"/>
              </w:rPr>
            </w:pPr>
            <w:r>
              <w:rPr>
                <w:spacing w:val="8"/>
                <w:sz w:val="17"/>
                <w:szCs w:val="17"/>
              </w:rPr>
              <w:t>铅(以</w:t>
            </w:r>
            <w:r>
              <w:rPr>
                <w:sz w:val="17"/>
                <w:szCs w:val="17"/>
              </w:rPr>
              <w:t>Pb</w:t>
            </w:r>
            <w:r>
              <w:rPr>
                <w:spacing w:val="8"/>
                <w:sz w:val="17"/>
                <w:szCs w:val="17"/>
              </w:rPr>
              <w:t>计)、亚硝酸盐(以</w:t>
            </w:r>
            <w:r>
              <w:rPr>
                <w:sz w:val="17"/>
                <w:szCs w:val="17"/>
              </w:rPr>
              <w:t>NaNO</w:t>
            </w:r>
            <w:r>
              <w:rPr>
                <w:rFonts w:ascii="Segoe UI" w:hAnsi="Segoe UI" w:eastAsia="Segoe UI" w:cs="Segoe UI"/>
                <w:spacing w:val="8"/>
                <w:sz w:val="17"/>
                <w:szCs w:val="17"/>
              </w:rPr>
              <w:t>2</w:t>
            </w:r>
            <w:r>
              <w:rPr>
                <w:spacing w:val="8"/>
                <w:sz w:val="17"/>
                <w:szCs w:val="17"/>
              </w:rPr>
              <w:t>计)、苯甲酸及其钠盐(以苯甲酸计)、山梨酸及其钾盐(以</w:t>
            </w:r>
            <w:r>
              <w:rPr>
                <w:spacing w:val="7"/>
                <w:sz w:val="17"/>
                <w:szCs w:val="17"/>
              </w:rPr>
              <w:t>山梨酸计)、脱氢乙酸及其钠盐(以脱氢乙酸计)、糖精钠(以糖精计)、甜蜜素(以环己基氨基磺酸计)、阿斯巴甜、安赛蜜、纽甜、</w:t>
            </w:r>
            <w:r>
              <w:rPr>
                <w:spacing w:val="9"/>
                <w:sz w:val="17"/>
                <w:szCs w:val="17"/>
              </w:rPr>
              <w:t>三氯蔗糖、二氧化硫残留量、防腐剂混合使用时各自用量占其最大使用量的比例之和、合成着色剂(柠檬黄、</w:t>
            </w:r>
            <w:r>
              <w:rPr>
                <w:spacing w:val="7"/>
                <w:sz w:val="17"/>
                <w:szCs w:val="17"/>
              </w:rPr>
              <w:t>日落黄、胭脂红、诱惑红)、大肠菌群</w:t>
            </w:r>
          </w:p>
        </w:tc>
      </w:tr>
      <w:tr w14:paraId="3B98D5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7" w:hRule="atLeast"/>
        </w:trPr>
        <w:tc>
          <w:tcPr>
            <w:tcW w:w="459" w:type="dxa"/>
            <w:vMerge w:val="continue"/>
            <w:tcBorders>
              <w:top w:val="nil"/>
            </w:tcBorders>
            <w:vAlign w:val="top"/>
          </w:tcPr>
          <w:p w14:paraId="3170C1E1">
            <w:pPr>
              <w:rPr>
                <w:rFonts w:ascii="Arial"/>
                <w:sz w:val="21"/>
              </w:rPr>
            </w:pPr>
          </w:p>
        </w:tc>
        <w:tc>
          <w:tcPr>
            <w:tcW w:w="942" w:type="dxa"/>
            <w:vMerge w:val="continue"/>
            <w:tcBorders>
              <w:top w:val="nil"/>
            </w:tcBorders>
            <w:vAlign w:val="top"/>
          </w:tcPr>
          <w:p w14:paraId="43AABEBF">
            <w:pPr>
              <w:rPr>
                <w:rFonts w:ascii="Arial"/>
                <w:sz w:val="21"/>
              </w:rPr>
            </w:pPr>
          </w:p>
        </w:tc>
        <w:tc>
          <w:tcPr>
            <w:tcW w:w="1360" w:type="dxa"/>
            <w:vMerge w:val="continue"/>
            <w:tcBorders>
              <w:top w:val="nil"/>
            </w:tcBorders>
            <w:vAlign w:val="top"/>
          </w:tcPr>
          <w:p w14:paraId="13168EC8">
            <w:pPr>
              <w:rPr>
                <w:rFonts w:ascii="Arial"/>
                <w:sz w:val="21"/>
              </w:rPr>
            </w:pPr>
          </w:p>
        </w:tc>
        <w:tc>
          <w:tcPr>
            <w:tcW w:w="1581" w:type="dxa"/>
            <w:vAlign w:val="top"/>
          </w:tcPr>
          <w:p w14:paraId="57A21745">
            <w:pPr>
              <w:pStyle w:val="51"/>
              <w:spacing w:before="240" w:line="224" w:lineRule="auto"/>
              <w:ind w:left="351"/>
              <w:rPr>
                <w:sz w:val="17"/>
                <w:szCs w:val="17"/>
              </w:rPr>
            </w:pPr>
            <w:r>
              <w:rPr>
                <w:spacing w:val="7"/>
                <w:sz w:val="17"/>
                <w:szCs w:val="17"/>
              </w:rPr>
              <w:t>蔬菜干制品</w:t>
            </w:r>
          </w:p>
        </w:tc>
        <w:tc>
          <w:tcPr>
            <w:tcW w:w="1586" w:type="dxa"/>
            <w:vAlign w:val="top"/>
          </w:tcPr>
          <w:p w14:paraId="556F2560">
            <w:pPr>
              <w:pStyle w:val="51"/>
              <w:spacing w:before="240" w:line="224" w:lineRule="auto"/>
              <w:ind w:left="354"/>
              <w:rPr>
                <w:sz w:val="17"/>
                <w:szCs w:val="17"/>
              </w:rPr>
            </w:pPr>
            <w:r>
              <w:rPr>
                <w:spacing w:val="7"/>
                <w:sz w:val="17"/>
                <w:szCs w:val="17"/>
              </w:rPr>
              <w:t>蔬菜干制品</w:t>
            </w:r>
          </w:p>
        </w:tc>
        <w:tc>
          <w:tcPr>
            <w:tcW w:w="682" w:type="dxa"/>
            <w:vAlign w:val="top"/>
          </w:tcPr>
          <w:p w14:paraId="02C895FD">
            <w:pPr>
              <w:pStyle w:val="51"/>
              <w:spacing w:before="241" w:line="227" w:lineRule="auto"/>
              <w:ind w:left="170"/>
              <w:rPr>
                <w:sz w:val="17"/>
                <w:szCs w:val="17"/>
              </w:rPr>
            </w:pPr>
            <w:r>
              <w:rPr>
                <w:spacing w:val="3"/>
                <w:sz w:val="17"/>
                <w:szCs w:val="17"/>
              </w:rPr>
              <w:t>较高</w:t>
            </w:r>
          </w:p>
        </w:tc>
        <w:tc>
          <w:tcPr>
            <w:tcW w:w="8563" w:type="dxa"/>
            <w:vAlign w:val="top"/>
          </w:tcPr>
          <w:p w14:paraId="62A1F271">
            <w:pPr>
              <w:pStyle w:val="51"/>
              <w:spacing w:before="90" w:line="275" w:lineRule="auto"/>
              <w:ind w:left="37" w:right="26"/>
              <w:rPr>
                <w:sz w:val="17"/>
                <w:szCs w:val="17"/>
              </w:rPr>
            </w:pPr>
            <w:r>
              <w:rPr>
                <w:spacing w:val="5"/>
                <w:sz w:val="17"/>
                <w:szCs w:val="17"/>
              </w:rPr>
              <w:t>铅(以</w:t>
            </w:r>
            <w:r>
              <w:rPr>
                <w:sz w:val="17"/>
                <w:szCs w:val="17"/>
              </w:rPr>
              <w:t>Pb</w:t>
            </w:r>
            <w:r>
              <w:rPr>
                <w:spacing w:val="5"/>
                <w:sz w:val="17"/>
                <w:szCs w:val="17"/>
              </w:rPr>
              <w:t>计)、苯甲酸及其钠盐(以苯甲酸计)、山梨酸及其钾盐(以山梨酸计)、二氧化硫残留量、</w:t>
            </w:r>
            <w:r>
              <w:rPr>
                <w:spacing w:val="4"/>
                <w:sz w:val="17"/>
                <w:szCs w:val="17"/>
              </w:rPr>
              <w:t>合成着色剂(柠</w:t>
            </w:r>
            <w:r>
              <w:rPr>
                <w:spacing w:val="9"/>
                <w:sz w:val="17"/>
                <w:szCs w:val="17"/>
              </w:rPr>
              <w:t>檬黄、日落黄、胭脂红、苋菜红、亮蓝)</w:t>
            </w:r>
          </w:p>
        </w:tc>
      </w:tr>
    </w:tbl>
    <w:p w14:paraId="4063EEE8">
      <w:pPr>
        <w:rPr>
          <w:rFonts w:ascii="Arial"/>
          <w:sz w:val="21"/>
        </w:rPr>
      </w:pPr>
    </w:p>
    <w:p w14:paraId="4A9BD7CC">
      <w:pPr>
        <w:rPr>
          <w:rFonts w:ascii="Arial" w:hAnsi="Arial" w:eastAsia="Arial" w:cs="Arial"/>
          <w:sz w:val="21"/>
          <w:szCs w:val="21"/>
        </w:rPr>
        <w:sectPr>
          <w:pgSz w:w="16838" w:h="11906"/>
          <w:pgMar w:top="1011" w:right="829" w:bottom="400" w:left="366" w:header="567" w:footer="567" w:gutter="0"/>
          <w:pgNumType w:fmt="decimal"/>
          <w:cols w:space="720" w:num="1"/>
        </w:sectPr>
      </w:pPr>
    </w:p>
    <w:p w14:paraId="0A9FEBCD">
      <w:pPr>
        <w:spacing w:before="18"/>
      </w:pPr>
    </w:p>
    <w:p w14:paraId="3A9491E7">
      <w:pPr>
        <w:spacing w:before="18"/>
      </w:pPr>
    </w:p>
    <w:tbl>
      <w:tblPr>
        <w:tblStyle w:val="50"/>
        <w:tblW w:w="15173" w:type="dxa"/>
        <w:tblInd w:w="46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59"/>
        <w:gridCol w:w="942"/>
        <w:gridCol w:w="1360"/>
        <w:gridCol w:w="1581"/>
        <w:gridCol w:w="1586"/>
        <w:gridCol w:w="682"/>
        <w:gridCol w:w="8563"/>
      </w:tblGrid>
      <w:tr w14:paraId="7E3F1D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459" w:type="dxa"/>
            <w:vAlign w:val="top"/>
          </w:tcPr>
          <w:p w14:paraId="53EE4303">
            <w:pPr>
              <w:spacing w:before="241" w:line="234" w:lineRule="auto"/>
              <w:ind w:left="52"/>
              <w:rPr>
                <w:rFonts w:ascii="黑体" w:hAnsi="黑体" w:eastAsia="黑体" w:cs="黑体"/>
                <w:sz w:val="17"/>
                <w:szCs w:val="17"/>
              </w:rPr>
            </w:pPr>
            <w:r>
              <w:rPr>
                <w:rFonts w:ascii="黑体" w:hAnsi="黑体" w:eastAsia="黑体" w:cs="黑体"/>
                <w:spacing w:val="6"/>
                <w:sz w:val="17"/>
                <w:szCs w:val="17"/>
              </w:rPr>
              <w:t>序号</w:t>
            </w:r>
          </w:p>
        </w:tc>
        <w:tc>
          <w:tcPr>
            <w:tcW w:w="942" w:type="dxa"/>
            <w:vAlign w:val="top"/>
          </w:tcPr>
          <w:p w14:paraId="0069DA3F">
            <w:pPr>
              <w:spacing w:before="90" w:line="232" w:lineRule="auto"/>
              <w:ind w:left="111"/>
              <w:rPr>
                <w:rFonts w:ascii="黑体" w:hAnsi="黑体" w:eastAsia="黑体" w:cs="黑体"/>
                <w:sz w:val="17"/>
                <w:szCs w:val="17"/>
              </w:rPr>
            </w:pPr>
            <w:r>
              <w:rPr>
                <w:rFonts w:ascii="黑体" w:hAnsi="黑体" w:eastAsia="黑体" w:cs="黑体"/>
                <w:spacing w:val="8"/>
                <w:sz w:val="17"/>
                <w:szCs w:val="17"/>
              </w:rPr>
              <w:t>食品大类</w:t>
            </w:r>
          </w:p>
          <w:p w14:paraId="12C50F24">
            <w:pPr>
              <w:spacing w:before="86" w:line="227" w:lineRule="auto"/>
              <w:ind w:left="237"/>
              <w:rPr>
                <w:rFonts w:ascii="黑体" w:hAnsi="黑体" w:eastAsia="黑体" w:cs="黑体"/>
                <w:sz w:val="17"/>
                <w:szCs w:val="17"/>
              </w:rPr>
            </w:pPr>
            <w:r>
              <w:rPr>
                <w:rFonts w:ascii="黑体" w:hAnsi="黑体" w:eastAsia="黑体" w:cs="黑体"/>
                <w:spacing w:val="-4"/>
                <w:sz w:val="17"/>
                <w:szCs w:val="17"/>
              </w:rPr>
              <w:t>(一级)</w:t>
            </w:r>
          </w:p>
        </w:tc>
        <w:tc>
          <w:tcPr>
            <w:tcW w:w="1360" w:type="dxa"/>
            <w:vAlign w:val="top"/>
          </w:tcPr>
          <w:p w14:paraId="1F9EED40">
            <w:pPr>
              <w:spacing w:before="90" w:line="232" w:lineRule="auto"/>
              <w:ind w:left="321"/>
              <w:rPr>
                <w:rFonts w:ascii="黑体" w:hAnsi="黑体" w:eastAsia="黑体" w:cs="黑体"/>
                <w:sz w:val="17"/>
                <w:szCs w:val="17"/>
              </w:rPr>
            </w:pPr>
            <w:r>
              <w:rPr>
                <w:rFonts w:ascii="黑体" w:hAnsi="黑体" w:eastAsia="黑体" w:cs="黑体"/>
                <w:spacing w:val="8"/>
                <w:sz w:val="17"/>
                <w:szCs w:val="17"/>
              </w:rPr>
              <w:t>食品亚类</w:t>
            </w:r>
          </w:p>
          <w:p w14:paraId="6F56E088">
            <w:pPr>
              <w:spacing w:before="86" w:line="227" w:lineRule="auto"/>
              <w:ind w:left="444"/>
              <w:rPr>
                <w:rFonts w:ascii="黑体" w:hAnsi="黑体" w:eastAsia="黑体" w:cs="黑体"/>
                <w:sz w:val="17"/>
                <w:szCs w:val="17"/>
              </w:rPr>
            </w:pPr>
            <w:r>
              <w:rPr>
                <w:rFonts w:ascii="黑体" w:hAnsi="黑体" w:eastAsia="黑体" w:cs="黑体"/>
                <w:spacing w:val="-3"/>
                <w:sz w:val="17"/>
                <w:szCs w:val="17"/>
              </w:rPr>
              <w:t>(二级)</w:t>
            </w:r>
          </w:p>
        </w:tc>
        <w:tc>
          <w:tcPr>
            <w:tcW w:w="1581" w:type="dxa"/>
            <w:vAlign w:val="top"/>
          </w:tcPr>
          <w:p w14:paraId="420BF331">
            <w:pPr>
              <w:spacing w:before="90" w:line="232" w:lineRule="auto"/>
              <w:ind w:left="433"/>
              <w:rPr>
                <w:rFonts w:ascii="黑体" w:hAnsi="黑体" w:eastAsia="黑体" w:cs="黑体"/>
                <w:sz w:val="17"/>
                <w:szCs w:val="17"/>
              </w:rPr>
            </w:pPr>
            <w:r>
              <w:rPr>
                <w:rFonts w:ascii="黑体" w:hAnsi="黑体" w:eastAsia="黑体" w:cs="黑体"/>
                <w:spacing w:val="8"/>
                <w:sz w:val="17"/>
                <w:szCs w:val="17"/>
              </w:rPr>
              <w:t>食品品种</w:t>
            </w:r>
          </w:p>
          <w:p w14:paraId="7B251507">
            <w:pPr>
              <w:spacing w:before="86" w:line="227" w:lineRule="auto"/>
              <w:ind w:left="558"/>
              <w:rPr>
                <w:rFonts w:ascii="黑体" w:hAnsi="黑体" w:eastAsia="黑体" w:cs="黑体"/>
                <w:sz w:val="17"/>
                <w:szCs w:val="17"/>
              </w:rPr>
            </w:pPr>
            <w:r>
              <w:rPr>
                <w:rFonts w:ascii="黑体" w:hAnsi="黑体" w:eastAsia="黑体" w:cs="黑体"/>
                <w:spacing w:val="-4"/>
                <w:sz w:val="17"/>
                <w:szCs w:val="17"/>
              </w:rPr>
              <w:t>(三级)</w:t>
            </w:r>
          </w:p>
        </w:tc>
        <w:tc>
          <w:tcPr>
            <w:tcW w:w="1586" w:type="dxa"/>
            <w:vAlign w:val="top"/>
          </w:tcPr>
          <w:p w14:paraId="43E4803A">
            <w:pPr>
              <w:spacing w:before="90" w:line="232" w:lineRule="auto"/>
              <w:ind w:left="436"/>
              <w:rPr>
                <w:rFonts w:ascii="黑体" w:hAnsi="黑体" w:eastAsia="黑体" w:cs="黑体"/>
                <w:sz w:val="17"/>
                <w:szCs w:val="17"/>
              </w:rPr>
            </w:pPr>
            <w:r>
              <w:rPr>
                <w:rFonts w:ascii="黑体" w:hAnsi="黑体" w:eastAsia="黑体" w:cs="黑体"/>
                <w:spacing w:val="8"/>
                <w:sz w:val="17"/>
                <w:szCs w:val="17"/>
              </w:rPr>
              <w:t>食品细类</w:t>
            </w:r>
          </w:p>
          <w:p w14:paraId="35748775">
            <w:pPr>
              <w:spacing w:before="86" w:line="227" w:lineRule="auto"/>
              <w:ind w:left="561"/>
              <w:rPr>
                <w:rFonts w:ascii="黑体" w:hAnsi="黑体" w:eastAsia="黑体" w:cs="黑体"/>
                <w:sz w:val="17"/>
                <w:szCs w:val="17"/>
              </w:rPr>
            </w:pPr>
            <w:r>
              <w:rPr>
                <w:rFonts w:ascii="黑体" w:hAnsi="黑体" w:eastAsia="黑体" w:cs="黑体"/>
                <w:spacing w:val="-4"/>
                <w:sz w:val="17"/>
                <w:szCs w:val="17"/>
              </w:rPr>
              <w:t>(四级)</w:t>
            </w:r>
          </w:p>
        </w:tc>
        <w:tc>
          <w:tcPr>
            <w:tcW w:w="682" w:type="dxa"/>
            <w:vAlign w:val="top"/>
          </w:tcPr>
          <w:p w14:paraId="15FA6604">
            <w:pPr>
              <w:spacing w:before="89" w:line="233" w:lineRule="auto"/>
              <w:ind w:left="166"/>
              <w:rPr>
                <w:rFonts w:ascii="黑体" w:hAnsi="黑体" w:eastAsia="黑体" w:cs="黑体"/>
                <w:sz w:val="17"/>
                <w:szCs w:val="17"/>
              </w:rPr>
            </w:pPr>
            <w:r>
              <w:rPr>
                <w:rFonts w:ascii="黑体" w:hAnsi="黑体" w:eastAsia="黑体" w:cs="黑体"/>
                <w:spacing w:val="6"/>
                <w:sz w:val="17"/>
                <w:szCs w:val="17"/>
              </w:rPr>
              <w:t>风险</w:t>
            </w:r>
          </w:p>
          <w:p w14:paraId="06680486">
            <w:pPr>
              <w:spacing w:before="85" w:line="227" w:lineRule="auto"/>
              <w:ind w:left="163"/>
              <w:rPr>
                <w:rFonts w:ascii="黑体" w:hAnsi="黑体" w:eastAsia="黑体" w:cs="黑体"/>
                <w:sz w:val="17"/>
                <w:szCs w:val="17"/>
              </w:rPr>
            </w:pPr>
            <w:r>
              <w:rPr>
                <w:rFonts w:ascii="黑体" w:hAnsi="黑体" w:eastAsia="黑体" w:cs="黑体"/>
                <w:spacing w:val="7"/>
                <w:sz w:val="17"/>
                <w:szCs w:val="17"/>
              </w:rPr>
              <w:t>等级</w:t>
            </w:r>
          </w:p>
        </w:tc>
        <w:tc>
          <w:tcPr>
            <w:tcW w:w="8563" w:type="dxa"/>
            <w:vAlign w:val="top"/>
          </w:tcPr>
          <w:p w14:paraId="0410A1DC">
            <w:pPr>
              <w:spacing w:before="241" w:line="232" w:lineRule="auto"/>
              <w:ind w:left="3744"/>
              <w:rPr>
                <w:rFonts w:ascii="黑体" w:hAnsi="黑体" w:eastAsia="黑体" w:cs="黑体"/>
                <w:sz w:val="17"/>
                <w:szCs w:val="17"/>
              </w:rPr>
            </w:pPr>
            <w:r>
              <w:rPr>
                <w:rFonts w:ascii="黑体" w:hAnsi="黑体" w:eastAsia="黑体" w:cs="黑体"/>
                <w:spacing w:val="8"/>
                <w:sz w:val="17"/>
                <w:szCs w:val="17"/>
              </w:rPr>
              <w:t>监督抽检项目</w:t>
            </w:r>
          </w:p>
        </w:tc>
      </w:tr>
      <w:tr w14:paraId="41E110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5" w:hRule="atLeast"/>
        </w:trPr>
        <w:tc>
          <w:tcPr>
            <w:tcW w:w="459" w:type="dxa"/>
            <w:vMerge w:val="restart"/>
            <w:tcBorders>
              <w:bottom w:val="nil"/>
            </w:tcBorders>
            <w:vAlign w:val="top"/>
          </w:tcPr>
          <w:p w14:paraId="5D1D4C8D">
            <w:pPr>
              <w:rPr>
                <w:rFonts w:ascii="Arial"/>
                <w:sz w:val="21"/>
              </w:rPr>
            </w:pPr>
          </w:p>
        </w:tc>
        <w:tc>
          <w:tcPr>
            <w:tcW w:w="942" w:type="dxa"/>
            <w:vMerge w:val="restart"/>
            <w:tcBorders>
              <w:bottom w:val="nil"/>
            </w:tcBorders>
            <w:vAlign w:val="top"/>
          </w:tcPr>
          <w:p w14:paraId="12D9351C">
            <w:pPr>
              <w:rPr>
                <w:rFonts w:ascii="Arial"/>
                <w:sz w:val="21"/>
              </w:rPr>
            </w:pPr>
          </w:p>
        </w:tc>
        <w:tc>
          <w:tcPr>
            <w:tcW w:w="1360" w:type="dxa"/>
            <w:vMerge w:val="restart"/>
            <w:tcBorders>
              <w:bottom w:val="nil"/>
            </w:tcBorders>
            <w:vAlign w:val="top"/>
          </w:tcPr>
          <w:p w14:paraId="7313A9B5">
            <w:pPr>
              <w:rPr>
                <w:rFonts w:ascii="Arial"/>
                <w:sz w:val="21"/>
              </w:rPr>
            </w:pPr>
          </w:p>
        </w:tc>
        <w:tc>
          <w:tcPr>
            <w:tcW w:w="1581" w:type="dxa"/>
            <w:vAlign w:val="top"/>
          </w:tcPr>
          <w:p w14:paraId="2145DABE">
            <w:pPr>
              <w:pStyle w:val="51"/>
              <w:spacing w:before="280" w:line="224" w:lineRule="auto"/>
              <w:ind w:left="259"/>
              <w:rPr>
                <w:sz w:val="17"/>
                <w:szCs w:val="17"/>
              </w:rPr>
            </w:pPr>
            <w:r>
              <w:rPr>
                <w:spacing w:val="7"/>
                <w:sz w:val="17"/>
                <w:szCs w:val="17"/>
              </w:rPr>
              <w:t>其他蔬菜制品</w:t>
            </w:r>
          </w:p>
        </w:tc>
        <w:tc>
          <w:tcPr>
            <w:tcW w:w="1586" w:type="dxa"/>
            <w:vAlign w:val="top"/>
          </w:tcPr>
          <w:p w14:paraId="08D6BF55">
            <w:pPr>
              <w:pStyle w:val="51"/>
              <w:spacing w:before="280" w:line="224" w:lineRule="auto"/>
              <w:ind w:left="262"/>
              <w:rPr>
                <w:sz w:val="17"/>
                <w:szCs w:val="17"/>
              </w:rPr>
            </w:pPr>
            <w:r>
              <w:rPr>
                <w:spacing w:val="7"/>
                <w:sz w:val="17"/>
                <w:szCs w:val="17"/>
              </w:rPr>
              <w:t>其他蔬菜制品</w:t>
            </w:r>
          </w:p>
        </w:tc>
        <w:tc>
          <w:tcPr>
            <w:tcW w:w="682" w:type="dxa"/>
            <w:vAlign w:val="top"/>
          </w:tcPr>
          <w:p w14:paraId="25DB75F3">
            <w:pPr>
              <w:pStyle w:val="51"/>
              <w:spacing w:before="280" w:line="230" w:lineRule="auto"/>
              <w:ind w:left="173"/>
              <w:rPr>
                <w:sz w:val="17"/>
                <w:szCs w:val="17"/>
              </w:rPr>
            </w:pPr>
            <w:r>
              <w:rPr>
                <w:spacing w:val="2"/>
                <w:sz w:val="17"/>
                <w:szCs w:val="17"/>
              </w:rPr>
              <w:t>一般</w:t>
            </w:r>
          </w:p>
        </w:tc>
        <w:tc>
          <w:tcPr>
            <w:tcW w:w="8563" w:type="dxa"/>
            <w:vAlign w:val="top"/>
          </w:tcPr>
          <w:p w14:paraId="6680B232">
            <w:pPr>
              <w:pStyle w:val="51"/>
              <w:spacing w:before="132" w:line="300" w:lineRule="auto"/>
              <w:ind w:left="37" w:right="26"/>
              <w:rPr>
                <w:sz w:val="17"/>
                <w:szCs w:val="17"/>
              </w:rPr>
            </w:pPr>
            <w:r>
              <w:rPr>
                <w:spacing w:val="8"/>
                <w:sz w:val="17"/>
                <w:szCs w:val="17"/>
              </w:rPr>
              <w:t>铅(以</w:t>
            </w:r>
            <w:r>
              <w:rPr>
                <w:sz w:val="17"/>
                <w:szCs w:val="17"/>
              </w:rPr>
              <w:t>Pb</w:t>
            </w:r>
            <w:r>
              <w:rPr>
                <w:spacing w:val="8"/>
                <w:sz w:val="17"/>
                <w:szCs w:val="17"/>
              </w:rPr>
              <w:t>计)、苯甲酸及其钠盐(以苯甲酸计)、山梨酸及其钾盐(以山梨酸计)、脱氢乙酸及其钠盐(以脱氢乙酸</w:t>
            </w:r>
            <w:r>
              <w:rPr>
                <w:spacing w:val="6"/>
                <w:sz w:val="17"/>
                <w:szCs w:val="17"/>
              </w:rPr>
              <w:t>计)、二氧化硫残留量</w:t>
            </w:r>
          </w:p>
        </w:tc>
      </w:tr>
      <w:tr w14:paraId="279A17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459" w:type="dxa"/>
            <w:vMerge w:val="continue"/>
            <w:tcBorders>
              <w:top w:val="nil"/>
              <w:bottom w:val="nil"/>
            </w:tcBorders>
            <w:vAlign w:val="top"/>
          </w:tcPr>
          <w:p w14:paraId="1720632F">
            <w:pPr>
              <w:rPr>
                <w:rFonts w:ascii="Arial"/>
                <w:sz w:val="21"/>
              </w:rPr>
            </w:pPr>
          </w:p>
        </w:tc>
        <w:tc>
          <w:tcPr>
            <w:tcW w:w="942" w:type="dxa"/>
            <w:vMerge w:val="continue"/>
            <w:tcBorders>
              <w:top w:val="nil"/>
              <w:bottom w:val="nil"/>
            </w:tcBorders>
            <w:vAlign w:val="top"/>
          </w:tcPr>
          <w:p w14:paraId="7B43A8CB">
            <w:pPr>
              <w:rPr>
                <w:rFonts w:ascii="Arial"/>
                <w:sz w:val="21"/>
              </w:rPr>
            </w:pPr>
          </w:p>
        </w:tc>
        <w:tc>
          <w:tcPr>
            <w:tcW w:w="1360" w:type="dxa"/>
            <w:vMerge w:val="continue"/>
            <w:tcBorders>
              <w:top w:val="nil"/>
              <w:bottom w:val="nil"/>
            </w:tcBorders>
            <w:vAlign w:val="top"/>
          </w:tcPr>
          <w:p w14:paraId="1A4514AC">
            <w:pPr>
              <w:rPr>
                <w:rFonts w:ascii="Arial"/>
                <w:sz w:val="21"/>
              </w:rPr>
            </w:pPr>
          </w:p>
        </w:tc>
        <w:tc>
          <w:tcPr>
            <w:tcW w:w="1581" w:type="dxa"/>
            <w:vMerge w:val="restart"/>
            <w:tcBorders>
              <w:bottom w:val="nil"/>
            </w:tcBorders>
            <w:vAlign w:val="top"/>
          </w:tcPr>
          <w:p w14:paraId="24153D3C">
            <w:pPr>
              <w:spacing w:line="247" w:lineRule="auto"/>
              <w:rPr>
                <w:rFonts w:ascii="Arial"/>
                <w:sz w:val="21"/>
              </w:rPr>
            </w:pPr>
          </w:p>
          <w:p w14:paraId="633597CA">
            <w:pPr>
              <w:spacing w:line="247" w:lineRule="auto"/>
              <w:rPr>
                <w:rFonts w:ascii="Arial"/>
                <w:sz w:val="21"/>
              </w:rPr>
            </w:pPr>
          </w:p>
          <w:p w14:paraId="48465762">
            <w:pPr>
              <w:pStyle w:val="51"/>
              <w:spacing w:before="56" w:line="227" w:lineRule="auto"/>
              <w:ind w:left="349"/>
              <w:rPr>
                <w:sz w:val="17"/>
                <w:szCs w:val="17"/>
              </w:rPr>
            </w:pPr>
            <w:r>
              <w:rPr>
                <w:spacing w:val="7"/>
                <w:sz w:val="17"/>
                <w:szCs w:val="17"/>
              </w:rPr>
              <w:t>食用菌制品</w:t>
            </w:r>
          </w:p>
        </w:tc>
        <w:tc>
          <w:tcPr>
            <w:tcW w:w="1586" w:type="dxa"/>
            <w:vAlign w:val="top"/>
          </w:tcPr>
          <w:p w14:paraId="3CED5F2E">
            <w:pPr>
              <w:pStyle w:val="51"/>
              <w:spacing w:before="219" w:line="227" w:lineRule="auto"/>
              <w:ind w:left="357"/>
              <w:rPr>
                <w:sz w:val="17"/>
                <w:szCs w:val="17"/>
              </w:rPr>
            </w:pPr>
            <w:r>
              <w:rPr>
                <w:spacing w:val="6"/>
                <w:sz w:val="17"/>
                <w:szCs w:val="17"/>
              </w:rPr>
              <w:t>干制食用菌</w:t>
            </w:r>
          </w:p>
        </w:tc>
        <w:tc>
          <w:tcPr>
            <w:tcW w:w="682" w:type="dxa"/>
            <w:vAlign w:val="top"/>
          </w:tcPr>
          <w:p w14:paraId="7F321AE5">
            <w:pPr>
              <w:pStyle w:val="51"/>
              <w:spacing w:before="219" w:line="230" w:lineRule="auto"/>
              <w:ind w:left="173"/>
              <w:rPr>
                <w:sz w:val="17"/>
                <w:szCs w:val="17"/>
              </w:rPr>
            </w:pPr>
            <w:r>
              <w:rPr>
                <w:spacing w:val="2"/>
                <w:sz w:val="17"/>
                <w:szCs w:val="17"/>
              </w:rPr>
              <w:t>一般</w:t>
            </w:r>
          </w:p>
        </w:tc>
        <w:tc>
          <w:tcPr>
            <w:tcW w:w="8563" w:type="dxa"/>
            <w:vAlign w:val="top"/>
          </w:tcPr>
          <w:p w14:paraId="165E0F20">
            <w:pPr>
              <w:pStyle w:val="51"/>
              <w:spacing w:before="219" w:line="222" w:lineRule="auto"/>
              <w:ind w:left="37"/>
              <w:rPr>
                <w:sz w:val="17"/>
                <w:szCs w:val="17"/>
              </w:rPr>
            </w:pPr>
            <w:r>
              <w:rPr>
                <w:spacing w:val="9"/>
                <w:sz w:val="17"/>
                <w:szCs w:val="17"/>
              </w:rPr>
              <w:t>铅(以</w:t>
            </w:r>
            <w:r>
              <w:rPr>
                <w:sz w:val="17"/>
                <w:szCs w:val="17"/>
              </w:rPr>
              <w:t>Pb</w:t>
            </w:r>
            <w:r>
              <w:rPr>
                <w:spacing w:val="9"/>
                <w:sz w:val="17"/>
                <w:szCs w:val="17"/>
              </w:rPr>
              <w:t>计)、镉(以</w:t>
            </w:r>
            <w:r>
              <w:rPr>
                <w:sz w:val="17"/>
                <w:szCs w:val="17"/>
              </w:rPr>
              <w:t>Cd</w:t>
            </w:r>
            <w:r>
              <w:rPr>
                <w:spacing w:val="9"/>
                <w:sz w:val="17"/>
                <w:szCs w:val="17"/>
              </w:rPr>
              <w:t>计)、甲基汞(以</w:t>
            </w:r>
            <w:r>
              <w:rPr>
                <w:sz w:val="17"/>
                <w:szCs w:val="17"/>
              </w:rPr>
              <w:t>Hg</w:t>
            </w:r>
            <w:r>
              <w:rPr>
                <w:spacing w:val="9"/>
                <w:sz w:val="17"/>
                <w:szCs w:val="17"/>
              </w:rPr>
              <w:t>计)、无机砷(以</w:t>
            </w:r>
            <w:r>
              <w:rPr>
                <w:sz w:val="17"/>
                <w:szCs w:val="17"/>
              </w:rPr>
              <w:t>As</w:t>
            </w:r>
            <w:r>
              <w:rPr>
                <w:spacing w:val="9"/>
                <w:sz w:val="17"/>
                <w:szCs w:val="17"/>
              </w:rPr>
              <w:t>计)</w:t>
            </w:r>
          </w:p>
        </w:tc>
      </w:tr>
      <w:tr w14:paraId="404686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2" w:hRule="atLeast"/>
        </w:trPr>
        <w:tc>
          <w:tcPr>
            <w:tcW w:w="459" w:type="dxa"/>
            <w:vMerge w:val="continue"/>
            <w:tcBorders>
              <w:top w:val="nil"/>
            </w:tcBorders>
            <w:vAlign w:val="top"/>
          </w:tcPr>
          <w:p w14:paraId="7DF31A1E">
            <w:pPr>
              <w:rPr>
                <w:rFonts w:ascii="Arial"/>
                <w:sz w:val="21"/>
              </w:rPr>
            </w:pPr>
          </w:p>
        </w:tc>
        <w:tc>
          <w:tcPr>
            <w:tcW w:w="942" w:type="dxa"/>
            <w:vMerge w:val="continue"/>
            <w:tcBorders>
              <w:top w:val="nil"/>
            </w:tcBorders>
            <w:vAlign w:val="top"/>
          </w:tcPr>
          <w:p w14:paraId="5783D17B">
            <w:pPr>
              <w:rPr>
                <w:rFonts w:ascii="Arial"/>
                <w:sz w:val="21"/>
              </w:rPr>
            </w:pPr>
          </w:p>
        </w:tc>
        <w:tc>
          <w:tcPr>
            <w:tcW w:w="1360" w:type="dxa"/>
            <w:vMerge w:val="continue"/>
            <w:tcBorders>
              <w:top w:val="nil"/>
            </w:tcBorders>
            <w:vAlign w:val="top"/>
          </w:tcPr>
          <w:p w14:paraId="0C2CA3F5">
            <w:pPr>
              <w:rPr>
                <w:rFonts w:ascii="Arial"/>
                <w:sz w:val="21"/>
              </w:rPr>
            </w:pPr>
          </w:p>
        </w:tc>
        <w:tc>
          <w:tcPr>
            <w:tcW w:w="1581" w:type="dxa"/>
            <w:vMerge w:val="continue"/>
            <w:tcBorders>
              <w:top w:val="nil"/>
            </w:tcBorders>
            <w:vAlign w:val="top"/>
          </w:tcPr>
          <w:p w14:paraId="25E77DCB">
            <w:pPr>
              <w:rPr>
                <w:rFonts w:ascii="Arial"/>
                <w:sz w:val="21"/>
              </w:rPr>
            </w:pPr>
          </w:p>
        </w:tc>
        <w:tc>
          <w:tcPr>
            <w:tcW w:w="1586" w:type="dxa"/>
            <w:vAlign w:val="top"/>
          </w:tcPr>
          <w:p w14:paraId="4201652A">
            <w:pPr>
              <w:pStyle w:val="51"/>
              <w:spacing w:before="264" w:line="229" w:lineRule="auto"/>
              <w:ind w:left="351"/>
              <w:rPr>
                <w:sz w:val="17"/>
                <w:szCs w:val="17"/>
              </w:rPr>
            </w:pPr>
            <w:r>
              <w:rPr>
                <w:spacing w:val="7"/>
                <w:sz w:val="17"/>
                <w:szCs w:val="17"/>
              </w:rPr>
              <w:t>腌渍食用菌</w:t>
            </w:r>
          </w:p>
        </w:tc>
        <w:tc>
          <w:tcPr>
            <w:tcW w:w="682" w:type="dxa"/>
            <w:vAlign w:val="top"/>
          </w:tcPr>
          <w:p w14:paraId="07732ED1">
            <w:pPr>
              <w:pStyle w:val="51"/>
              <w:spacing w:before="264" w:line="230" w:lineRule="auto"/>
              <w:ind w:left="173"/>
              <w:rPr>
                <w:sz w:val="17"/>
                <w:szCs w:val="17"/>
              </w:rPr>
            </w:pPr>
            <w:r>
              <w:rPr>
                <w:spacing w:val="2"/>
                <w:sz w:val="17"/>
                <w:szCs w:val="17"/>
              </w:rPr>
              <w:t>一般</w:t>
            </w:r>
          </w:p>
        </w:tc>
        <w:tc>
          <w:tcPr>
            <w:tcW w:w="8563" w:type="dxa"/>
            <w:vAlign w:val="top"/>
          </w:tcPr>
          <w:p w14:paraId="296B1700">
            <w:pPr>
              <w:pStyle w:val="51"/>
              <w:spacing w:before="116" w:line="291" w:lineRule="auto"/>
              <w:ind w:left="39" w:right="52"/>
              <w:rPr>
                <w:sz w:val="17"/>
                <w:szCs w:val="17"/>
              </w:rPr>
            </w:pPr>
            <w:r>
              <w:rPr>
                <w:spacing w:val="10"/>
                <w:sz w:val="17"/>
                <w:szCs w:val="17"/>
              </w:rPr>
              <w:t>苯甲酸及其钠盐(以苯甲酸计)、山梨酸及其钾盐(以</w:t>
            </w:r>
            <w:r>
              <w:rPr>
                <w:spacing w:val="9"/>
                <w:sz w:val="17"/>
                <w:szCs w:val="17"/>
              </w:rPr>
              <w:t>山梨酸计)、脱氢乙酸及其钠盐(以脱氢乙酸计)、防腐剂混合使用时各自用量占其最大使用量的比例之和</w:t>
            </w:r>
          </w:p>
        </w:tc>
      </w:tr>
      <w:tr w14:paraId="084405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04" w:hRule="atLeast"/>
        </w:trPr>
        <w:tc>
          <w:tcPr>
            <w:tcW w:w="459" w:type="dxa"/>
            <w:vMerge w:val="restart"/>
            <w:tcBorders>
              <w:bottom w:val="nil"/>
            </w:tcBorders>
            <w:vAlign w:val="top"/>
          </w:tcPr>
          <w:p w14:paraId="4F4734EF">
            <w:pPr>
              <w:spacing w:line="254" w:lineRule="auto"/>
              <w:rPr>
                <w:rFonts w:ascii="Arial"/>
                <w:sz w:val="21"/>
              </w:rPr>
            </w:pPr>
          </w:p>
          <w:p w14:paraId="5A752886">
            <w:pPr>
              <w:spacing w:line="255" w:lineRule="auto"/>
              <w:rPr>
                <w:rFonts w:ascii="Arial"/>
                <w:sz w:val="21"/>
              </w:rPr>
            </w:pPr>
          </w:p>
          <w:p w14:paraId="5C9F31AB">
            <w:pPr>
              <w:spacing w:line="255" w:lineRule="auto"/>
              <w:rPr>
                <w:rFonts w:ascii="Arial"/>
                <w:sz w:val="21"/>
              </w:rPr>
            </w:pPr>
          </w:p>
          <w:p w14:paraId="2BCBE818">
            <w:pPr>
              <w:spacing w:line="255" w:lineRule="auto"/>
              <w:rPr>
                <w:rFonts w:ascii="Arial"/>
                <w:sz w:val="21"/>
              </w:rPr>
            </w:pPr>
          </w:p>
          <w:p w14:paraId="28144F71">
            <w:pPr>
              <w:spacing w:line="255" w:lineRule="auto"/>
              <w:rPr>
                <w:rFonts w:ascii="Arial"/>
                <w:sz w:val="21"/>
              </w:rPr>
            </w:pPr>
          </w:p>
          <w:p w14:paraId="07E25605">
            <w:pPr>
              <w:spacing w:line="255" w:lineRule="auto"/>
              <w:rPr>
                <w:rFonts w:ascii="Arial"/>
                <w:sz w:val="21"/>
              </w:rPr>
            </w:pPr>
          </w:p>
          <w:p w14:paraId="18D38432">
            <w:pPr>
              <w:pStyle w:val="51"/>
              <w:spacing w:before="56" w:line="227" w:lineRule="exact"/>
              <w:ind w:left="156"/>
              <w:rPr>
                <w:sz w:val="17"/>
                <w:szCs w:val="17"/>
              </w:rPr>
            </w:pPr>
            <w:r>
              <w:rPr>
                <w:spacing w:val="-6"/>
                <w:position w:val="1"/>
                <w:sz w:val="17"/>
                <w:szCs w:val="17"/>
              </w:rPr>
              <w:t>17</w:t>
            </w:r>
          </w:p>
        </w:tc>
        <w:tc>
          <w:tcPr>
            <w:tcW w:w="942" w:type="dxa"/>
            <w:vMerge w:val="restart"/>
            <w:tcBorders>
              <w:bottom w:val="nil"/>
            </w:tcBorders>
            <w:vAlign w:val="top"/>
          </w:tcPr>
          <w:p w14:paraId="21E09746">
            <w:pPr>
              <w:spacing w:line="255" w:lineRule="auto"/>
              <w:rPr>
                <w:rFonts w:ascii="Arial"/>
                <w:sz w:val="21"/>
              </w:rPr>
            </w:pPr>
          </w:p>
          <w:p w14:paraId="37F6CABD">
            <w:pPr>
              <w:spacing w:line="255" w:lineRule="auto"/>
              <w:rPr>
                <w:rFonts w:ascii="Arial"/>
                <w:sz w:val="21"/>
              </w:rPr>
            </w:pPr>
          </w:p>
          <w:p w14:paraId="1A57190E">
            <w:pPr>
              <w:spacing w:line="255" w:lineRule="auto"/>
              <w:rPr>
                <w:rFonts w:ascii="Arial"/>
                <w:sz w:val="21"/>
              </w:rPr>
            </w:pPr>
          </w:p>
          <w:p w14:paraId="12D843D4">
            <w:pPr>
              <w:spacing w:line="255" w:lineRule="auto"/>
              <w:rPr>
                <w:rFonts w:ascii="Arial"/>
                <w:sz w:val="21"/>
              </w:rPr>
            </w:pPr>
          </w:p>
          <w:p w14:paraId="4AF935F2">
            <w:pPr>
              <w:spacing w:line="255" w:lineRule="auto"/>
              <w:rPr>
                <w:rFonts w:ascii="Arial"/>
                <w:sz w:val="21"/>
              </w:rPr>
            </w:pPr>
          </w:p>
          <w:p w14:paraId="4466B807">
            <w:pPr>
              <w:spacing w:line="255" w:lineRule="auto"/>
              <w:rPr>
                <w:rFonts w:ascii="Arial"/>
                <w:sz w:val="21"/>
              </w:rPr>
            </w:pPr>
          </w:p>
          <w:p w14:paraId="7D8F2A14">
            <w:pPr>
              <w:pStyle w:val="51"/>
              <w:spacing w:before="55" w:line="227" w:lineRule="auto"/>
              <w:ind w:left="116"/>
              <w:rPr>
                <w:sz w:val="17"/>
                <w:szCs w:val="17"/>
              </w:rPr>
            </w:pPr>
            <w:r>
              <w:rPr>
                <w:spacing w:val="7"/>
                <w:sz w:val="17"/>
                <w:szCs w:val="17"/>
              </w:rPr>
              <w:t>水果制品</w:t>
            </w:r>
          </w:p>
        </w:tc>
        <w:tc>
          <w:tcPr>
            <w:tcW w:w="1360" w:type="dxa"/>
            <w:vMerge w:val="restart"/>
            <w:tcBorders>
              <w:bottom w:val="nil"/>
            </w:tcBorders>
            <w:vAlign w:val="top"/>
          </w:tcPr>
          <w:p w14:paraId="2004291E">
            <w:pPr>
              <w:spacing w:line="255" w:lineRule="auto"/>
              <w:rPr>
                <w:rFonts w:ascii="Arial"/>
                <w:sz w:val="21"/>
              </w:rPr>
            </w:pPr>
          </w:p>
          <w:p w14:paraId="25FA8F71">
            <w:pPr>
              <w:spacing w:line="255" w:lineRule="auto"/>
              <w:rPr>
                <w:rFonts w:ascii="Arial"/>
                <w:sz w:val="21"/>
              </w:rPr>
            </w:pPr>
          </w:p>
          <w:p w14:paraId="3BAE835A">
            <w:pPr>
              <w:spacing w:line="255" w:lineRule="auto"/>
              <w:rPr>
                <w:rFonts w:ascii="Arial"/>
                <w:sz w:val="21"/>
              </w:rPr>
            </w:pPr>
          </w:p>
          <w:p w14:paraId="6148C6EB">
            <w:pPr>
              <w:spacing w:line="255" w:lineRule="auto"/>
              <w:rPr>
                <w:rFonts w:ascii="Arial"/>
                <w:sz w:val="21"/>
              </w:rPr>
            </w:pPr>
          </w:p>
          <w:p w14:paraId="4343CEEE">
            <w:pPr>
              <w:spacing w:line="255" w:lineRule="auto"/>
              <w:rPr>
                <w:rFonts w:ascii="Arial"/>
                <w:sz w:val="21"/>
              </w:rPr>
            </w:pPr>
          </w:p>
          <w:p w14:paraId="6D9F82BD">
            <w:pPr>
              <w:spacing w:line="255" w:lineRule="auto"/>
              <w:rPr>
                <w:rFonts w:ascii="Arial"/>
                <w:sz w:val="21"/>
              </w:rPr>
            </w:pPr>
          </w:p>
          <w:p w14:paraId="5D55989F">
            <w:pPr>
              <w:pStyle w:val="51"/>
              <w:spacing w:before="55" w:line="227" w:lineRule="auto"/>
              <w:ind w:left="326"/>
              <w:rPr>
                <w:sz w:val="17"/>
                <w:szCs w:val="17"/>
              </w:rPr>
            </w:pPr>
            <w:r>
              <w:rPr>
                <w:spacing w:val="7"/>
                <w:sz w:val="17"/>
                <w:szCs w:val="17"/>
              </w:rPr>
              <w:t>水果制品</w:t>
            </w:r>
          </w:p>
        </w:tc>
        <w:tc>
          <w:tcPr>
            <w:tcW w:w="1581" w:type="dxa"/>
            <w:vAlign w:val="top"/>
          </w:tcPr>
          <w:p w14:paraId="267F58AC">
            <w:pPr>
              <w:spacing w:line="314" w:lineRule="auto"/>
              <w:rPr>
                <w:rFonts w:ascii="Arial"/>
                <w:sz w:val="21"/>
              </w:rPr>
            </w:pPr>
          </w:p>
          <w:p w14:paraId="41C34A4B">
            <w:pPr>
              <w:spacing w:line="314" w:lineRule="auto"/>
              <w:rPr>
                <w:rFonts w:ascii="Arial"/>
                <w:sz w:val="21"/>
              </w:rPr>
            </w:pPr>
          </w:p>
          <w:p w14:paraId="0D8D736B">
            <w:pPr>
              <w:pStyle w:val="51"/>
              <w:spacing w:before="55" w:line="229" w:lineRule="auto"/>
              <w:ind w:left="624"/>
              <w:rPr>
                <w:sz w:val="17"/>
                <w:szCs w:val="17"/>
              </w:rPr>
            </w:pPr>
            <w:r>
              <w:rPr>
                <w:sz w:val="17"/>
                <w:szCs w:val="17"/>
              </w:rPr>
              <w:t>蜜饯</w:t>
            </w:r>
          </w:p>
        </w:tc>
        <w:tc>
          <w:tcPr>
            <w:tcW w:w="1586" w:type="dxa"/>
            <w:vAlign w:val="top"/>
          </w:tcPr>
          <w:p w14:paraId="3396A51D">
            <w:pPr>
              <w:spacing w:line="330" w:lineRule="auto"/>
              <w:rPr>
                <w:rFonts w:ascii="Arial"/>
                <w:sz w:val="21"/>
              </w:rPr>
            </w:pPr>
          </w:p>
          <w:p w14:paraId="6CE79A54">
            <w:pPr>
              <w:pStyle w:val="51"/>
              <w:spacing w:before="55" w:line="228" w:lineRule="auto"/>
              <w:ind w:left="41"/>
              <w:rPr>
                <w:sz w:val="17"/>
                <w:szCs w:val="17"/>
              </w:rPr>
            </w:pPr>
            <w:r>
              <w:rPr>
                <w:spacing w:val="-2"/>
                <w:sz w:val="17"/>
                <w:szCs w:val="17"/>
              </w:rPr>
              <w:t>蜜饯类、凉果类、果</w:t>
            </w:r>
          </w:p>
          <w:p w14:paraId="7C3EEC1E">
            <w:pPr>
              <w:pStyle w:val="51"/>
              <w:spacing w:before="90" w:line="228" w:lineRule="auto"/>
              <w:ind w:left="34"/>
              <w:rPr>
                <w:sz w:val="17"/>
                <w:szCs w:val="17"/>
              </w:rPr>
            </w:pPr>
            <w:r>
              <w:rPr>
                <w:spacing w:val="-2"/>
                <w:sz w:val="17"/>
                <w:szCs w:val="17"/>
              </w:rPr>
              <w:t>脯类、话化类、果糕</w:t>
            </w:r>
          </w:p>
          <w:p w14:paraId="6B74AA42">
            <w:pPr>
              <w:pStyle w:val="51"/>
              <w:spacing w:before="90" w:line="230" w:lineRule="auto"/>
              <w:ind w:left="714"/>
              <w:rPr>
                <w:sz w:val="17"/>
                <w:szCs w:val="17"/>
              </w:rPr>
            </w:pPr>
            <w:r>
              <w:rPr>
                <w:sz w:val="17"/>
                <w:szCs w:val="17"/>
              </w:rPr>
              <w:t>类</w:t>
            </w:r>
          </w:p>
        </w:tc>
        <w:tc>
          <w:tcPr>
            <w:tcW w:w="682" w:type="dxa"/>
            <w:vAlign w:val="top"/>
          </w:tcPr>
          <w:p w14:paraId="7F8A6F16">
            <w:pPr>
              <w:spacing w:line="314" w:lineRule="auto"/>
              <w:rPr>
                <w:rFonts w:ascii="Arial"/>
                <w:sz w:val="21"/>
              </w:rPr>
            </w:pPr>
          </w:p>
          <w:p w14:paraId="1F391AC2">
            <w:pPr>
              <w:spacing w:line="314" w:lineRule="auto"/>
              <w:rPr>
                <w:rFonts w:ascii="Arial"/>
                <w:sz w:val="21"/>
              </w:rPr>
            </w:pPr>
          </w:p>
          <w:p w14:paraId="65EAACD0">
            <w:pPr>
              <w:pStyle w:val="51"/>
              <w:spacing w:before="55" w:line="227" w:lineRule="auto"/>
              <w:ind w:left="170"/>
              <w:rPr>
                <w:sz w:val="17"/>
                <w:szCs w:val="17"/>
              </w:rPr>
            </w:pPr>
            <w:r>
              <w:rPr>
                <w:spacing w:val="3"/>
                <w:sz w:val="17"/>
                <w:szCs w:val="17"/>
              </w:rPr>
              <w:t>较高</w:t>
            </w:r>
          </w:p>
        </w:tc>
        <w:tc>
          <w:tcPr>
            <w:tcW w:w="8563" w:type="dxa"/>
            <w:vAlign w:val="top"/>
          </w:tcPr>
          <w:p w14:paraId="7419D178">
            <w:pPr>
              <w:pStyle w:val="51"/>
              <w:spacing w:before="89" w:line="305" w:lineRule="auto"/>
              <w:ind w:left="37"/>
              <w:jc w:val="both"/>
              <w:rPr>
                <w:sz w:val="17"/>
                <w:szCs w:val="17"/>
              </w:rPr>
            </w:pPr>
            <w:r>
              <w:rPr>
                <w:spacing w:val="8"/>
                <w:sz w:val="17"/>
                <w:szCs w:val="17"/>
              </w:rPr>
              <w:t>铅(以</w:t>
            </w:r>
            <w:r>
              <w:rPr>
                <w:sz w:val="17"/>
                <w:szCs w:val="17"/>
              </w:rPr>
              <w:t>Pb</w:t>
            </w:r>
            <w:r>
              <w:rPr>
                <w:spacing w:val="8"/>
                <w:sz w:val="17"/>
                <w:szCs w:val="17"/>
              </w:rPr>
              <w:t>计)、苯甲酸及其钠盐(以苯甲酸计)、山梨酸及其钾盐(以山梨酸计)、脱氢乙</w:t>
            </w:r>
            <w:r>
              <w:rPr>
                <w:spacing w:val="7"/>
                <w:sz w:val="17"/>
                <w:szCs w:val="17"/>
              </w:rPr>
              <w:t>酸及其钠盐(以脱氢乙酸</w:t>
            </w:r>
            <w:r>
              <w:rPr>
                <w:spacing w:val="10"/>
                <w:sz w:val="17"/>
                <w:szCs w:val="17"/>
              </w:rPr>
              <w:t>计)、防腐剂混合使用时各自用量占其最大使用量的比例之和、糖精钠</w:t>
            </w:r>
            <w:r>
              <w:rPr>
                <w:spacing w:val="9"/>
                <w:sz w:val="17"/>
                <w:szCs w:val="17"/>
              </w:rPr>
              <w:t>(以糖精计)、甜蜜素(以环己基氨基磺</w:t>
            </w:r>
            <w:r>
              <w:rPr>
                <w:spacing w:val="6"/>
                <w:sz w:val="17"/>
                <w:szCs w:val="17"/>
              </w:rPr>
              <w:t>酸计)、安赛蜜、二氧化硫残留量、合成着色剂(亮蓝、柠檬黄、</w:t>
            </w:r>
            <w:r>
              <w:rPr>
                <w:spacing w:val="-20"/>
                <w:sz w:val="17"/>
                <w:szCs w:val="17"/>
              </w:rPr>
              <w:t xml:space="preserve"> </w:t>
            </w:r>
            <w:r>
              <w:rPr>
                <w:spacing w:val="6"/>
                <w:sz w:val="17"/>
                <w:szCs w:val="17"/>
              </w:rPr>
              <w:t>日落黄、苋菜红、胭脂红、诱惑红、喹啉黄、</w:t>
            </w:r>
            <w:r>
              <w:rPr>
                <w:spacing w:val="9"/>
                <w:sz w:val="17"/>
                <w:szCs w:val="17"/>
              </w:rPr>
              <w:t>赤藓红)、相同色泽着色剂混合使用时各自用量占其</w:t>
            </w:r>
            <w:r>
              <w:rPr>
                <w:spacing w:val="8"/>
                <w:sz w:val="17"/>
                <w:szCs w:val="17"/>
              </w:rPr>
              <w:t>最大使用量的比例之和、乙二胺四乙酸二钠、菌落总数</w:t>
            </w:r>
            <w:r>
              <w:rPr>
                <w:spacing w:val="-48"/>
                <w:sz w:val="17"/>
                <w:szCs w:val="17"/>
              </w:rPr>
              <w:t xml:space="preserve"> </w:t>
            </w:r>
            <w:r>
              <w:rPr>
                <w:spacing w:val="8"/>
                <w:sz w:val="17"/>
                <w:szCs w:val="17"/>
              </w:rPr>
              <w:t>、</w:t>
            </w:r>
            <w:r>
              <w:rPr>
                <w:spacing w:val="7"/>
                <w:sz w:val="17"/>
                <w:szCs w:val="17"/>
              </w:rPr>
              <w:t>大肠菌群、霉菌</w:t>
            </w:r>
          </w:p>
        </w:tc>
      </w:tr>
      <w:tr w14:paraId="690121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trPr>
        <w:tc>
          <w:tcPr>
            <w:tcW w:w="459" w:type="dxa"/>
            <w:vMerge w:val="continue"/>
            <w:tcBorders>
              <w:top w:val="nil"/>
              <w:bottom w:val="nil"/>
            </w:tcBorders>
            <w:vAlign w:val="top"/>
          </w:tcPr>
          <w:p w14:paraId="6C3B0CFB">
            <w:pPr>
              <w:rPr>
                <w:rFonts w:ascii="Arial"/>
                <w:sz w:val="21"/>
              </w:rPr>
            </w:pPr>
          </w:p>
        </w:tc>
        <w:tc>
          <w:tcPr>
            <w:tcW w:w="942" w:type="dxa"/>
            <w:vMerge w:val="continue"/>
            <w:tcBorders>
              <w:top w:val="nil"/>
              <w:bottom w:val="nil"/>
            </w:tcBorders>
            <w:vAlign w:val="top"/>
          </w:tcPr>
          <w:p w14:paraId="22951E1B">
            <w:pPr>
              <w:rPr>
                <w:rFonts w:ascii="Arial"/>
                <w:sz w:val="21"/>
              </w:rPr>
            </w:pPr>
          </w:p>
        </w:tc>
        <w:tc>
          <w:tcPr>
            <w:tcW w:w="1360" w:type="dxa"/>
            <w:vMerge w:val="continue"/>
            <w:tcBorders>
              <w:top w:val="nil"/>
              <w:bottom w:val="nil"/>
            </w:tcBorders>
            <w:vAlign w:val="top"/>
          </w:tcPr>
          <w:p w14:paraId="4477F09A">
            <w:pPr>
              <w:rPr>
                <w:rFonts w:ascii="Arial"/>
                <w:sz w:val="21"/>
              </w:rPr>
            </w:pPr>
          </w:p>
        </w:tc>
        <w:tc>
          <w:tcPr>
            <w:tcW w:w="1581" w:type="dxa"/>
            <w:vAlign w:val="top"/>
          </w:tcPr>
          <w:p w14:paraId="3458FD71">
            <w:pPr>
              <w:spacing w:line="478" w:lineRule="auto"/>
              <w:rPr>
                <w:rFonts w:ascii="Arial"/>
                <w:sz w:val="21"/>
              </w:rPr>
            </w:pPr>
          </w:p>
          <w:p w14:paraId="533A1E2E">
            <w:pPr>
              <w:pStyle w:val="51"/>
              <w:spacing w:before="56" w:line="227" w:lineRule="auto"/>
              <w:ind w:left="348"/>
              <w:rPr>
                <w:sz w:val="17"/>
                <w:szCs w:val="17"/>
              </w:rPr>
            </w:pPr>
            <w:r>
              <w:rPr>
                <w:spacing w:val="7"/>
                <w:sz w:val="17"/>
                <w:szCs w:val="17"/>
              </w:rPr>
              <w:t>水果干制品</w:t>
            </w:r>
          </w:p>
        </w:tc>
        <w:tc>
          <w:tcPr>
            <w:tcW w:w="1586" w:type="dxa"/>
            <w:vAlign w:val="top"/>
          </w:tcPr>
          <w:p w14:paraId="241A7B32">
            <w:pPr>
              <w:spacing w:line="330" w:lineRule="auto"/>
              <w:rPr>
                <w:rFonts w:ascii="Arial"/>
                <w:sz w:val="21"/>
              </w:rPr>
            </w:pPr>
          </w:p>
          <w:p w14:paraId="4A2EF659">
            <w:pPr>
              <w:pStyle w:val="51"/>
              <w:spacing w:before="56" w:line="227" w:lineRule="auto"/>
              <w:ind w:left="34"/>
              <w:rPr>
                <w:sz w:val="17"/>
                <w:szCs w:val="17"/>
              </w:rPr>
            </w:pPr>
            <w:r>
              <w:rPr>
                <w:spacing w:val="4"/>
                <w:sz w:val="17"/>
                <w:szCs w:val="17"/>
              </w:rPr>
              <w:t>水果干制品</w:t>
            </w:r>
            <w:r>
              <w:rPr>
                <w:spacing w:val="-48"/>
                <w:sz w:val="17"/>
                <w:szCs w:val="17"/>
              </w:rPr>
              <w:t xml:space="preserve"> </w:t>
            </w:r>
            <w:r>
              <w:rPr>
                <w:spacing w:val="4"/>
                <w:sz w:val="17"/>
                <w:szCs w:val="17"/>
              </w:rPr>
              <w:t>(含干枸</w:t>
            </w:r>
          </w:p>
          <w:p w14:paraId="0FA6F4BD">
            <w:pPr>
              <w:pStyle w:val="51"/>
              <w:spacing w:before="91" w:line="229" w:lineRule="auto"/>
              <w:ind w:left="667"/>
              <w:rPr>
                <w:sz w:val="17"/>
                <w:szCs w:val="17"/>
              </w:rPr>
            </w:pPr>
            <w:r>
              <w:rPr>
                <w:spacing w:val="1"/>
                <w:sz w:val="17"/>
                <w:szCs w:val="17"/>
              </w:rPr>
              <w:t>杞)</w:t>
            </w:r>
          </w:p>
        </w:tc>
        <w:tc>
          <w:tcPr>
            <w:tcW w:w="682" w:type="dxa"/>
            <w:vAlign w:val="top"/>
          </w:tcPr>
          <w:p w14:paraId="6F8BE484">
            <w:pPr>
              <w:spacing w:line="478" w:lineRule="auto"/>
              <w:rPr>
                <w:rFonts w:ascii="Arial"/>
                <w:sz w:val="21"/>
              </w:rPr>
            </w:pPr>
          </w:p>
          <w:p w14:paraId="5B17D896">
            <w:pPr>
              <w:pStyle w:val="51"/>
              <w:spacing w:before="55" w:line="230" w:lineRule="auto"/>
              <w:ind w:left="173"/>
              <w:rPr>
                <w:sz w:val="17"/>
                <w:szCs w:val="17"/>
              </w:rPr>
            </w:pPr>
            <w:r>
              <w:rPr>
                <w:spacing w:val="2"/>
                <w:sz w:val="17"/>
                <w:szCs w:val="17"/>
              </w:rPr>
              <w:t>一般</w:t>
            </w:r>
          </w:p>
        </w:tc>
        <w:tc>
          <w:tcPr>
            <w:tcW w:w="8563" w:type="dxa"/>
            <w:vAlign w:val="top"/>
          </w:tcPr>
          <w:p w14:paraId="3D019A17">
            <w:pPr>
              <w:pStyle w:val="51"/>
              <w:spacing w:before="89" w:line="300" w:lineRule="auto"/>
              <w:ind w:left="37" w:right="17"/>
              <w:jc w:val="both"/>
              <w:rPr>
                <w:sz w:val="17"/>
                <w:szCs w:val="17"/>
              </w:rPr>
            </w:pPr>
            <w:r>
              <w:rPr>
                <w:spacing w:val="11"/>
                <w:sz w:val="17"/>
                <w:szCs w:val="17"/>
              </w:rPr>
              <w:t>铅(以</w:t>
            </w:r>
            <w:r>
              <w:rPr>
                <w:sz w:val="17"/>
                <w:szCs w:val="17"/>
              </w:rPr>
              <w:t>Pb</w:t>
            </w:r>
            <w:r>
              <w:rPr>
                <w:spacing w:val="11"/>
                <w:sz w:val="17"/>
                <w:szCs w:val="17"/>
              </w:rPr>
              <w:t>计)、啶虫脒、吡虫啉、克百威、氯氟氰菊酯和高效氯氟氰菊酯、氯</w:t>
            </w:r>
            <w:r>
              <w:rPr>
                <w:spacing w:val="10"/>
                <w:sz w:val="17"/>
                <w:szCs w:val="17"/>
              </w:rPr>
              <w:t>氰菊酯和高效氯氰菊酯、苯甲酸</w:t>
            </w:r>
            <w:r>
              <w:rPr>
                <w:spacing w:val="8"/>
                <w:sz w:val="17"/>
                <w:szCs w:val="17"/>
              </w:rPr>
              <w:t>及其钠盐(以苯甲酸计)、山梨酸及其钾盐(以山梨酸计)、脱氢乙酸及其钠盐(以脱氢乙酸计)、糖精钠(以糖精</w:t>
            </w:r>
            <w:r>
              <w:rPr>
                <w:spacing w:val="9"/>
                <w:sz w:val="17"/>
                <w:szCs w:val="17"/>
              </w:rPr>
              <w:t>计)、二氧化硫残留量、合成着色剂(亮蓝、柠檬黄、日落黄、苋菜红、胭脂</w:t>
            </w:r>
            <w:r>
              <w:rPr>
                <w:spacing w:val="8"/>
                <w:sz w:val="17"/>
                <w:szCs w:val="17"/>
              </w:rPr>
              <w:t>红、诱惑红、喹啉黄、赤藓红)、</w:t>
            </w:r>
            <w:r>
              <w:rPr>
                <w:spacing w:val="9"/>
                <w:sz w:val="17"/>
                <w:szCs w:val="17"/>
              </w:rPr>
              <w:t>菌落总数、大肠菌群、霉菌</w:t>
            </w:r>
          </w:p>
        </w:tc>
      </w:tr>
      <w:tr w14:paraId="121709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9" w:hRule="atLeast"/>
        </w:trPr>
        <w:tc>
          <w:tcPr>
            <w:tcW w:w="459" w:type="dxa"/>
            <w:vMerge w:val="continue"/>
            <w:tcBorders>
              <w:top w:val="nil"/>
            </w:tcBorders>
            <w:vAlign w:val="top"/>
          </w:tcPr>
          <w:p w14:paraId="7425F4C8">
            <w:pPr>
              <w:rPr>
                <w:rFonts w:ascii="Arial"/>
                <w:sz w:val="21"/>
              </w:rPr>
            </w:pPr>
          </w:p>
        </w:tc>
        <w:tc>
          <w:tcPr>
            <w:tcW w:w="942" w:type="dxa"/>
            <w:vMerge w:val="continue"/>
            <w:tcBorders>
              <w:top w:val="nil"/>
            </w:tcBorders>
            <w:vAlign w:val="top"/>
          </w:tcPr>
          <w:p w14:paraId="58C50E2F">
            <w:pPr>
              <w:rPr>
                <w:rFonts w:ascii="Arial"/>
                <w:sz w:val="21"/>
              </w:rPr>
            </w:pPr>
          </w:p>
        </w:tc>
        <w:tc>
          <w:tcPr>
            <w:tcW w:w="1360" w:type="dxa"/>
            <w:vMerge w:val="continue"/>
            <w:tcBorders>
              <w:top w:val="nil"/>
            </w:tcBorders>
            <w:vAlign w:val="top"/>
          </w:tcPr>
          <w:p w14:paraId="1444BE98">
            <w:pPr>
              <w:rPr>
                <w:rFonts w:ascii="Arial"/>
                <w:sz w:val="21"/>
              </w:rPr>
            </w:pPr>
          </w:p>
        </w:tc>
        <w:tc>
          <w:tcPr>
            <w:tcW w:w="1581" w:type="dxa"/>
            <w:vAlign w:val="top"/>
          </w:tcPr>
          <w:p w14:paraId="63BDECC9">
            <w:pPr>
              <w:pStyle w:val="51"/>
              <w:spacing w:before="234" w:line="228" w:lineRule="auto"/>
              <w:ind w:left="619"/>
              <w:rPr>
                <w:sz w:val="17"/>
                <w:szCs w:val="17"/>
              </w:rPr>
            </w:pPr>
            <w:r>
              <w:rPr>
                <w:spacing w:val="3"/>
                <w:sz w:val="17"/>
                <w:szCs w:val="17"/>
              </w:rPr>
              <w:t>果酱</w:t>
            </w:r>
          </w:p>
        </w:tc>
        <w:tc>
          <w:tcPr>
            <w:tcW w:w="1586" w:type="dxa"/>
            <w:vAlign w:val="top"/>
          </w:tcPr>
          <w:p w14:paraId="7A035AD5">
            <w:pPr>
              <w:pStyle w:val="51"/>
              <w:spacing w:before="234" w:line="228" w:lineRule="auto"/>
              <w:ind w:left="622"/>
              <w:rPr>
                <w:sz w:val="17"/>
                <w:szCs w:val="17"/>
              </w:rPr>
            </w:pPr>
            <w:r>
              <w:rPr>
                <w:spacing w:val="3"/>
                <w:sz w:val="17"/>
                <w:szCs w:val="17"/>
              </w:rPr>
              <w:t>果酱</w:t>
            </w:r>
          </w:p>
        </w:tc>
        <w:tc>
          <w:tcPr>
            <w:tcW w:w="682" w:type="dxa"/>
            <w:vAlign w:val="top"/>
          </w:tcPr>
          <w:p w14:paraId="0396D2BF">
            <w:pPr>
              <w:pStyle w:val="51"/>
              <w:spacing w:before="235" w:line="230" w:lineRule="auto"/>
              <w:ind w:left="173"/>
              <w:rPr>
                <w:sz w:val="17"/>
                <w:szCs w:val="17"/>
              </w:rPr>
            </w:pPr>
            <w:r>
              <w:rPr>
                <w:spacing w:val="2"/>
                <w:sz w:val="17"/>
                <w:szCs w:val="17"/>
              </w:rPr>
              <w:t>一般</w:t>
            </w:r>
          </w:p>
        </w:tc>
        <w:tc>
          <w:tcPr>
            <w:tcW w:w="8563" w:type="dxa"/>
            <w:vAlign w:val="top"/>
          </w:tcPr>
          <w:p w14:paraId="745E8A6D">
            <w:pPr>
              <w:pStyle w:val="51"/>
              <w:spacing w:before="234" w:line="228" w:lineRule="auto"/>
              <w:ind w:left="37"/>
              <w:rPr>
                <w:sz w:val="17"/>
                <w:szCs w:val="17"/>
              </w:rPr>
            </w:pPr>
            <w:r>
              <w:rPr>
                <w:spacing w:val="9"/>
                <w:sz w:val="17"/>
                <w:szCs w:val="17"/>
              </w:rPr>
              <w:t>脱氢乙酸及其钠盐(以脱氢乙酸计)、菌落总数、大肠菌群、霉菌、商业无菌、二氧化硫残留量</w:t>
            </w:r>
          </w:p>
        </w:tc>
      </w:tr>
      <w:tr w14:paraId="15A403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4" w:hRule="atLeast"/>
        </w:trPr>
        <w:tc>
          <w:tcPr>
            <w:tcW w:w="459" w:type="dxa"/>
            <w:vMerge w:val="restart"/>
            <w:tcBorders>
              <w:bottom w:val="nil"/>
            </w:tcBorders>
            <w:vAlign w:val="top"/>
          </w:tcPr>
          <w:p w14:paraId="7A4B0385">
            <w:pPr>
              <w:spacing w:line="248" w:lineRule="auto"/>
              <w:rPr>
                <w:rFonts w:ascii="Arial"/>
                <w:sz w:val="21"/>
              </w:rPr>
            </w:pPr>
          </w:p>
          <w:p w14:paraId="3D3EA7BE">
            <w:pPr>
              <w:spacing w:line="248" w:lineRule="auto"/>
              <w:rPr>
                <w:rFonts w:ascii="Arial"/>
                <w:sz w:val="21"/>
              </w:rPr>
            </w:pPr>
          </w:p>
          <w:p w14:paraId="206510D6">
            <w:pPr>
              <w:spacing w:line="248" w:lineRule="auto"/>
              <w:rPr>
                <w:rFonts w:ascii="Arial"/>
                <w:sz w:val="21"/>
              </w:rPr>
            </w:pPr>
          </w:p>
          <w:p w14:paraId="28DCB887">
            <w:pPr>
              <w:spacing w:line="248" w:lineRule="auto"/>
              <w:rPr>
                <w:rFonts w:ascii="Arial"/>
                <w:sz w:val="21"/>
              </w:rPr>
            </w:pPr>
          </w:p>
          <w:p w14:paraId="54233AF8">
            <w:pPr>
              <w:spacing w:line="248" w:lineRule="auto"/>
              <w:rPr>
                <w:rFonts w:ascii="Arial"/>
                <w:sz w:val="21"/>
              </w:rPr>
            </w:pPr>
          </w:p>
          <w:p w14:paraId="4303D367">
            <w:pPr>
              <w:pStyle w:val="51"/>
              <w:spacing w:before="56" w:line="227" w:lineRule="exact"/>
              <w:ind w:left="156"/>
              <w:rPr>
                <w:sz w:val="17"/>
                <w:szCs w:val="17"/>
              </w:rPr>
            </w:pPr>
            <w:r>
              <w:rPr>
                <w:spacing w:val="-6"/>
                <w:position w:val="1"/>
                <w:sz w:val="17"/>
                <w:szCs w:val="17"/>
              </w:rPr>
              <w:t>18</w:t>
            </w:r>
          </w:p>
        </w:tc>
        <w:tc>
          <w:tcPr>
            <w:tcW w:w="942" w:type="dxa"/>
            <w:vMerge w:val="restart"/>
            <w:tcBorders>
              <w:bottom w:val="nil"/>
            </w:tcBorders>
            <w:vAlign w:val="top"/>
          </w:tcPr>
          <w:p w14:paraId="2A8DEADF">
            <w:pPr>
              <w:spacing w:line="314" w:lineRule="auto"/>
              <w:rPr>
                <w:rFonts w:ascii="Arial"/>
                <w:sz w:val="21"/>
              </w:rPr>
            </w:pPr>
          </w:p>
          <w:p w14:paraId="33C09E07">
            <w:pPr>
              <w:spacing w:line="314" w:lineRule="auto"/>
              <w:rPr>
                <w:rFonts w:ascii="Arial"/>
                <w:sz w:val="21"/>
              </w:rPr>
            </w:pPr>
          </w:p>
          <w:p w14:paraId="6BBA184B">
            <w:pPr>
              <w:spacing w:line="314" w:lineRule="auto"/>
              <w:rPr>
                <w:rFonts w:ascii="Arial"/>
                <w:sz w:val="21"/>
              </w:rPr>
            </w:pPr>
          </w:p>
          <w:p w14:paraId="3477C061">
            <w:pPr>
              <w:pStyle w:val="51"/>
              <w:spacing w:before="55" w:line="229" w:lineRule="auto"/>
              <w:ind w:left="116"/>
              <w:rPr>
                <w:sz w:val="17"/>
                <w:szCs w:val="17"/>
              </w:rPr>
            </w:pPr>
            <w:r>
              <w:rPr>
                <w:spacing w:val="7"/>
                <w:sz w:val="17"/>
                <w:szCs w:val="17"/>
              </w:rPr>
              <w:t>炒货食品</w:t>
            </w:r>
          </w:p>
          <w:p w14:paraId="3432DC4A">
            <w:pPr>
              <w:pStyle w:val="51"/>
              <w:spacing w:before="89" w:line="227" w:lineRule="auto"/>
              <w:ind w:left="119"/>
              <w:rPr>
                <w:sz w:val="17"/>
                <w:szCs w:val="17"/>
              </w:rPr>
            </w:pPr>
            <w:r>
              <w:rPr>
                <w:spacing w:val="6"/>
                <w:sz w:val="17"/>
                <w:szCs w:val="17"/>
              </w:rPr>
              <w:t>及坚果制</w:t>
            </w:r>
          </w:p>
          <w:p w14:paraId="4BB28D34">
            <w:pPr>
              <w:pStyle w:val="51"/>
              <w:spacing w:before="90" w:line="241" w:lineRule="auto"/>
              <w:ind w:left="407"/>
              <w:rPr>
                <w:sz w:val="17"/>
                <w:szCs w:val="17"/>
              </w:rPr>
            </w:pPr>
            <w:r>
              <w:rPr>
                <w:sz w:val="17"/>
                <w:szCs w:val="17"/>
              </w:rPr>
              <w:t>品</w:t>
            </w:r>
          </w:p>
        </w:tc>
        <w:tc>
          <w:tcPr>
            <w:tcW w:w="1360" w:type="dxa"/>
            <w:vMerge w:val="restart"/>
            <w:tcBorders>
              <w:bottom w:val="nil"/>
            </w:tcBorders>
            <w:vAlign w:val="top"/>
          </w:tcPr>
          <w:p w14:paraId="0DCA603C">
            <w:pPr>
              <w:spacing w:line="273" w:lineRule="auto"/>
              <w:rPr>
                <w:rFonts w:ascii="Arial"/>
                <w:sz w:val="21"/>
              </w:rPr>
            </w:pPr>
          </w:p>
          <w:p w14:paraId="0EE5D60C">
            <w:pPr>
              <w:spacing w:line="273" w:lineRule="auto"/>
              <w:rPr>
                <w:rFonts w:ascii="Arial"/>
                <w:sz w:val="21"/>
              </w:rPr>
            </w:pPr>
          </w:p>
          <w:p w14:paraId="25BBC570">
            <w:pPr>
              <w:spacing w:line="273" w:lineRule="auto"/>
              <w:rPr>
                <w:rFonts w:ascii="Arial"/>
                <w:sz w:val="21"/>
              </w:rPr>
            </w:pPr>
          </w:p>
          <w:p w14:paraId="311E0D3B">
            <w:pPr>
              <w:spacing w:line="273" w:lineRule="auto"/>
              <w:rPr>
                <w:rFonts w:ascii="Arial"/>
                <w:sz w:val="21"/>
              </w:rPr>
            </w:pPr>
          </w:p>
          <w:p w14:paraId="7C87C39A">
            <w:pPr>
              <w:pStyle w:val="51"/>
              <w:spacing w:before="56" w:line="326" w:lineRule="auto"/>
              <w:ind w:left="506" w:right="51" w:hanging="451"/>
              <w:rPr>
                <w:sz w:val="17"/>
                <w:szCs w:val="17"/>
              </w:rPr>
            </w:pPr>
            <w:r>
              <w:rPr>
                <w:spacing w:val="8"/>
                <w:sz w:val="17"/>
                <w:szCs w:val="17"/>
              </w:rPr>
              <w:t>炒货食品及坚果</w:t>
            </w:r>
            <w:r>
              <w:rPr>
                <w:spacing w:val="3"/>
                <w:sz w:val="17"/>
                <w:szCs w:val="17"/>
              </w:rPr>
              <w:t>制品</w:t>
            </w:r>
          </w:p>
        </w:tc>
        <w:tc>
          <w:tcPr>
            <w:tcW w:w="1581" w:type="dxa"/>
            <w:vMerge w:val="restart"/>
            <w:tcBorders>
              <w:bottom w:val="nil"/>
            </w:tcBorders>
            <w:vAlign w:val="top"/>
          </w:tcPr>
          <w:p w14:paraId="22A4D239">
            <w:pPr>
              <w:spacing w:line="314" w:lineRule="auto"/>
              <w:rPr>
                <w:rFonts w:ascii="Arial"/>
                <w:sz w:val="21"/>
              </w:rPr>
            </w:pPr>
          </w:p>
          <w:p w14:paraId="6521E938">
            <w:pPr>
              <w:spacing w:line="314" w:lineRule="auto"/>
              <w:rPr>
                <w:rFonts w:ascii="Arial"/>
                <w:sz w:val="21"/>
              </w:rPr>
            </w:pPr>
          </w:p>
          <w:p w14:paraId="3FEE0324">
            <w:pPr>
              <w:spacing w:line="314" w:lineRule="auto"/>
              <w:rPr>
                <w:rFonts w:ascii="Arial"/>
                <w:sz w:val="21"/>
              </w:rPr>
            </w:pPr>
          </w:p>
          <w:p w14:paraId="6BB60B94">
            <w:pPr>
              <w:pStyle w:val="51"/>
              <w:spacing w:before="56" w:line="227" w:lineRule="auto"/>
              <w:ind w:left="78"/>
              <w:rPr>
                <w:sz w:val="17"/>
                <w:szCs w:val="17"/>
              </w:rPr>
            </w:pPr>
            <w:r>
              <w:rPr>
                <w:spacing w:val="8"/>
                <w:sz w:val="17"/>
                <w:szCs w:val="17"/>
              </w:rPr>
              <w:t>炒货食品及坚果制</w:t>
            </w:r>
          </w:p>
          <w:p w14:paraId="0E76F68B">
            <w:pPr>
              <w:pStyle w:val="51"/>
              <w:spacing w:before="90" w:line="228" w:lineRule="auto"/>
              <w:ind w:left="143"/>
              <w:rPr>
                <w:sz w:val="17"/>
                <w:szCs w:val="17"/>
              </w:rPr>
            </w:pPr>
            <w:r>
              <w:rPr>
                <w:sz w:val="17"/>
                <w:szCs w:val="17"/>
              </w:rPr>
              <w:t>品</w:t>
            </w:r>
            <w:r>
              <w:rPr>
                <w:spacing w:val="-44"/>
                <w:sz w:val="17"/>
                <w:szCs w:val="17"/>
              </w:rPr>
              <w:t xml:space="preserve"> </w:t>
            </w:r>
            <w:r>
              <w:rPr>
                <w:sz w:val="17"/>
                <w:szCs w:val="17"/>
              </w:rPr>
              <w:t>(烘炒类、油炸</w:t>
            </w:r>
          </w:p>
          <w:p w14:paraId="6028E56E">
            <w:pPr>
              <w:pStyle w:val="51"/>
              <w:spacing w:before="90" w:line="227" w:lineRule="auto"/>
              <w:ind w:left="305"/>
              <w:rPr>
                <w:sz w:val="17"/>
                <w:szCs w:val="17"/>
              </w:rPr>
            </w:pPr>
            <w:r>
              <w:rPr>
                <w:spacing w:val="6"/>
                <w:sz w:val="17"/>
                <w:szCs w:val="17"/>
              </w:rPr>
              <w:t>类、其他类)</w:t>
            </w:r>
          </w:p>
        </w:tc>
        <w:tc>
          <w:tcPr>
            <w:tcW w:w="1586" w:type="dxa"/>
            <w:vAlign w:val="top"/>
          </w:tcPr>
          <w:p w14:paraId="24B863B3">
            <w:pPr>
              <w:spacing w:line="305" w:lineRule="auto"/>
              <w:rPr>
                <w:rFonts w:ascii="Arial"/>
                <w:sz w:val="21"/>
              </w:rPr>
            </w:pPr>
          </w:p>
          <w:p w14:paraId="45D56C9F">
            <w:pPr>
              <w:pStyle w:val="51"/>
              <w:spacing w:before="55" w:line="229" w:lineRule="auto"/>
              <w:ind w:left="622"/>
              <w:rPr>
                <w:sz w:val="17"/>
                <w:szCs w:val="17"/>
              </w:rPr>
            </w:pPr>
            <w:r>
              <w:rPr>
                <w:spacing w:val="3"/>
                <w:sz w:val="17"/>
                <w:szCs w:val="17"/>
              </w:rPr>
              <w:t>瓜子</w:t>
            </w:r>
          </w:p>
        </w:tc>
        <w:tc>
          <w:tcPr>
            <w:tcW w:w="682" w:type="dxa"/>
            <w:vAlign w:val="top"/>
          </w:tcPr>
          <w:p w14:paraId="3C174827">
            <w:pPr>
              <w:spacing w:line="305" w:lineRule="auto"/>
              <w:rPr>
                <w:rFonts w:ascii="Arial"/>
                <w:sz w:val="21"/>
              </w:rPr>
            </w:pPr>
          </w:p>
          <w:p w14:paraId="657774B2">
            <w:pPr>
              <w:pStyle w:val="51"/>
              <w:spacing w:before="56" w:line="230" w:lineRule="auto"/>
              <w:ind w:left="173"/>
              <w:rPr>
                <w:sz w:val="17"/>
                <w:szCs w:val="17"/>
              </w:rPr>
            </w:pPr>
            <w:r>
              <w:rPr>
                <w:spacing w:val="2"/>
                <w:sz w:val="17"/>
                <w:szCs w:val="17"/>
              </w:rPr>
              <w:t>一般</w:t>
            </w:r>
          </w:p>
        </w:tc>
        <w:tc>
          <w:tcPr>
            <w:tcW w:w="8563" w:type="dxa"/>
            <w:vAlign w:val="top"/>
          </w:tcPr>
          <w:p w14:paraId="50196D58">
            <w:pPr>
              <w:pStyle w:val="51"/>
              <w:spacing w:before="62" w:line="301" w:lineRule="auto"/>
              <w:ind w:left="37" w:right="60"/>
              <w:jc w:val="both"/>
              <w:rPr>
                <w:sz w:val="17"/>
                <w:szCs w:val="17"/>
              </w:rPr>
            </w:pPr>
            <w:r>
              <w:rPr>
                <w:spacing w:val="8"/>
                <w:sz w:val="17"/>
                <w:szCs w:val="17"/>
              </w:rPr>
              <w:t>酸价(以脂肪计)(</w:t>
            </w:r>
            <w:r>
              <w:rPr>
                <w:sz w:val="17"/>
                <w:szCs w:val="17"/>
              </w:rPr>
              <w:t>KOH</w:t>
            </w:r>
            <w:r>
              <w:rPr>
                <w:spacing w:val="8"/>
                <w:sz w:val="17"/>
                <w:szCs w:val="17"/>
              </w:rPr>
              <w:t>)、过氧化值(以脂肪计)、铅(以</w:t>
            </w:r>
            <w:r>
              <w:rPr>
                <w:sz w:val="17"/>
                <w:szCs w:val="17"/>
              </w:rPr>
              <w:t>Pb</w:t>
            </w:r>
            <w:r>
              <w:rPr>
                <w:spacing w:val="8"/>
                <w:sz w:val="17"/>
                <w:szCs w:val="17"/>
              </w:rPr>
              <w:t>计)、黄曲霉毒素B</w:t>
            </w:r>
            <w:r>
              <w:rPr>
                <w:spacing w:val="8"/>
                <w:position w:val="-2"/>
                <w:sz w:val="8"/>
                <w:szCs w:val="8"/>
              </w:rPr>
              <w:t>1</w:t>
            </w:r>
            <w:r>
              <w:rPr>
                <w:spacing w:val="-14"/>
                <w:position w:val="-2"/>
                <w:sz w:val="8"/>
                <w:szCs w:val="8"/>
              </w:rPr>
              <w:t xml:space="preserve"> </w:t>
            </w:r>
            <w:r>
              <w:rPr>
                <w:spacing w:val="8"/>
                <w:sz w:val="17"/>
                <w:szCs w:val="17"/>
              </w:rPr>
              <w:t>、苯甲酸及其钠盐(以</w:t>
            </w:r>
            <w:r>
              <w:rPr>
                <w:spacing w:val="7"/>
                <w:sz w:val="17"/>
                <w:szCs w:val="17"/>
              </w:rPr>
              <w:t>苯甲酸计)、</w:t>
            </w:r>
            <w:r>
              <w:rPr>
                <w:spacing w:val="9"/>
                <w:sz w:val="17"/>
                <w:szCs w:val="17"/>
              </w:rPr>
              <w:t>山梨酸及其钾盐(以山梨酸计)、脱氢乙酸及其钠盐(以脱氢乙酸计)、二氧化硫残留量、糖精钠(以糖精计)、</w:t>
            </w:r>
            <w:r>
              <w:rPr>
                <w:spacing w:val="8"/>
                <w:sz w:val="17"/>
                <w:szCs w:val="17"/>
              </w:rPr>
              <w:t>甜蜜素(以环己基氨基磺酸计)、安赛蜜、大肠菌群、霉菌</w:t>
            </w:r>
          </w:p>
        </w:tc>
      </w:tr>
      <w:tr w14:paraId="1B273B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4" w:hRule="atLeast"/>
        </w:trPr>
        <w:tc>
          <w:tcPr>
            <w:tcW w:w="459" w:type="dxa"/>
            <w:vMerge w:val="continue"/>
            <w:tcBorders>
              <w:top w:val="nil"/>
              <w:bottom w:val="nil"/>
            </w:tcBorders>
            <w:vAlign w:val="top"/>
          </w:tcPr>
          <w:p w14:paraId="4F70CD62">
            <w:pPr>
              <w:rPr>
                <w:rFonts w:ascii="Arial"/>
                <w:sz w:val="21"/>
              </w:rPr>
            </w:pPr>
          </w:p>
        </w:tc>
        <w:tc>
          <w:tcPr>
            <w:tcW w:w="942" w:type="dxa"/>
            <w:vMerge w:val="continue"/>
            <w:tcBorders>
              <w:top w:val="nil"/>
              <w:bottom w:val="nil"/>
            </w:tcBorders>
            <w:vAlign w:val="top"/>
          </w:tcPr>
          <w:p w14:paraId="381703A4">
            <w:pPr>
              <w:rPr>
                <w:rFonts w:ascii="Arial"/>
                <w:sz w:val="21"/>
              </w:rPr>
            </w:pPr>
          </w:p>
        </w:tc>
        <w:tc>
          <w:tcPr>
            <w:tcW w:w="1360" w:type="dxa"/>
            <w:vMerge w:val="continue"/>
            <w:tcBorders>
              <w:top w:val="nil"/>
              <w:bottom w:val="nil"/>
            </w:tcBorders>
            <w:vAlign w:val="top"/>
          </w:tcPr>
          <w:p w14:paraId="1E0166F6">
            <w:pPr>
              <w:rPr>
                <w:rFonts w:ascii="Arial"/>
                <w:sz w:val="21"/>
              </w:rPr>
            </w:pPr>
          </w:p>
        </w:tc>
        <w:tc>
          <w:tcPr>
            <w:tcW w:w="1581" w:type="dxa"/>
            <w:vMerge w:val="continue"/>
            <w:tcBorders>
              <w:top w:val="nil"/>
              <w:bottom w:val="nil"/>
            </w:tcBorders>
            <w:vAlign w:val="top"/>
          </w:tcPr>
          <w:p w14:paraId="65900C5D">
            <w:pPr>
              <w:rPr>
                <w:rFonts w:ascii="Arial"/>
                <w:sz w:val="21"/>
              </w:rPr>
            </w:pPr>
          </w:p>
        </w:tc>
        <w:tc>
          <w:tcPr>
            <w:tcW w:w="1586" w:type="dxa"/>
            <w:vAlign w:val="top"/>
          </w:tcPr>
          <w:p w14:paraId="1174E863">
            <w:pPr>
              <w:spacing w:line="308" w:lineRule="auto"/>
              <w:rPr>
                <w:rFonts w:ascii="Arial"/>
                <w:sz w:val="21"/>
              </w:rPr>
            </w:pPr>
          </w:p>
          <w:p w14:paraId="76BD68AB">
            <w:pPr>
              <w:pStyle w:val="51"/>
              <w:spacing w:before="55" w:line="226" w:lineRule="auto"/>
              <w:ind w:left="442"/>
              <w:rPr>
                <w:sz w:val="17"/>
                <w:szCs w:val="17"/>
              </w:rPr>
            </w:pPr>
            <w:r>
              <w:rPr>
                <w:spacing w:val="6"/>
                <w:sz w:val="17"/>
                <w:szCs w:val="17"/>
              </w:rPr>
              <w:t>花生制品</w:t>
            </w:r>
          </w:p>
        </w:tc>
        <w:tc>
          <w:tcPr>
            <w:tcW w:w="682" w:type="dxa"/>
            <w:vAlign w:val="top"/>
          </w:tcPr>
          <w:p w14:paraId="04A88CE4">
            <w:pPr>
              <w:spacing w:line="308" w:lineRule="auto"/>
              <w:rPr>
                <w:rFonts w:ascii="Arial"/>
                <w:sz w:val="21"/>
              </w:rPr>
            </w:pPr>
          </w:p>
          <w:p w14:paraId="1C3B700C">
            <w:pPr>
              <w:pStyle w:val="51"/>
              <w:spacing w:before="56" w:line="230" w:lineRule="auto"/>
              <w:ind w:left="173"/>
              <w:rPr>
                <w:sz w:val="17"/>
                <w:szCs w:val="17"/>
              </w:rPr>
            </w:pPr>
            <w:r>
              <w:rPr>
                <w:spacing w:val="2"/>
                <w:sz w:val="17"/>
                <w:szCs w:val="17"/>
              </w:rPr>
              <w:t>一般</w:t>
            </w:r>
          </w:p>
        </w:tc>
        <w:tc>
          <w:tcPr>
            <w:tcW w:w="8563" w:type="dxa"/>
            <w:vAlign w:val="top"/>
          </w:tcPr>
          <w:p w14:paraId="63B92074">
            <w:pPr>
              <w:pStyle w:val="51"/>
              <w:spacing w:before="65" w:line="300" w:lineRule="auto"/>
              <w:ind w:left="37" w:right="60"/>
              <w:jc w:val="both"/>
              <w:rPr>
                <w:sz w:val="17"/>
                <w:szCs w:val="17"/>
              </w:rPr>
            </w:pPr>
            <w:r>
              <w:rPr>
                <w:spacing w:val="8"/>
                <w:sz w:val="17"/>
                <w:szCs w:val="17"/>
              </w:rPr>
              <w:t>酸价(以脂肪计)(</w:t>
            </w:r>
            <w:r>
              <w:rPr>
                <w:sz w:val="17"/>
                <w:szCs w:val="17"/>
              </w:rPr>
              <w:t>KOH</w:t>
            </w:r>
            <w:r>
              <w:rPr>
                <w:spacing w:val="8"/>
                <w:sz w:val="17"/>
                <w:szCs w:val="17"/>
              </w:rPr>
              <w:t>)、过氧化值(以脂肪计)、铅(以</w:t>
            </w:r>
            <w:r>
              <w:rPr>
                <w:sz w:val="17"/>
                <w:szCs w:val="17"/>
              </w:rPr>
              <w:t>Pb</w:t>
            </w:r>
            <w:r>
              <w:rPr>
                <w:spacing w:val="8"/>
                <w:sz w:val="17"/>
                <w:szCs w:val="17"/>
              </w:rPr>
              <w:t>计)、黄曲霉毒素B</w:t>
            </w:r>
            <w:r>
              <w:rPr>
                <w:spacing w:val="8"/>
                <w:position w:val="-2"/>
                <w:sz w:val="8"/>
                <w:szCs w:val="8"/>
              </w:rPr>
              <w:t>1</w:t>
            </w:r>
            <w:r>
              <w:rPr>
                <w:spacing w:val="-14"/>
                <w:position w:val="-2"/>
                <w:sz w:val="8"/>
                <w:szCs w:val="8"/>
              </w:rPr>
              <w:t xml:space="preserve"> </w:t>
            </w:r>
            <w:r>
              <w:rPr>
                <w:spacing w:val="8"/>
                <w:sz w:val="17"/>
                <w:szCs w:val="17"/>
              </w:rPr>
              <w:t>、苯甲酸及其钠盐(以</w:t>
            </w:r>
            <w:r>
              <w:rPr>
                <w:spacing w:val="7"/>
                <w:sz w:val="17"/>
                <w:szCs w:val="17"/>
              </w:rPr>
              <w:t>苯甲酸计)、</w:t>
            </w:r>
            <w:r>
              <w:rPr>
                <w:spacing w:val="9"/>
                <w:sz w:val="17"/>
                <w:szCs w:val="17"/>
              </w:rPr>
              <w:t>山梨酸及其钾盐(以山梨酸计)、脱氢乙酸及其钠盐(以脱氢乙酸计)、二氧化硫残留量、糖精钠(以糖精计)、</w:t>
            </w:r>
            <w:r>
              <w:rPr>
                <w:spacing w:val="8"/>
                <w:sz w:val="17"/>
                <w:szCs w:val="17"/>
              </w:rPr>
              <w:t>甜蜜素(以环己基氨基磺酸计)、安赛蜜、大肠菌群、霉菌</w:t>
            </w:r>
          </w:p>
        </w:tc>
      </w:tr>
      <w:tr w14:paraId="6779EE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0" w:hRule="atLeast"/>
        </w:trPr>
        <w:tc>
          <w:tcPr>
            <w:tcW w:w="459" w:type="dxa"/>
            <w:vMerge w:val="continue"/>
            <w:tcBorders>
              <w:top w:val="nil"/>
            </w:tcBorders>
            <w:vAlign w:val="top"/>
          </w:tcPr>
          <w:p w14:paraId="59505F9E">
            <w:pPr>
              <w:rPr>
                <w:rFonts w:ascii="Arial"/>
                <w:sz w:val="21"/>
              </w:rPr>
            </w:pPr>
          </w:p>
        </w:tc>
        <w:tc>
          <w:tcPr>
            <w:tcW w:w="942" w:type="dxa"/>
            <w:vMerge w:val="continue"/>
            <w:tcBorders>
              <w:top w:val="nil"/>
            </w:tcBorders>
            <w:vAlign w:val="top"/>
          </w:tcPr>
          <w:p w14:paraId="7C21CAA7">
            <w:pPr>
              <w:rPr>
                <w:rFonts w:ascii="Arial"/>
                <w:sz w:val="21"/>
              </w:rPr>
            </w:pPr>
          </w:p>
        </w:tc>
        <w:tc>
          <w:tcPr>
            <w:tcW w:w="1360" w:type="dxa"/>
            <w:vMerge w:val="continue"/>
            <w:tcBorders>
              <w:top w:val="nil"/>
            </w:tcBorders>
            <w:vAlign w:val="top"/>
          </w:tcPr>
          <w:p w14:paraId="01D7E62B">
            <w:pPr>
              <w:rPr>
                <w:rFonts w:ascii="Arial"/>
                <w:sz w:val="21"/>
              </w:rPr>
            </w:pPr>
          </w:p>
        </w:tc>
        <w:tc>
          <w:tcPr>
            <w:tcW w:w="1581" w:type="dxa"/>
            <w:vMerge w:val="continue"/>
            <w:tcBorders>
              <w:top w:val="nil"/>
            </w:tcBorders>
            <w:vAlign w:val="top"/>
          </w:tcPr>
          <w:p w14:paraId="21BBA8CD">
            <w:pPr>
              <w:rPr>
                <w:rFonts w:ascii="Arial"/>
                <w:sz w:val="21"/>
              </w:rPr>
            </w:pPr>
          </w:p>
        </w:tc>
        <w:tc>
          <w:tcPr>
            <w:tcW w:w="1586" w:type="dxa"/>
            <w:vAlign w:val="top"/>
          </w:tcPr>
          <w:p w14:paraId="6C38708A">
            <w:pPr>
              <w:pStyle w:val="51"/>
              <w:spacing w:before="246" w:line="326" w:lineRule="auto"/>
              <w:ind w:left="533" w:right="71" w:hanging="451"/>
              <w:rPr>
                <w:sz w:val="17"/>
                <w:szCs w:val="17"/>
              </w:rPr>
            </w:pPr>
            <w:r>
              <w:rPr>
                <w:spacing w:val="8"/>
                <w:sz w:val="17"/>
                <w:szCs w:val="17"/>
              </w:rPr>
              <w:t>其他炒货食品及坚</w:t>
            </w:r>
            <w:r>
              <w:rPr>
                <w:spacing w:val="5"/>
                <w:sz w:val="17"/>
                <w:szCs w:val="17"/>
              </w:rPr>
              <w:t>果制品</w:t>
            </w:r>
          </w:p>
        </w:tc>
        <w:tc>
          <w:tcPr>
            <w:tcW w:w="682" w:type="dxa"/>
            <w:vAlign w:val="top"/>
          </w:tcPr>
          <w:p w14:paraId="6EF10ADC">
            <w:pPr>
              <w:spacing w:line="340" w:lineRule="auto"/>
              <w:rPr>
                <w:rFonts w:ascii="Arial"/>
                <w:sz w:val="21"/>
              </w:rPr>
            </w:pPr>
          </w:p>
          <w:p w14:paraId="6D7C713D">
            <w:pPr>
              <w:pStyle w:val="51"/>
              <w:spacing w:before="55" w:line="230" w:lineRule="auto"/>
              <w:ind w:left="173"/>
              <w:rPr>
                <w:sz w:val="17"/>
                <w:szCs w:val="17"/>
              </w:rPr>
            </w:pPr>
            <w:r>
              <w:rPr>
                <w:spacing w:val="2"/>
                <w:sz w:val="17"/>
                <w:szCs w:val="17"/>
              </w:rPr>
              <w:t>一般</w:t>
            </w:r>
          </w:p>
        </w:tc>
        <w:tc>
          <w:tcPr>
            <w:tcW w:w="8563" w:type="dxa"/>
            <w:vAlign w:val="top"/>
          </w:tcPr>
          <w:p w14:paraId="10F42428">
            <w:pPr>
              <w:pStyle w:val="51"/>
              <w:spacing w:before="247" w:line="306" w:lineRule="auto"/>
              <w:ind w:left="42" w:hanging="5"/>
              <w:rPr>
                <w:sz w:val="17"/>
                <w:szCs w:val="17"/>
              </w:rPr>
            </w:pPr>
            <w:r>
              <w:rPr>
                <w:spacing w:val="3"/>
                <w:sz w:val="17"/>
                <w:szCs w:val="17"/>
              </w:rPr>
              <w:t>酸价(以脂肪计)(</w:t>
            </w:r>
            <w:r>
              <w:rPr>
                <w:sz w:val="17"/>
                <w:szCs w:val="17"/>
              </w:rPr>
              <w:t>KOH</w:t>
            </w:r>
            <w:r>
              <w:rPr>
                <w:spacing w:val="3"/>
                <w:sz w:val="17"/>
                <w:szCs w:val="17"/>
              </w:rPr>
              <w:t>)、过氧化值(以脂肪计)、铅(以</w:t>
            </w:r>
            <w:r>
              <w:rPr>
                <w:sz w:val="17"/>
                <w:szCs w:val="17"/>
              </w:rPr>
              <w:t>Pb</w:t>
            </w:r>
            <w:r>
              <w:rPr>
                <w:spacing w:val="3"/>
                <w:sz w:val="17"/>
                <w:szCs w:val="17"/>
              </w:rPr>
              <w:t>计)、黄曲霉毒素B</w:t>
            </w:r>
            <w:r>
              <w:rPr>
                <w:spacing w:val="3"/>
                <w:position w:val="-2"/>
                <w:sz w:val="8"/>
                <w:szCs w:val="8"/>
              </w:rPr>
              <w:t>1</w:t>
            </w:r>
            <w:r>
              <w:rPr>
                <w:spacing w:val="3"/>
                <w:position w:val="-2"/>
                <w:sz w:val="17"/>
                <w:szCs w:val="17"/>
              </w:rPr>
              <w:t>、</w:t>
            </w:r>
            <w:r>
              <w:rPr>
                <w:spacing w:val="3"/>
                <w:sz w:val="17"/>
                <w:szCs w:val="17"/>
              </w:rPr>
              <w:t>脱氢乙酸及其钠</w:t>
            </w:r>
            <w:r>
              <w:rPr>
                <w:spacing w:val="2"/>
                <w:sz w:val="17"/>
                <w:szCs w:val="17"/>
              </w:rPr>
              <w:t>盐(以脱氢乙酸计)、</w:t>
            </w:r>
            <w:r>
              <w:rPr>
                <w:spacing w:val="8"/>
                <w:sz w:val="17"/>
                <w:szCs w:val="17"/>
              </w:rPr>
              <w:t>二氧化硫残留量、糖精钠(以糖精计)、甜蜜素(以环己基氨基磺酸计)、安赛蜜、大肠菌群、霉菌</w:t>
            </w:r>
          </w:p>
        </w:tc>
      </w:tr>
    </w:tbl>
    <w:p w14:paraId="5EB16813">
      <w:pPr>
        <w:rPr>
          <w:rFonts w:ascii="Arial"/>
          <w:sz w:val="21"/>
        </w:rPr>
      </w:pPr>
    </w:p>
    <w:p w14:paraId="06675E91">
      <w:pPr>
        <w:rPr>
          <w:rFonts w:ascii="Arial" w:hAnsi="Arial" w:eastAsia="Arial" w:cs="Arial"/>
          <w:sz w:val="21"/>
          <w:szCs w:val="21"/>
        </w:rPr>
        <w:sectPr>
          <w:pgSz w:w="16838" w:h="11906"/>
          <w:pgMar w:top="1011" w:right="829" w:bottom="400" w:left="363" w:header="567" w:footer="567" w:gutter="0"/>
          <w:pgNumType w:fmt="decimal"/>
          <w:cols w:space="720" w:num="1"/>
        </w:sectPr>
      </w:pPr>
    </w:p>
    <w:p w14:paraId="595E3451">
      <w:pPr>
        <w:spacing w:before="18"/>
      </w:pPr>
    </w:p>
    <w:p w14:paraId="02DD03C4">
      <w:pPr>
        <w:spacing w:before="18"/>
      </w:pPr>
    </w:p>
    <w:tbl>
      <w:tblPr>
        <w:tblStyle w:val="50"/>
        <w:tblW w:w="15173" w:type="dxa"/>
        <w:tblInd w:w="46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59"/>
        <w:gridCol w:w="942"/>
        <w:gridCol w:w="1360"/>
        <w:gridCol w:w="1581"/>
        <w:gridCol w:w="1586"/>
        <w:gridCol w:w="682"/>
        <w:gridCol w:w="8563"/>
      </w:tblGrid>
      <w:tr w14:paraId="4D9C5C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459" w:type="dxa"/>
            <w:vAlign w:val="top"/>
          </w:tcPr>
          <w:p w14:paraId="0705CE1F">
            <w:pPr>
              <w:spacing w:before="241" w:line="234" w:lineRule="auto"/>
              <w:ind w:left="52"/>
              <w:rPr>
                <w:rFonts w:ascii="黑体" w:hAnsi="黑体" w:eastAsia="黑体" w:cs="黑体"/>
                <w:sz w:val="17"/>
                <w:szCs w:val="17"/>
              </w:rPr>
            </w:pPr>
            <w:r>
              <w:rPr>
                <w:rFonts w:ascii="黑体" w:hAnsi="黑体" w:eastAsia="黑体" w:cs="黑体"/>
                <w:spacing w:val="6"/>
                <w:sz w:val="17"/>
                <w:szCs w:val="17"/>
              </w:rPr>
              <w:t>序号</w:t>
            </w:r>
          </w:p>
        </w:tc>
        <w:tc>
          <w:tcPr>
            <w:tcW w:w="942" w:type="dxa"/>
            <w:vAlign w:val="top"/>
          </w:tcPr>
          <w:p w14:paraId="6383D84A">
            <w:pPr>
              <w:spacing w:before="90" w:line="232" w:lineRule="auto"/>
              <w:ind w:left="111"/>
              <w:rPr>
                <w:rFonts w:ascii="黑体" w:hAnsi="黑体" w:eastAsia="黑体" w:cs="黑体"/>
                <w:sz w:val="17"/>
                <w:szCs w:val="17"/>
              </w:rPr>
            </w:pPr>
            <w:r>
              <w:rPr>
                <w:rFonts w:ascii="黑体" w:hAnsi="黑体" w:eastAsia="黑体" w:cs="黑体"/>
                <w:spacing w:val="8"/>
                <w:sz w:val="17"/>
                <w:szCs w:val="17"/>
              </w:rPr>
              <w:t>食品大类</w:t>
            </w:r>
          </w:p>
          <w:p w14:paraId="6BBA6A57">
            <w:pPr>
              <w:spacing w:before="86" w:line="227" w:lineRule="auto"/>
              <w:ind w:left="237"/>
              <w:rPr>
                <w:rFonts w:ascii="黑体" w:hAnsi="黑体" w:eastAsia="黑体" w:cs="黑体"/>
                <w:sz w:val="17"/>
                <w:szCs w:val="17"/>
              </w:rPr>
            </w:pPr>
            <w:r>
              <w:rPr>
                <w:rFonts w:ascii="黑体" w:hAnsi="黑体" w:eastAsia="黑体" w:cs="黑体"/>
                <w:spacing w:val="-4"/>
                <w:sz w:val="17"/>
                <w:szCs w:val="17"/>
              </w:rPr>
              <w:t>(一级)</w:t>
            </w:r>
          </w:p>
        </w:tc>
        <w:tc>
          <w:tcPr>
            <w:tcW w:w="1360" w:type="dxa"/>
            <w:vAlign w:val="top"/>
          </w:tcPr>
          <w:p w14:paraId="5ACCD715">
            <w:pPr>
              <w:spacing w:before="90" w:line="232" w:lineRule="auto"/>
              <w:ind w:left="321"/>
              <w:rPr>
                <w:rFonts w:ascii="黑体" w:hAnsi="黑体" w:eastAsia="黑体" w:cs="黑体"/>
                <w:sz w:val="17"/>
                <w:szCs w:val="17"/>
              </w:rPr>
            </w:pPr>
            <w:r>
              <w:rPr>
                <w:rFonts w:ascii="黑体" w:hAnsi="黑体" w:eastAsia="黑体" w:cs="黑体"/>
                <w:spacing w:val="8"/>
                <w:sz w:val="17"/>
                <w:szCs w:val="17"/>
              </w:rPr>
              <w:t>食品亚类</w:t>
            </w:r>
          </w:p>
          <w:p w14:paraId="7CF619A9">
            <w:pPr>
              <w:spacing w:before="86" w:line="227" w:lineRule="auto"/>
              <w:ind w:left="444"/>
              <w:rPr>
                <w:rFonts w:ascii="黑体" w:hAnsi="黑体" w:eastAsia="黑体" w:cs="黑体"/>
                <w:sz w:val="17"/>
                <w:szCs w:val="17"/>
              </w:rPr>
            </w:pPr>
            <w:r>
              <w:rPr>
                <w:rFonts w:ascii="黑体" w:hAnsi="黑体" w:eastAsia="黑体" w:cs="黑体"/>
                <w:spacing w:val="-3"/>
                <w:sz w:val="17"/>
                <w:szCs w:val="17"/>
              </w:rPr>
              <w:t>(二级)</w:t>
            </w:r>
          </w:p>
        </w:tc>
        <w:tc>
          <w:tcPr>
            <w:tcW w:w="1581" w:type="dxa"/>
            <w:vAlign w:val="top"/>
          </w:tcPr>
          <w:p w14:paraId="1561AC25">
            <w:pPr>
              <w:spacing w:before="90" w:line="232" w:lineRule="auto"/>
              <w:ind w:left="433"/>
              <w:rPr>
                <w:rFonts w:ascii="黑体" w:hAnsi="黑体" w:eastAsia="黑体" w:cs="黑体"/>
                <w:sz w:val="17"/>
                <w:szCs w:val="17"/>
              </w:rPr>
            </w:pPr>
            <w:r>
              <w:rPr>
                <w:rFonts w:ascii="黑体" w:hAnsi="黑体" w:eastAsia="黑体" w:cs="黑体"/>
                <w:spacing w:val="8"/>
                <w:sz w:val="17"/>
                <w:szCs w:val="17"/>
              </w:rPr>
              <w:t>食品品种</w:t>
            </w:r>
          </w:p>
          <w:p w14:paraId="1EBD29CF">
            <w:pPr>
              <w:spacing w:before="86" w:line="227" w:lineRule="auto"/>
              <w:ind w:left="558"/>
              <w:rPr>
                <w:rFonts w:ascii="黑体" w:hAnsi="黑体" w:eastAsia="黑体" w:cs="黑体"/>
                <w:sz w:val="17"/>
                <w:szCs w:val="17"/>
              </w:rPr>
            </w:pPr>
            <w:r>
              <w:rPr>
                <w:rFonts w:ascii="黑体" w:hAnsi="黑体" w:eastAsia="黑体" w:cs="黑体"/>
                <w:spacing w:val="-4"/>
                <w:sz w:val="17"/>
                <w:szCs w:val="17"/>
              </w:rPr>
              <w:t>(三级)</w:t>
            </w:r>
          </w:p>
        </w:tc>
        <w:tc>
          <w:tcPr>
            <w:tcW w:w="1586" w:type="dxa"/>
            <w:vAlign w:val="top"/>
          </w:tcPr>
          <w:p w14:paraId="3E57B850">
            <w:pPr>
              <w:spacing w:before="90" w:line="232" w:lineRule="auto"/>
              <w:ind w:left="436"/>
              <w:rPr>
                <w:rFonts w:ascii="黑体" w:hAnsi="黑体" w:eastAsia="黑体" w:cs="黑体"/>
                <w:sz w:val="17"/>
                <w:szCs w:val="17"/>
              </w:rPr>
            </w:pPr>
            <w:r>
              <w:rPr>
                <w:rFonts w:ascii="黑体" w:hAnsi="黑体" w:eastAsia="黑体" w:cs="黑体"/>
                <w:spacing w:val="8"/>
                <w:sz w:val="17"/>
                <w:szCs w:val="17"/>
              </w:rPr>
              <w:t>食品细类</w:t>
            </w:r>
          </w:p>
          <w:p w14:paraId="219BDB58">
            <w:pPr>
              <w:spacing w:before="86" w:line="227" w:lineRule="auto"/>
              <w:ind w:left="561"/>
              <w:rPr>
                <w:rFonts w:ascii="黑体" w:hAnsi="黑体" w:eastAsia="黑体" w:cs="黑体"/>
                <w:sz w:val="17"/>
                <w:szCs w:val="17"/>
              </w:rPr>
            </w:pPr>
            <w:r>
              <w:rPr>
                <w:rFonts w:ascii="黑体" w:hAnsi="黑体" w:eastAsia="黑体" w:cs="黑体"/>
                <w:spacing w:val="-4"/>
                <w:sz w:val="17"/>
                <w:szCs w:val="17"/>
              </w:rPr>
              <w:t>(四级)</w:t>
            </w:r>
          </w:p>
        </w:tc>
        <w:tc>
          <w:tcPr>
            <w:tcW w:w="682" w:type="dxa"/>
            <w:vAlign w:val="top"/>
          </w:tcPr>
          <w:p w14:paraId="3E76E4D3">
            <w:pPr>
              <w:spacing w:before="89" w:line="233" w:lineRule="auto"/>
              <w:ind w:left="166"/>
              <w:rPr>
                <w:rFonts w:ascii="黑体" w:hAnsi="黑体" w:eastAsia="黑体" w:cs="黑体"/>
                <w:sz w:val="17"/>
                <w:szCs w:val="17"/>
              </w:rPr>
            </w:pPr>
            <w:r>
              <w:rPr>
                <w:rFonts w:ascii="黑体" w:hAnsi="黑体" w:eastAsia="黑体" w:cs="黑体"/>
                <w:spacing w:val="6"/>
                <w:sz w:val="17"/>
                <w:szCs w:val="17"/>
              </w:rPr>
              <w:t>风险</w:t>
            </w:r>
          </w:p>
          <w:p w14:paraId="3468EF8A">
            <w:pPr>
              <w:spacing w:before="85" w:line="227" w:lineRule="auto"/>
              <w:ind w:left="163"/>
              <w:rPr>
                <w:rFonts w:ascii="黑体" w:hAnsi="黑体" w:eastAsia="黑体" w:cs="黑体"/>
                <w:sz w:val="17"/>
                <w:szCs w:val="17"/>
              </w:rPr>
            </w:pPr>
            <w:r>
              <w:rPr>
                <w:rFonts w:ascii="黑体" w:hAnsi="黑体" w:eastAsia="黑体" w:cs="黑体"/>
                <w:spacing w:val="7"/>
                <w:sz w:val="17"/>
                <w:szCs w:val="17"/>
              </w:rPr>
              <w:t>等级</w:t>
            </w:r>
          </w:p>
        </w:tc>
        <w:tc>
          <w:tcPr>
            <w:tcW w:w="8563" w:type="dxa"/>
            <w:vAlign w:val="top"/>
          </w:tcPr>
          <w:p w14:paraId="2D38379A">
            <w:pPr>
              <w:spacing w:before="241" w:line="232" w:lineRule="auto"/>
              <w:ind w:left="3744"/>
              <w:rPr>
                <w:rFonts w:ascii="黑体" w:hAnsi="黑体" w:eastAsia="黑体" w:cs="黑体"/>
                <w:sz w:val="17"/>
                <w:szCs w:val="17"/>
              </w:rPr>
            </w:pPr>
            <w:r>
              <w:rPr>
                <w:rFonts w:ascii="黑体" w:hAnsi="黑体" w:eastAsia="黑体" w:cs="黑体"/>
                <w:spacing w:val="8"/>
                <w:sz w:val="17"/>
                <w:szCs w:val="17"/>
              </w:rPr>
              <w:t>监督抽检项目</w:t>
            </w:r>
          </w:p>
        </w:tc>
      </w:tr>
      <w:tr w14:paraId="6B271B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459" w:type="dxa"/>
            <w:vMerge w:val="restart"/>
            <w:tcBorders>
              <w:bottom w:val="nil"/>
            </w:tcBorders>
            <w:vAlign w:val="top"/>
          </w:tcPr>
          <w:p w14:paraId="3459AEDA">
            <w:pPr>
              <w:spacing w:line="278" w:lineRule="auto"/>
              <w:rPr>
                <w:rFonts w:ascii="Arial"/>
                <w:sz w:val="21"/>
              </w:rPr>
            </w:pPr>
          </w:p>
          <w:p w14:paraId="4E0A71EC">
            <w:pPr>
              <w:spacing w:line="278" w:lineRule="auto"/>
              <w:rPr>
                <w:rFonts w:ascii="Arial"/>
                <w:sz w:val="21"/>
              </w:rPr>
            </w:pPr>
          </w:p>
          <w:p w14:paraId="4B2A2540">
            <w:pPr>
              <w:spacing w:line="279" w:lineRule="auto"/>
              <w:rPr>
                <w:rFonts w:ascii="Arial"/>
                <w:sz w:val="21"/>
              </w:rPr>
            </w:pPr>
          </w:p>
          <w:p w14:paraId="49317994">
            <w:pPr>
              <w:spacing w:line="279" w:lineRule="auto"/>
              <w:rPr>
                <w:rFonts w:ascii="Arial"/>
                <w:sz w:val="21"/>
              </w:rPr>
            </w:pPr>
          </w:p>
          <w:p w14:paraId="5500FB66">
            <w:pPr>
              <w:spacing w:line="279" w:lineRule="auto"/>
              <w:rPr>
                <w:rFonts w:ascii="Arial"/>
                <w:sz w:val="21"/>
              </w:rPr>
            </w:pPr>
          </w:p>
          <w:p w14:paraId="5829637E">
            <w:pPr>
              <w:pStyle w:val="51"/>
              <w:spacing w:before="55" w:line="227" w:lineRule="exact"/>
              <w:ind w:left="156"/>
              <w:rPr>
                <w:sz w:val="17"/>
                <w:szCs w:val="17"/>
              </w:rPr>
            </w:pPr>
            <w:r>
              <w:rPr>
                <w:spacing w:val="-6"/>
                <w:position w:val="1"/>
                <w:sz w:val="17"/>
                <w:szCs w:val="17"/>
              </w:rPr>
              <w:t>19</w:t>
            </w:r>
          </w:p>
        </w:tc>
        <w:tc>
          <w:tcPr>
            <w:tcW w:w="942" w:type="dxa"/>
            <w:vMerge w:val="restart"/>
            <w:tcBorders>
              <w:bottom w:val="nil"/>
            </w:tcBorders>
            <w:vAlign w:val="top"/>
          </w:tcPr>
          <w:p w14:paraId="02E58CF7">
            <w:pPr>
              <w:spacing w:line="278" w:lineRule="auto"/>
              <w:rPr>
                <w:rFonts w:ascii="Arial"/>
                <w:sz w:val="21"/>
              </w:rPr>
            </w:pPr>
          </w:p>
          <w:p w14:paraId="6B252862">
            <w:pPr>
              <w:spacing w:line="278" w:lineRule="auto"/>
              <w:rPr>
                <w:rFonts w:ascii="Arial"/>
                <w:sz w:val="21"/>
              </w:rPr>
            </w:pPr>
          </w:p>
          <w:p w14:paraId="0F34FAD3">
            <w:pPr>
              <w:spacing w:line="279" w:lineRule="auto"/>
              <w:rPr>
                <w:rFonts w:ascii="Arial"/>
                <w:sz w:val="21"/>
              </w:rPr>
            </w:pPr>
          </w:p>
          <w:p w14:paraId="55B7DCC9">
            <w:pPr>
              <w:spacing w:line="279" w:lineRule="auto"/>
              <w:rPr>
                <w:rFonts w:ascii="Arial"/>
                <w:sz w:val="21"/>
              </w:rPr>
            </w:pPr>
          </w:p>
          <w:p w14:paraId="6D745EA3">
            <w:pPr>
              <w:spacing w:line="279" w:lineRule="auto"/>
              <w:rPr>
                <w:rFonts w:ascii="Arial"/>
                <w:sz w:val="21"/>
              </w:rPr>
            </w:pPr>
          </w:p>
          <w:p w14:paraId="68101837">
            <w:pPr>
              <w:pStyle w:val="51"/>
              <w:spacing w:before="55" w:line="227" w:lineRule="auto"/>
              <w:ind w:left="210"/>
              <w:rPr>
                <w:sz w:val="17"/>
                <w:szCs w:val="17"/>
              </w:rPr>
            </w:pPr>
            <w:r>
              <w:rPr>
                <w:spacing w:val="5"/>
                <w:sz w:val="17"/>
                <w:szCs w:val="17"/>
              </w:rPr>
              <w:t>蛋制品</w:t>
            </w:r>
          </w:p>
        </w:tc>
        <w:tc>
          <w:tcPr>
            <w:tcW w:w="1360" w:type="dxa"/>
            <w:vMerge w:val="restart"/>
            <w:tcBorders>
              <w:bottom w:val="nil"/>
            </w:tcBorders>
            <w:vAlign w:val="top"/>
          </w:tcPr>
          <w:p w14:paraId="4C974371">
            <w:pPr>
              <w:spacing w:line="278" w:lineRule="auto"/>
              <w:rPr>
                <w:rFonts w:ascii="Arial"/>
                <w:sz w:val="21"/>
              </w:rPr>
            </w:pPr>
          </w:p>
          <w:p w14:paraId="114254B9">
            <w:pPr>
              <w:spacing w:line="278" w:lineRule="auto"/>
              <w:rPr>
                <w:rFonts w:ascii="Arial"/>
                <w:sz w:val="21"/>
              </w:rPr>
            </w:pPr>
          </w:p>
          <w:p w14:paraId="1A888DF2">
            <w:pPr>
              <w:spacing w:line="279" w:lineRule="auto"/>
              <w:rPr>
                <w:rFonts w:ascii="Arial"/>
                <w:sz w:val="21"/>
              </w:rPr>
            </w:pPr>
          </w:p>
          <w:p w14:paraId="0E8D9359">
            <w:pPr>
              <w:spacing w:line="279" w:lineRule="auto"/>
              <w:rPr>
                <w:rFonts w:ascii="Arial"/>
                <w:sz w:val="21"/>
              </w:rPr>
            </w:pPr>
          </w:p>
          <w:p w14:paraId="05C823AC">
            <w:pPr>
              <w:spacing w:line="279" w:lineRule="auto"/>
              <w:rPr>
                <w:rFonts w:ascii="Arial"/>
                <w:sz w:val="21"/>
              </w:rPr>
            </w:pPr>
          </w:p>
          <w:p w14:paraId="7414005A">
            <w:pPr>
              <w:pStyle w:val="51"/>
              <w:spacing w:before="55" w:line="227" w:lineRule="auto"/>
              <w:ind w:left="417"/>
              <w:rPr>
                <w:sz w:val="17"/>
                <w:szCs w:val="17"/>
              </w:rPr>
            </w:pPr>
            <w:r>
              <w:rPr>
                <w:spacing w:val="5"/>
                <w:sz w:val="17"/>
                <w:szCs w:val="17"/>
              </w:rPr>
              <w:t>蛋制品</w:t>
            </w:r>
          </w:p>
        </w:tc>
        <w:tc>
          <w:tcPr>
            <w:tcW w:w="1581" w:type="dxa"/>
            <w:vAlign w:val="top"/>
          </w:tcPr>
          <w:p w14:paraId="6C305531">
            <w:pPr>
              <w:pStyle w:val="51"/>
              <w:spacing w:before="197" w:line="227" w:lineRule="auto"/>
              <w:ind w:left="531"/>
              <w:rPr>
                <w:sz w:val="17"/>
                <w:szCs w:val="17"/>
              </w:rPr>
            </w:pPr>
            <w:r>
              <w:rPr>
                <w:spacing w:val="5"/>
                <w:sz w:val="17"/>
                <w:szCs w:val="17"/>
              </w:rPr>
              <w:t>再制蛋</w:t>
            </w:r>
          </w:p>
        </w:tc>
        <w:tc>
          <w:tcPr>
            <w:tcW w:w="1586" w:type="dxa"/>
            <w:vAlign w:val="top"/>
          </w:tcPr>
          <w:p w14:paraId="4BF3FC86">
            <w:pPr>
              <w:pStyle w:val="51"/>
              <w:spacing w:before="197" w:line="227" w:lineRule="auto"/>
              <w:ind w:left="534"/>
              <w:rPr>
                <w:sz w:val="17"/>
                <w:szCs w:val="17"/>
              </w:rPr>
            </w:pPr>
            <w:r>
              <w:rPr>
                <w:spacing w:val="5"/>
                <w:sz w:val="17"/>
                <w:szCs w:val="17"/>
              </w:rPr>
              <w:t>再制蛋</w:t>
            </w:r>
          </w:p>
        </w:tc>
        <w:tc>
          <w:tcPr>
            <w:tcW w:w="682" w:type="dxa"/>
            <w:vAlign w:val="top"/>
          </w:tcPr>
          <w:p w14:paraId="7FBB4754">
            <w:pPr>
              <w:pStyle w:val="51"/>
              <w:spacing w:before="197" w:line="227" w:lineRule="auto"/>
              <w:ind w:left="170"/>
              <w:rPr>
                <w:sz w:val="17"/>
                <w:szCs w:val="17"/>
              </w:rPr>
            </w:pPr>
            <w:r>
              <w:rPr>
                <w:spacing w:val="3"/>
                <w:sz w:val="17"/>
                <w:szCs w:val="17"/>
              </w:rPr>
              <w:t>较高</w:t>
            </w:r>
          </w:p>
        </w:tc>
        <w:tc>
          <w:tcPr>
            <w:tcW w:w="8563" w:type="dxa"/>
            <w:vAlign w:val="top"/>
          </w:tcPr>
          <w:p w14:paraId="1BC3EBE7">
            <w:pPr>
              <w:pStyle w:val="51"/>
              <w:spacing w:before="54" w:line="250" w:lineRule="auto"/>
              <w:ind w:left="41" w:right="46" w:hanging="4"/>
              <w:rPr>
                <w:sz w:val="17"/>
                <w:szCs w:val="17"/>
              </w:rPr>
            </w:pPr>
            <w:r>
              <w:rPr>
                <w:spacing w:val="10"/>
                <w:sz w:val="17"/>
                <w:szCs w:val="17"/>
              </w:rPr>
              <w:t>铅(以</w:t>
            </w:r>
            <w:r>
              <w:rPr>
                <w:sz w:val="17"/>
                <w:szCs w:val="17"/>
              </w:rPr>
              <w:t>Pb</w:t>
            </w:r>
            <w:r>
              <w:rPr>
                <w:spacing w:val="10"/>
                <w:sz w:val="17"/>
                <w:szCs w:val="17"/>
              </w:rPr>
              <w:t>计)、苯甲酸及其钠盐(以苯甲酸计)、山梨酸及其钾盐(以山梨酸计)、菌落总数、大</w:t>
            </w:r>
            <w:r>
              <w:rPr>
                <w:spacing w:val="9"/>
                <w:sz w:val="17"/>
                <w:szCs w:val="17"/>
              </w:rPr>
              <w:t>肠菌群、沙门氏</w:t>
            </w:r>
            <w:r>
              <w:rPr>
                <w:sz w:val="17"/>
                <w:szCs w:val="17"/>
              </w:rPr>
              <w:t>菌</w:t>
            </w:r>
          </w:p>
        </w:tc>
      </w:tr>
      <w:tr w14:paraId="2E03C0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459" w:type="dxa"/>
            <w:vMerge w:val="continue"/>
            <w:tcBorders>
              <w:top w:val="nil"/>
              <w:bottom w:val="nil"/>
            </w:tcBorders>
            <w:vAlign w:val="top"/>
          </w:tcPr>
          <w:p w14:paraId="0EB55981">
            <w:pPr>
              <w:rPr>
                <w:rFonts w:ascii="Arial"/>
                <w:sz w:val="21"/>
              </w:rPr>
            </w:pPr>
          </w:p>
        </w:tc>
        <w:tc>
          <w:tcPr>
            <w:tcW w:w="942" w:type="dxa"/>
            <w:vMerge w:val="continue"/>
            <w:tcBorders>
              <w:top w:val="nil"/>
              <w:bottom w:val="nil"/>
            </w:tcBorders>
            <w:vAlign w:val="top"/>
          </w:tcPr>
          <w:p w14:paraId="68D6BD35">
            <w:pPr>
              <w:rPr>
                <w:rFonts w:ascii="Arial"/>
                <w:sz w:val="21"/>
              </w:rPr>
            </w:pPr>
          </w:p>
        </w:tc>
        <w:tc>
          <w:tcPr>
            <w:tcW w:w="1360" w:type="dxa"/>
            <w:vMerge w:val="continue"/>
            <w:tcBorders>
              <w:top w:val="nil"/>
              <w:bottom w:val="nil"/>
            </w:tcBorders>
            <w:vAlign w:val="top"/>
          </w:tcPr>
          <w:p w14:paraId="2BF9958C">
            <w:pPr>
              <w:rPr>
                <w:rFonts w:ascii="Arial"/>
                <w:sz w:val="21"/>
              </w:rPr>
            </w:pPr>
          </w:p>
        </w:tc>
        <w:tc>
          <w:tcPr>
            <w:tcW w:w="1581" w:type="dxa"/>
            <w:vAlign w:val="top"/>
          </w:tcPr>
          <w:p w14:paraId="3EFB79D7">
            <w:pPr>
              <w:pStyle w:val="51"/>
              <w:spacing w:before="139" w:line="227" w:lineRule="auto"/>
              <w:ind w:left="443"/>
              <w:rPr>
                <w:sz w:val="17"/>
                <w:szCs w:val="17"/>
              </w:rPr>
            </w:pPr>
            <w:r>
              <w:rPr>
                <w:spacing w:val="5"/>
                <w:sz w:val="17"/>
                <w:szCs w:val="17"/>
              </w:rPr>
              <w:t>干蛋制品</w:t>
            </w:r>
          </w:p>
        </w:tc>
        <w:tc>
          <w:tcPr>
            <w:tcW w:w="1586" w:type="dxa"/>
            <w:vAlign w:val="top"/>
          </w:tcPr>
          <w:p w14:paraId="71D034C3">
            <w:pPr>
              <w:pStyle w:val="51"/>
              <w:spacing w:before="139" w:line="227" w:lineRule="auto"/>
              <w:ind w:left="446"/>
              <w:rPr>
                <w:sz w:val="17"/>
                <w:szCs w:val="17"/>
              </w:rPr>
            </w:pPr>
            <w:r>
              <w:rPr>
                <w:spacing w:val="5"/>
                <w:sz w:val="17"/>
                <w:szCs w:val="17"/>
              </w:rPr>
              <w:t>干蛋制品</w:t>
            </w:r>
          </w:p>
        </w:tc>
        <w:tc>
          <w:tcPr>
            <w:tcW w:w="682" w:type="dxa"/>
            <w:vAlign w:val="top"/>
          </w:tcPr>
          <w:p w14:paraId="7AC63034">
            <w:pPr>
              <w:pStyle w:val="51"/>
              <w:spacing w:before="163" w:line="227" w:lineRule="auto"/>
              <w:ind w:left="170"/>
              <w:rPr>
                <w:sz w:val="17"/>
                <w:szCs w:val="17"/>
              </w:rPr>
            </w:pPr>
            <w:r>
              <w:rPr>
                <w:spacing w:val="3"/>
                <w:sz w:val="17"/>
                <w:szCs w:val="17"/>
              </w:rPr>
              <w:t>较高</w:t>
            </w:r>
          </w:p>
        </w:tc>
        <w:tc>
          <w:tcPr>
            <w:tcW w:w="8563" w:type="dxa"/>
            <w:vAlign w:val="top"/>
          </w:tcPr>
          <w:p w14:paraId="1ED39561">
            <w:pPr>
              <w:pStyle w:val="51"/>
              <w:spacing w:before="151" w:line="227" w:lineRule="auto"/>
              <w:ind w:left="41"/>
              <w:rPr>
                <w:sz w:val="17"/>
                <w:szCs w:val="17"/>
              </w:rPr>
            </w:pPr>
            <w:r>
              <w:rPr>
                <w:spacing w:val="8"/>
                <w:sz w:val="17"/>
                <w:szCs w:val="17"/>
              </w:rPr>
              <w:t>菌落总数、大肠菌群、沙门氏菌</w:t>
            </w:r>
          </w:p>
        </w:tc>
      </w:tr>
      <w:tr w14:paraId="418226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459" w:type="dxa"/>
            <w:vMerge w:val="continue"/>
            <w:tcBorders>
              <w:top w:val="nil"/>
              <w:bottom w:val="nil"/>
            </w:tcBorders>
            <w:vAlign w:val="top"/>
          </w:tcPr>
          <w:p w14:paraId="01E9790B">
            <w:pPr>
              <w:rPr>
                <w:rFonts w:ascii="Arial"/>
                <w:sz w:val="21"/>
              </w:rPr>
            </w:pPr>
          </w:p>
        </w:tc>
        <w:tc>
          <w:tcPr>
            <w:tcW w:w="942" w:type="dxa"/>
            <w:vMerge w:val="continue"/>
            <w:tcBorders>
              <w:top w:val="nil"/>
              <w:bottom w:val="nil"/>
            </w:tcBorders>
            <w:vAlign w:val="top"/>
          </w:tcPr>
          <w:p w14:paraId="65C33549">
            <w:pPr>
              <w:rPr>
                <w:rFonts w:ascii="Arial"/>
                <w:sz w:val="21"/>
              </w:rPr>
            </w:pPr>
          </w:p>
        </w:tc>
        <w:tc>
          <w:tcPr>
            <w:tcW w:w="1360" w:type="dxa"/>
            <w:vMerge w:val="continue"/>
            <w:tcBorders>
              <w:top w:val="nil"/>
              <w:bottom w:val="nil"/>
            </w:tcBorders>
            <w:vAlign w:val="top"/>
          </w:tcPr>
          <w:p w14:paraId="4A986769">
            <w:pPr>
              <w:rPr>
                <w:rFonts w:ascii="Arial"/>
                <w:sz w:val="21"/>
              </w:rPr>
            </w:pPr>
          </w:p>
        </w:tc>
        <w:tc>
          <w:tcPr>
            <w:tcW w:w="1581" w:type="dxa"/>
            <w:vAlign w:val="top"/>
          </w:tcPr>
          <w:p w14:paraId="1BD58E7D">
            <w:pPr>
              <w:pStyle w:val="51"/>
              <w:spacing w:before="139" w:line="227" w:lineRule="auto"/>
              <w:ind w:left="439"/>
              <w:rPr>
                <w:sz w:val="17"/>
                <w:szCs w:val="17"/>
              </w:rPr>
            </w:pPr>
            <w:r>
              <w:rPr>
                <w:spacing w:val="6"/>
                <w:sz w:val="17"/>
                <w:szCs w:val="17"/>
              </w:rPr>
              <w:t>冰蛋制品</w:t>
            </w:r>
          </w:p>
        </w:tc>
        <w:tc>
          <w:tcPr>
            <w:tcW w:w="1586" w:type="dxa"/>
            <w:vAlign w:val="top"/>
          </w:tcPr>
          <w:p w14:paraId="4DB3DAD8">
            <w:pPr>
              <w:pStyle w:val="51"/>
              <w:spacing w:before="139" w:line="227" w:lineRule="auto"/>
              <w:ind w:left="442"/>
              <w:rPr>
                <w:sz w:val="17"/>
                <w:szCs w:val="17"/>
              </w:rPr>
            </w:pPr>
            <w:r>
              <w:rPr>
                <w:spacing w:val="6"/>
                <w:sz w:val="17"/>
                <w:szCs w:val="17"/>
              </w:rPr>
              <w:t>冰蛋制品</w:t>
            </w:r>
          </w:p>
        </w:tc>
        <w:tc>
          <w:tcPr>
            <w:tcW w:w="682" w:type="dxa"/>
            <w:vAlign w:val="top"/>
          </w:tcPr>
          <w:p w14:paraId="7ACDB810">
            <w:pPr>
              <w:pStyle w:val="51"/>
              <w:spacing w:before="163" w:line="227" w:lineRule="auto"/>
              <w:ind w:left="170"/>
              <w:rPr>
                <w:sz w:val="17"/>
                <w:szCs w:val="17"/>
              </w:rPr>
            </w:pPr>
            <w:r>
              <w:rPr>
                <w:spacing w:val="3"/>
                <w:sz w:val="17"/>
                <w:szCs w:val="17"/>
              </w:rPr>
              <w:t>较高</w:t>
            </w:r>
          </w:p>
        </w:tc>
        <w:tc>
          <w:tcPr>
            <w:tcW w:w="8563" w:type="dxa"/>
            <w:vAlign w:val="top"/>
          </w:tcPr>
          <w:p w14:paraId="61340266">
            <w:pPr>
              <w:pStyle w:val="51"/>
              <w:spacing w:before="151" w:line="227" w:lineRule="auto"/>
              <w:ind w:left="41"/>
              <w:rPr>
                <w:sz w:val="17"/>
                <w:szCs w:val="17"/>
              </w:rPr>
            </w:pPr>
            <w:r>
              <w:rPr>
                <w:spacing w:val="8"/>
                <w:sz w:val="17"/>
                <w:szCs w:val="17"/>
              </w:rPr>
              <w:t>菌落总数、大肠菌群、沙门氏菌</w:t>
            </w:r>
          </w:p>
        </w:tc>
      </w:tr>
      <w:tr w14:paraId="3C5EC6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4" w:hRule="atLeast"/>
        </w:trPr>
        <w:tc>
          <w:tcPr>
            <w:tcW w:w="459" w:type="dxa"/>
            <w:vMerge w:val="continue"/>
            <w:tcBorders>
              <w:top w:val="nil"/>
              <w:bottom w:val="nil"/>
            </w:tcBorders>
            <w:vAlign w:val="top"/>
          </w:tcPr>
          <w:p w14:paraId="6ED22A1C">
            <w:pPr>
              <w:rPr>
                <w:rFonts w:ascii="Arial"/>
                <w:sz w:val="21"/>
              </w:rPr>
            </w:pPr>
          </w:p>
        </w:tc>
        <w:tc>
          <w:tcPr>
            <w:tcW w:w="942" w:type="dxa"/>
            <w:vMerge w:val="continue"/>
            <w:tcBorders>
              <w:top w:val="nil"/>
              <w:bottom w:val="nil"/>
            </w:tcBorders>
            <w:vAlign w:val="top"/>
          </w:tcPr>
          <w:p w14:paraId="51B29285">
            <w:pPr>
              <w:rPr>
                <w:rFonts w:ascii="Arial"/>
                <w:sz w:val="21"/>
              </w:rPr>
            </w:pPr>
          </w:p>
        </w:tc>
        <w:tc>
          <w:tcPr>
            <w:tcW w:w="1360" w:type="dxa"/>
            <w:vMerge w:val="continue"/>
            <w:tcBorders>
              <w:top w:val="nil"/>
              <w:bottom w:val="nil"/>
            </w:tcBorders>
            <w:vAlign w:val="top"/>
          </w:tcPr>
          <w:p w14:paraId="70272BE7">
            <w:pPr>
              <w:rPr>
                <w:rFonts w:ascii="Arial"/>
                <w:sz w:val="21"/>
              </w:rPr>
            </w:pPr>
          </w:p>
        </w:tc>
        <w:tc>
          <w:tcPr>
            <w:tcW w:w="1581" w:type="dxa"/>
            <w:vAlign w:val="top"/>
          </w:tcPr>
          <w:p w14:paraId="7CC14B71">
            <w:pPr>
              <w:pStyle w:val="51"/>
              <w:spacing w:before="171" w:line="227" w:lineRule="auto"/>
              <w:ind w:left="350"/>
              <w:rPr>
                <w:sz w:val="17"/>
                <w:szCs w:val="17"/>
              </w:rPr>
            </w:pPr>
            <w:r>
              <w:rPr>
                <w:spacing w:val="7"/>
                <w:sz w:val="17"/>
                <w:szCs w:val="17"/>
              </w:rPr>
              <w:t>其他蛋制品</w:t>
            </w:r>
          </w:p>
        </w:tc>
        <w:tc>
          <w:tcPr>
            <w:tcW w:w="1586" w:type="dxa"/>
            <w:vAlign w:val="top"/>
          </w:tcPr>
          <w:p w14:paraId="74C46E71">
            <w:pPr>
              <w:pStyle w:val="51"/>
              <w:spacing w:before="171" w:line="227" w:lineRule="auto"/>
              <w:ind w:left="353"/>
              <w:rPr>
                <w:sz w:val="17"/>
                <w:szCs w:val="17"/>
              </w:rPr>
            </w:pPr>
            <w:r>
              <w:rPr>
                <w:spacing w:val="7"/>
                <w:sz w:val="17"/>
                <w:szCs w:val="17"/>
              </w:rPr>
              <w:t>其他蛋制品</w:t>
            </w:r>
          </w:p>
        </w:tc>
        <w:tc>
          <w:tcPr>
            <w:tcW w:w="682" w:type="dxa"/>
            <w:vAlign w:val="top"/>
          </w:tcPr>
          <w:p w14:paraId="69DB8FC0">
            <w:pPr>
              <w:pStyle w:val="51"/>
              <w:spacing w:before="198" w:line="227" w:lineRule="auto"/>
              <w:ind w:left="170"/>
              <w:rPr>
                <w:sz w:val="17"/>
                <w:szCs w:val="17"/>
              </w:rPr>
            </w:pPr>
            <w:r>
              <w:rPr>
                <w:spacing w:val="3"/>
                <w:sz w:val="17"/>
                <w:szCs w:val="17"/>
              </w:rPr>
              <w:t>较高</w:t>
            </w:r>
          </w:p>
        </w:tc>
        <w:tc>
          <w:tcPr>
            <w:tcW w:w="8563" w:type="dxa"/>
            <w:vAlign w:val="top"/>
          </w:tcPr>
          <w:p w14:paraId="1E528B29">
            <w:pPr>
              <w:pStyle w:val="51"/>
              <w:spacing w:before="53" w:line="250" w:lineRule="auto"/>
              <w:ind w:left="37" w:right="26"/>
              <w:rPr>
                <w:sz w:val="17"/>
                <w:szCs w:val="17"/>
              </w:rPr>
            </w:pPr>
            <w:r>
              <w:rPr>
                <w:spacing w:val="8"/>
                <w:sz w:val="17"/>
                <w:szCs w:val="17"/>
              </w:rPr>
              <w:t>铅(以</w:t>
            </w:r>
            <w:r>
              <w:rPr>
                <w:sz w:val="17"/>
                <w:szCs w:val="17"/>
              </w:rPr>
              <w:t>Pb</w:t>
            </w:r>
            <w:r>
              <w:rPr>
                <w:spacing w:val="8"/>
                <w:sz w:val="17"/>
                <w:szCs w:val="17"/>
              </w:rPr>
              <w:t>计)、苯甲酸及其钠盐(以苯甲酸计)、山梨酸及其钾盐(以山梨酸计)、脱氢乙酸及其钠盐(以脱氢乙酸计)、菌落总数、大肠菌群、沙门氏菌</w:t>
            </w:r>
          </w:p>
        </w:tc>
      </w:tr>
      <w:tr w14:paraId="256F3D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459" w:type="dxa"/>
            <w:vMerge w:val="continue"/>
            <w:tcBorders>
              <w:top w:val="nil"/>
              <w:bottom w:val="nil"/>
            </w:tcBorders>
            <w:vAlign w:val="top"/>
          </w:tcPr>
          <w:p w14:paraId="73FA5905">
            <w:pPr>
              <w:rPr>
                <w:rFonts w:ascii="Arial"/>
                <w:sz w:val="21"/>
              </w:rPr>
            </w:pPr>
          </w:p>
        </w:tc>
        <w:tc>
          <w:tcPr>
            <w:tcW w:w="942" w:type="dxa"/>
            <w:vMerge w:val="continue"/>
            <w:tcBorders>
              <w:top w:val="nil"/>
              <w:bottom w:val="nil"/>
            </w:tcBorders>
            <w:vAlign w:val="top"/>
          </w:tcPr>
          <w:p w14:paraId="4A9604AB">
            <w:pPr>
              <w:rPr>
                <w:rFonts w:ascii="Arial"/>
                <w:sz w:val="21"/>
              </w:rPr>
            </w:pPr>
          </w:p>
        </w:tc>
        <w:tc>
          <w:tcPr>
            <w:tcW w:w="1360" w:type="dxa"/>
            <w:vMerge w:val="continue"/>
            <w:tcBorders>
              <w:top w:val="nil"/>
              <w:bottom w:val="nil"/>
            </w:tcBorders>
            <w:vAlign w:val="top"/>
          </w:tcPr>
          <w:p w14:paraId="4D9D5023">
            <w:pPr>
              <w:rPr>
                <w:rFonts w:ascii="Arial"/>
                <w:sz w:val="21"/>
              </w:rPr>
            </w:pPr>
          </w:p>
        </w:tc>
        <w:tc>
          <w:tcPr>
            <w:tcW w:w="1581" w:type="dxa"/>
            <w:vAlign w:val="top"/>
          </w:tcPr>
          <w:p w14:paraId="52AEBF76">
            <w:pPr>
              <w:pStyle w:val="51"/>
              <w:spacing w:before="173" w:line="227" w:lineRule="auto"/>
              <w:ind w:left="438"/>
              <w:rPr>
                <w:sz w:val="17"/>
                <w:szCs w:val="17"/>
              </w:rPr>
            </w:pPr>
            <w:r>
              <w:rPr>
                <w:spacing w:val="6"/>
                <w:sz w:val="17"/>
                <w:szCs w:val="17"/>
              </w:rPr>
              <w:t>液蛋制品</w:t>
            </w:r>
          </w:p>
        </w:tc>
        <w:tc>
          <w:tcPr>
            <w:tcW w:w="1586" w:type="dxa"/>
            <w:vAlign w:val="top"/>
          </w:tcPr>
          <w:p w14:paraId="3237DEC2">
            <w:pPr>
              <w:pStyle w:val="51"/>
              <w:spacing w:before="173" w:line="227" w:lineRule="auto"/>
              <w:ind w:left="441"/>
              <w:rPr>
                <w:sz w:val="17"/>
                <w:szCs w:val="17"/>
              </w:rPr>
            </w:pPr>
            <w:r>
              <w:rPr>
                <w:spacing w:val="6"/>
                <w:sz w:val="17"/>
                <w:szCs w:val="17"/>
              </w:rPr>
              <w:t>液蛋制品</w:t>
            </w:r>
          </w:p>
        </w:tc>
        <w:tc>
          <w:tcPr>
            <w:tcW w:w="682" w:type="dxa"/>
            <w:vAlign w:val="top"/>
          </w:tcPr>
          <w:p w14:paraId="29A94591">
            <w:pPr>
              <w:pStyle w:val="51"/>
              <w:spacing w:before="173" w:line="227" w:lineRule="auto"/>
              <w:ind w:left="170"/>
              <w:rPr>
                <w:sz w:val="17"/>
                <w:szCs w:val="17"/>
              </w:rPr>
            </w:pPr>
            <w:r>
              <w:rPr>
                <w:spacing w:val="3"/>
                <w:sz w:val="17"/>
                <w:szCs w:val="17"/>
              </w:rPr>
              <w:t>较高</w:t>
            </w:r>
          </w:p>
        </w:tc>
        <w:tc>
          <w:tcPr>
            <w:tcW w:w="8563" w:type="dxa"/>
            <w:vAlign w:val="top"/>
          </w:tcPr>
          <w:p w14:paraId="2818B84D">
            <w:pPr>
              <w:pStyle w:val="51"/>
              <w:spacing w:before="43" w:line="256" w:lineRule="auto"/>
              <w:ind w:left="37" w:right="26"/>
              <w:rPr>
                <w:sz w:val="17"/>
                <w:szCs w:val="17"/>
              </w:rPr>
            </w:pPr>
            <w:r>
              <w:rPr>
                <w:spacing w:val="8"/>
                <w:sz w:val="17"/>
                <w:szCs w:val="17"/>
              </w:rPr>
              <w:t>铅(以</w:t>
            </w:r>
            <w:r>
              <w:rPr>
                <w:sz w:val="17"/>
                <w:szCs w:val="17"/>
              </w:rPr>
              <w:t>Pb</w:t>
            </w:r>
            <w:r>
              <w:rPr>
                <w:spacing w:val="8"/>
                <w:sz w:val="17"/>
                <w:szCs w:val="17"/>
              </w:rPr>
              <w:t>计)、苯甲酸及其钠盐(以苯甲酸计)、山梨酸及其钾盐(以山梨酸计)、脱氢乙酸及其钠盐(以脱氢乙酸计)、菌落总数、大肠菌群、沙门氏菌</w:t>
            </w:r>
          </w:p>
        </w:tc>
      </w:tr>
      <w:tr w14:paraId="5B6DBA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4" w:hRule="atLeast"/>
        </w:trPr>
        <w:tc>
          <w:tcPr>
            <w:tcW w:w="459" w:type="dxa"/>
            <w:vMerge w:val="continue"/>
            <w:tcBorders>
              <w:top w:val="nil"/>
            </w:tcBorders>
            <w:vAlign w:val="top"/>
          </w:tcPr>
          <w:p w14:paraId="1613A7BF">
            <w:pPr>
              <w:rPr>
                <w:rFonts w:ascii="Arial"/>
                <w:sz w:val="21"/>
              </w:rPr>
            </w:pPr>
          </w:p>
        </w:tc>
        <w:tc>
          <w:tcPr>
            <w:tcW w:w="942" w:type="dxa"/>
            <w:vMerge w:val="continue"/>
            <w:tcBorders>
              <w:top w:val="nil"/>
            </w:tcBorders>
            <w:vAlign w:val="top"/>
          </w:tcPr>
          <w:p w14:paraId="3F558729">
            <w:pPr>
              <w:rPr>
                <w:rFonts w:ascii="Arial"/>
                <w:sz w:val="21"/>
              </w:rPr>
            </w:pPr>
          </w:p>
        </w:tc>
        <w:tc>
          <w:tcPr>
            <w:tcW w:w="1360" w:type="dxa"/>
            <w:vMerge w:val="continue"/>
            <w:tcBorders>
              <w:top w:val="nil"/>
            </w:tcBorders>
            <w:vAlign w:val="top"/>
          </w:tcPr>
          <w:p w14:paraId="5D38D667">
            <w:pPr>
              <w:rPr>
                <w:rFonts w:ascii="Arial"/>
                <w:sz w:val="21"/>
              </w:rPr>
            </w:pPr>
          </w:p>
        </w:tc>
        <w:tc>
          <w:tcPr>
            <w:tcW w:w="1581" w:type="dxa"/>
            <w:vAlign w:val="top"/>
          </w:tcPr>
          <w:p w14:paraId="3AF51FE9">
            <w:pPr>
              <w:pStyle w:val="51"/>
              <w:spacing w:before="173" w:line="227" w:lineRule="auto"/>
              <w:ind w:left="260"/>
              <w:rPr>
                <w:sz w:val="17"/>
                <w:szCs w:val="17"/>
              </w:rPr>
            </w:pPr>
            <w:r>
              <w:rPr>
                <w:spacing w:val="7"/>
                <w:sz w:val="17"/>
                <w:szCs w:val="17"/>
              </w:rPr>
              <w:t>热凝固蛋制品</w:t>
            </w:r>
          </w:p>
        </w:tc>
        <w:tc>
          <w:tcPr>
            <w:tcW w:w="1586" w:type="dxa"/>
            <w:vAlign w:val="top"/>
          </w:tcPr>
          <w:p w14:paraId="3E00C859">
            <w:pPr>
              <w:pStyle w:val="51"/>
              <w:spacing w:before="173" w:line="227" w:lineRule="auto"/>
              <w:ind w:left="263"/>
              <w:rPr>
                <w:sz w:val="17"/>
                <w:szCs w:val="17"/>
              </w:rPr>
            </w:pPr>
            <w:r>
              <w:rPr>
                <w:spacing w:val="7"/>
                <w:sz w:val="17"/>
                <w:szCs w:val="17"/>
              </w:rPr>
              <w:t>热凝固蛋制品</w:t>
            </w:r>
          </w:p>
        </w:tc>
        <w:tc>
          <w:tcPr>
            <w:tcW w:w="682" w:type="dxa"/>
            <w:vAlign w:val="top"/>
          </w:tcPr>
          <w:p w14:paraId="0B61EE6C">
            <w:pPr>
              <w:pStyle w:val="51"/>
              <w:spacing w:before="173" w:line="227" w:lineRule="auto"/>
              <w:ind w:left="170"/>
              <w:rPr>
                <w:sz w:val="17"/>
                <w:szCs w:val="17"/>
              </w:rPr>
            </w:pPr>
            <w:r>
              <w:rPr>
                <w:spacing w:val="3"/>
                <w:sz w:val="17"/>
                <w:szCs w:val="17"/>
              </w:rPr>
              <w:t>较高</w:t>
            </w:r>
          </w:p>
        </w:tc>
        <w:tc>
          <w:tcPr>
            <w:tcW w:w="8563" w:type="dxa"/>
            <w:vAlign w:val="top"/>
          </w:tcPr>
          <w:p w14:paraId="4DE70466">
            <w:pPr>
              <w:pStyle w:val="51"/>
              <w:spacing w:before="44" w:line="255" w:lineRule="auto"/>
              <w:ind w:left="37" w:right="26"/>
              <w:rPr>
                <w:sz w:val="17"/>
                <w:szCs w:val="17"/>
              </w:rPr>
            </w:pPr>
            <w:r>
              <w:rPr>
                <w:spacing w:val="8"/>
                <w:sz w:val="17"/>
                <w:szCs w:val="17"/>
              </w:rPr>
              <w:t>铅(以</w:t>
            </w:r>
            <w:r>
              <w:rPr>
                <w:sz w:val="17"/>
                <w:szCs w:val="17"/>
              </w:rPr>
              <w:t>Pb</w:t>
            </w:r>
            <w:r>
              <w:rPr>
                <w:spacing w:val="8"/>
                <w:sz w:val="17"/>
                <w:szCs w:val="17"/>
              </w:rPr>
              <w:t>计)、苯甲酸及其钠盐(以苯甲酸计)、山梨酸及其钾盐(以山梨酸计)、脱氢乙酸及其钠盐(以脱氢乙酸计)、菌落总数、大肠菌群、沙门氏菌</w:t>
            </w:r>
          </w:p>
        </w:tc>
      </w:tr>
      <w:tr w14:paraId="7613EE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459" w:type="dxa"/>
            <w:vMerge w:val="restart"/>
            <w:tcBorders>
              <w:bottom w:val="nil"/>
            </w:tcBorders>
            <w:vAlign w:val="top"/>
          </w:tcPr>
          <w:p w14:paraId="3A4828F9">
            <w:pPr>
              <w:spacing w:line="340" w:lineRule="auto"/>
              <w:rPr>
                <w:rFonts w:ascii="Arial"/>
                <w:sz w:val="21"/>
              </w:rPr>
            </w:pPr>
          </w:p>
          <w:p w14:paraId="29376658">
            <w:pPr>
              <w:pStyle w:val="51"/>
              <w:spacing w:before="55" w:line="228" w:lineRule="exact"/>
              <w:ind w:left="145"/>
              <w:rPr>
                <w:sz w:val="17"/>
                <w:szCs w:val="17"/>
              </w:rPr>
            </w:pPr>
            <w:r>
              <w:rPr>
                <w:position w:val="1"/>
                <w:sz w:val="17"/>
                <w:szCs w:val="17"/>
              </w:rPr>
              <w:t>20</w:t>
            </w:r>
          </w:p>
        </w:tc>
        <w:tc>
          <w:tcPr>
            <w:tcW w:w="942" w:type="dxa"/>
            <w:vMerge w:val="restart"/>
            <w:tcBorders>
              <w:bottom w:val="nil"/>
            </w:tcBorders>
            <w:vAlign w:val="top"/>
          </w:tcPr>
          <w:p w14:paraId="10F4D425">
            <w:pPr>
              <w:pStyle w:val="51"/>
              <w:spacing w:before="97" w:line="229" w:lineRule="auto"/>
              <w:ind w:left="119"/>
              <w:rPr>
                <w:sz w:val="17"/>
                <w:szCs w:val="17"/>
              </w:rPr>
            </w:pPr>
            <w:r>
              <w:rPr>
                <w:spacing w:val="6"/>
                <w:sz w:val="17"/>
                <w:szCs w:val="17"/>
              </w:rPr>
              <w:t>可可及焙</w:t>
            </w:r>
          </w:p>
          <w:p w14:paraId="7A53100A">
            <w:pPr>
              <w:pStyle w:val="51"/>
              <w:spacing w:before="88" w:line="280" w:lineRule="auto"/>
              <w:ind w:left="406" w:right="112" w:hanging="290"/>
              <w:rPr>
                <w:sz w:val="17"/>
                <w:szCs w:val="17"/>
              </w:rPr>
            </w:pPr>
            <w:r>
              <w:rPr>
                <w:spacing w:val="7"/>
                <w:sz w:val="17"/>
                <w:szCs w:val="17"/>
              </w:rPr>
              <w:t>烤咖啡产</w:t>
            </w:r>
            <w:r>
              <w:rPr>
                <w:sz w:val="17"/>
                <w:szCs w:val="17"/>
              </w:rPr>
              <w:t>品</w:t>
            </w:r>
          </w:p>
        </w:tc>
        <w:tc>
          <w:tcPr>
            <w:tcW w:w="1360" w:type="dxa"/>
            <w:vAlign w:val="top"/>
          </w:tcPr>
          <w:p w14:paraId="06490074">
            <w:pPr>
              <w:pStyle w:val="51"/>
              <w:spacing w:before="165" w:line="228" w:lineRule="auto"/>
              <w:ind w:left="328"/>
              <w:rPr>
                <w:sz w:val="17"/>
                <w:szCs w:val="17"/>
              </w:rPr>
            </w:pPr>
            <w:r>
              <w:rPr>
                <w:spacing w:val="6"/>
                <w:sz w:val="17"/>
                <w:szCs w:val="17"/>
              </w:rPr>
              <w:t>焙炒咖啡</w:t>
            </w:r>
          </w:p>
        </w:tc>
        <w:tc>
          <w:tcPr>
            <w:tcW w:w="1581" w:type="dxa"/>
            <w:vAlign w:val="top"/>
          </w:tcPr>
          <w:p w14:paraId="432608FD">
            <w:pPr>
              <w:pStyle w:val="51"/>
              <w:spacing w:before="165" w:line="228" w:lineRule="auto"/>
              <w:ind w:left="440"/>
              <w:rPr>
                <w:sz w:val="17"/>
                <w:szCs w:val="17"/>
              </w:rPr>
            </w:pPr>
            <w:r>
              <w:rPr>
                <w:spacing w:val="6"/>
                <w:sz w:val="17"/>
                <w:szCs w:val="17"/>
              </w:rPr>
              <w:t>焙炒咖啡</w:t>
            </w:r>
          </w:p>
        </w:tc>
        <w:tc>
          <w:tcPr>
            <w:tcW w:w="1586" w:type="dxa"/>
            <w:vAlign w:val="top"/>
          </w:tcPr>
          <w:p w14:paraId="6E592153">
            <w:pPr>
              <w:pStyle w:val="51"/>
              <w:spacing w:before="165" w:line="228" w:lineRule="auto"/>
              <w:ind w:left="443"/>
              <w:rPr>
                <w:sz w:val="17"/>
                <w:szCs w:val="17"/>
              </w:rPr>
            </w:pPr>
            <w:r>
              <w:rPr>
                <w:spacing w:val="6"/>
                <w:sz w:val="17"/>
                <w:szCs w:val="17"/>
              </w:rPr>
              <w:t>焙炒咖啡</w:t>
            </w:r>
          </w:p>
        </w:tc>
        <w:tc>
          <w:tcPr>
            <w:tcW w:w="682" w:type="dxa"/>
            <w:vAlign w:val="top"/>
          </w:tcPr>
          <w:p w14:paraId="4B27B72C">
            <w:pPr>
              <w:pStyle w:val="51"/>
              <w:spacing w:before="165" w:line="230" w:lineRule="auto"/>
              <w:ind w:left="173"/>
              <w:rPr>
                <w:sz w:val="17"/>
                <w:szCs w:val="17"/>
              </w:rPr>
            </w:pPr>
            <w:r>
              <w:rPr>
                <w:spacing w:val="2"/>
                <w:sz w:val="17"/>
                <w:szCs w:val="17"/>
              </w:rPr>
              <w:t>一般</w:t>
            </w:r>
          </w:p>
        </w:tc>
        <w:tc>
          <w:tcPr>
            <w:tcW w:w="8563" w:type="dxa"/>
            <w:vAlign w:val="top"/>
          </w:tcPr>
          <w:p w14:paraId="429D8CC9">
            <w:pPr>
              <w:pStyle w:val="51"/>
              <w:spacing w:before="153" w:line="228" w:lineRule="auto"/>
              <w:ind w:left="44"/>
              <w:rPr>
                <w:sz w:val="17"/>
                <w:szCs w:val="17"/>
              </w:rPr>
            </w:pPr>
            <w:r>
              <w:rPr>
                <w:spacing w:val="8"/>
                <w:sz w:val="17"/>
                <w:szCs w:val="17"/>
              </w:rPr>
              <w:t>咖啡因、铅(以</w:t>
            </w:r>
            <w:r>
              <w:rPr>
                <w:sz w:val="17"/>
                <w:szCs w:val="17"/>
              </w:rPr>
              <w:t>Pb</w:t>
            </w:r>
            <w:r>
              <w:rPr>
                <w:spacing w:val="8"/>
                <w:sz w:val="17"/>
                <w:szCs w:val="17"/>
              </w:rPr>
              <w:t>计)、赭曲霉毒素A</w:t>
            </w:r>
          </w:p>
        </w:tc>
      </w:tr>
      <w:tr w14:paraId="1B8001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459" w:type="dxa"/>
            <w:vMerge w:val="continue"/>
            <w:tcBorders>
              <w:top w:val="nil"/>
            </w:tcBorders>
            <w:vAlign w:val="top"/>
          </w:tcPr>
          <w:p w14:paraId="6C752BC1">
            <w:pPr>
              <w:rPr>
                <w:rFonts w:ascii="Arial"/>
                <w:sz w:val="21"/>
              </w:rPr>
            </w:pPr>
          </w:p>
        </w:tc>
        <w:tc>
          <w:tcPr>
            <w:tcW w:w="942" w:type="dxa"/>
            <w:vMerge w:val="continue"/>
            <w:tcBorders>
              <w:top w:val="nil"/>
            </w:tcBorders>
            <w:vAlign w:val="top"/>
          </w:tcPr>
          <w:p w14:paraId="07415EE3">
            <w:pPr>
              <w:rPr>
                <w:rFonts w:ascii="Arial"/>
                <w:sz w:val="21"/>
              </w:rPr>
            </w:pPr>
          </w:p>
        </w:tc>
        <w:tc>
          <w:tcPr>
            <w:tcW w:w="1360" w:type="dxa"/>
            <w:vAlign w:val="top"/>
          </w:tcPr>
          <w:p w14:paraId="1A4C45B1">
            <w:pPr>
              <w:pStyle w:val="51"/>
              <w:spacing w:before="167" w:line="227" w:lineRule="auto"/>
              <w:ind w:left="329"/>
              <w:rPr>
                <w:sz w:val="17"/>
                <w:szCs w:val="17"/>
              </w:rPr>
            </w:pPr>
            <w:r>
              <w:rPr>
                <w:spacing w:val="6"/>
                <w:sz w:val="17"/>
                <w:szCs w:val="17"/>
              </w:rPr>
              <w:t>可可制品</w:t>
            </w:r>
          </w:p>
        </w:tc>
        <w:tc>
          <w:tcPr>
            <w:tcW w:w="1581" w:type="dxa"/>
            <w:vAlign w:val="top"/>
          </w:tcPr>
          <w:p w14:paraId="26BD48D0">
            <w:pPr>
              <w:pStyle w:val="51"/>
              <w:spacing w:before="167" w:line="227" w:lineRule="auto"/>
              <w:ind w:left="440"/>
              <w:rPr>
                <w:sz w:val="17"/>
                <w:szCs w:val="17"/>
              </w:rPr>
            </w:pPr>
            <w:r>
              <w:rPr>
                <w:spacing w:val="6"/>
                <w:sz w:val="17"/>
                <w:szCs w:val="17"/>
              </w:rPr>
              <w:t>可可制品</w:t>
            </w:r>
          </w:p>
        </w:tc>
        <w:tc>
          <w:tcPr>
            <w:tcW w:w="1586" w:type="dxa"/>
            <w:vAlign w:val="top"/>
          </w:tcPr>
          <w:p w14:paraId="0E4A89C4">
            <w:pPr>
              <w:pStyle w:val="51"/>
              <w:spacing w:before="167" w:line="227" w:lineRule="auto"/>
              <w:ind w:left="443"/>
              <w:rPr>
                <w:sz w:val="17"/>
                <w:szCs w:val="17"/>
              </w:rPr>
            </w:pPr>
            <w:r>
              <w:rPr>
                <w:spacing w:val="6"/>
                <w:sz w:val="17"/>
                <w:szCs w:val="17"/>
              </w:rPr>
              <w:t>可可制品</w:t>
            </w:r>
          </w:p>
        </w:tc>
        <w:tc>
          <w:tcPr>
            <w:tcW w:w="682" w:type="dxa"/>
            <w:vAlign w:val="top"/>
          </w:tcPr>
          <w:p w14:paraId="5D3A4722">
            <w:pPr>
              <w:pStyle w:val="51"/>
              <w:spacing w:before="166" w:line="230" w:lineRule="auto"/>
              <w:ind w:left="173"/>
              <w:rPr>
                <w:sz w:val="17"/>
                <w:szCs w:val="17"/>
              </w:rPr>
            </w:pPr>
            <w:r>
              <w:rPr>
                <w:spacing w:val="2"/>
                <w:sz w:val="17"/>
                <w:szCs w:val="17"/>
              </w:rPr>
              <w:t>一般</w:t>
            </w:r>
          </w:p>
        </w:tc>
        <w:tc>
          <w:tcPr>
            <w:tcW w:w="8563" w:type="dxa"/>
            <w:vAlign w:val="top"/>
          </w:tcPr>
          <w:p w14:paraId="5D9621F8">
            <w:pPr>
              <w:pStyle w:val="51"/>
              <w:spacing w:before="155" w:line="227" w:lineRule="auto"/>
              <w:ind w:left="37"/>
              <w:rPr>
                <w:sz w:val="17"/>
                <w:szCs w:val="17"/>
              </w:rPr>
            </w:pPr>
            <w:r>
              <w:rPr>
                <w:spacing w:val="8"/>
                <w:sz w:val="17"/>
                <w:szCs w:val="17"/>
              </w:rPr>
              <w:t>铅(以</w:t>
            </w:r>
            <w:r>
              <w:rPr>
                <w:sz w:val="17"/>
                <w:szCs w:val="17"/>
              </w:rPr>
              <w:t>Pb</w:t>
            </w:r>
            <w:r>
              <w:rPr>
                <w:spacing w:val="8"/>
                <w:sz w:val="17"/>
                <w:szCs w:val="17"/>
              </w:rPr>
              <w:t>计)、沙门氏菌</w:t>
            </w:r>
          </w:p>
        </w:tc>
      </w:tr>
      <w:tr w14:paraId="5DF96B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459" w:type="dxa"/>
            <w:vMerge w:val="restart"/>
            <w:tcBorders>
              <w:bottom w:val="nil"/>
            </w:tcBorders>
            <w:vAlign w:val="top"/>
          </w:tcPr>
          <w:p w14:paraId="2FC370B5">
            <w:pPr>
              <w:rPr>
                <w:rFonts w:ascii="Arial"/>
                <w:sz w:val="21"/>
              </w:rPr>
            </w:pPr>
          </w:p>
          <w:p w14:paraId="444D6D07">
            <w:pPr>
              <w:spacing w:line="241" w:lineRule="auto"/>
              <w:rPr>
                <w:rFonts w:ascii="Arial"/>
                <w:sz w:val="21"/>
              </w:rPr>
            </w:pPr>
          </w:p>
          <w:p w14:paraId="186ED7E2">
            <w:pPr>
              <w:spacing w:line="241" w:lineRule="auto"/>
              <w:rPr>
                <w:rFonts w:ascii="Arial"/>
                <w:sz w:val="21"/>
              </w:rPr>
            </w:pPr>
          </w:p>
          <w:p w14:paraId="5F767820">
            <w:pPr>
              <w:spacing w:line="241" w:lineRule="auto"/>
              <w:rPr>
                <w:rFonts w:ascii="Arial"/>
                <w:sz w:val="21"/>
              </w:rPr>
            </w:pPr>
          </w:p>
          <w:p w14:paraId="70E54EE0">
            <w:pPr>
              <w:spacing w:line="241" w:lineRule="auto"/>
              <w:rPr>
                <w:rFonts w:ascii="Arial"/>
                <w:sz w:val="21"/>
              </w:rPr>
            </w:pPr>
          </w:p>
          <w:p w14:paraId="1C3DC120">
            <w:pPr>
              <w:spacing w:line="241" w:lineRule="auto"/>
              <w:rPr>
                <w:rFonts w:ascii="Arial"/>
                <w:sz w:val="21"/>
              </w:rPr>
            </w:pPr>
          </w:p>
          <w:p w14:paraId="262FE41E">
            <w:pPr>
              <w:spacing w:line="241" w:lineRule="auto"/>
              <w:rPr>
                <w:rFonts w:ascii="Arial"/>
                <w:sz w:val="21"/>
              </w:rPr>
            </w:pPr>
          </w:p>
          <w:p w14:paraId="6F0D2E74">
            <w:pPr>
              <w:spacing w:line="241" w:lineRule="auto"/>
              <w:rPr>
                <w:rFonts w:ascii="Arial"/>
                <w:sz w:val="21"/>
              </w:rPr>
            </w:pPr>
          </w:p>
          <w:p w14:paraId="37443A8F">
            <w:pPr>
              <w:pStyle w:val="51"/>
              <w:spacing w:before="55" w:line="229" w:lineRule="exact"/>
              <w:ind w:left="145"/>
              <w:rPr>
                <w:sz w:val="17"/>
                <w:szCs w:val="17"/>
              </w:rPr>
            </w:pPr>
            <w:r>
              <w:rPr>
                <w:position w:val="1"/>
                <w:sz w:val="17"/>
                <w:szCs w:val="17"/>
              </w:rPr>
              <w:t>21</w:t>
            </w:r>
          </w:p>
        </w:tc>
        <w:tc>
          <w:tcPr>
            <w:tcW w:w="942" w:type="dxa"/>
            <w:vMerge w:val="restart"/>
            <w:tcBorders>
              <w:bottom w:val="nil"/>
            </w:tcBorders>
            <w:vAlign w:val="top"/>
          </w:tcPr>
          <w:p w14:paraId="7BCDF5C9">
            <w:pPr>
              <w:rPr>
                <w:rFonts w:ascii="Arial"/>
                <w:sz w:val="21"/>
              </w:rPr>
            </w:pPr>
          </w:p>
          <w:p w14:paraId="418C480C">
            <w:pPr>
              <w:spacing w:line="241" w:lineRule="auto"/>
              <w:rPr>
                <w:rFonts w:ascii="Arial"/>
                <w:sz w:val="21"/>
              </w:rPr>
            </w:pPr>
          </w:p>
          <w:p w14:paraId="141E114D">
            <w:pPr>
              <w:spacing w:line="241" w:lineRule="auto"/>
              <w:rPr>
                <w:rFonts w:ascii="Arial"/>
                <w:sz w:val="21"/>
              </w:rPr>
            </w:pPr>
          </w:p>
          <w:p w14:paraId="5B2608ED">
            <w:pPr>
              <w:spacing w:line="241" w:lineRule="auto"/>
              <w:rPr>
                <w:rFonts w:ascii="Arial"/>
                <w:sz w:val="21"/>
              </w:rPr>
            </w:pPr>
          </w:p>
          <w:p w14:paraId="4A3A1377">
            <w:pPr>
              <w:spacing w:line="241" w:lineRule="auto"/>
              <w:rPr>
                <w:rFonts w:ascii="Arial"/>
                <w:sz w:val="21"/>
              </w:rPr>
            </w:pPr>
          </w:p>
          <w:p w14:paraId="7E8EFF90">
            <w:pPr>
              <w:spacing w:line="241" w:lineRule="auto"/>
              <w:rPr>
                <w:rFonts w:ascii="Arial"/>
                <w:sz w:val="21"/>
              </w:rPr>
            </w:pPr>
          </w:p>
          <w:p w14:paraId="16599BC9">
            <w:pPr>
              <w:spacing w:line="241" w:lineRule="auto"/>
              <w:rPr>
                <w:rFonts w:ascii="Arial"/>
                <w:sz w:val="21"/>
              </w:rPr>
            </w:pPr>
          </w:p>
          <w:p w14:paraId="67C6D20E">
            <w:pPr>
              <w:spacing w:line="241" w:lineRule="auto"/>
              <w:rPr>
                <w:rFonts w:ascii="Arial"/>
                <w:sz w:val="21"/>
              </w:rPr>
            </w:pPr>
          </w:p>
          <w:p w14:paraId="2DCE8A77">
            <w:pPr>
              <w:pStyle w:val="51"/>
              <w:spacing w:before="55" w:line="228" w:lineRule="auto"/>
              <w:ind w:left="296"/>
              <w:rPr>
                <w:sz w:val="17"/>
                <w:szCs w:val="17"/>
              </w:rPr>
            </w:pPr>
            <w:r>
              <w:rPr>
                <w:spacing w:val="4"/>
                <w:sz w:val="17"/>
                <w:szCs w:val="17"/>
              </w:rPr>
              <w:t>食糖</w:t>
            </w:r>
          </w:p>
        </w:tc>
        <w:tc>
          <w:tcPr>
            <w:tcW w:w="1360" w:type="dxa"/>
            <w:vMerge w:val="restart"/>
            <w:tcBorders>
              <w:bottom w:val="nil"/>
            </w:tcBorders>
            <w:vAlign w:val="top"/>
          </w:tcPr>
          <w:p w14:paraId="11520CEA">
            <w:pPr>
              <w:rPr>
                <w:rFonts w:ascii="Arial"/>
                <w:sz w:val="21"/>
              </w:rPr>
            </w:pPr>
          </w:p>
          <w:p w14:paraId="5F3C11A5">
            <w:pPr>
              <w:spacing w:line="241" w:lineRule="auto"/>
              <w:rPr>
                <w:rFonts w:ascii="Arial"/>
                <w:sz w:val="21"/>
              </w:rPr>
            </w:pPr>
          </w:p>
          <w:p w14:paraId="4C633530">
            <w:pPr>
              <w:spacing w:line="241" w:lineRule="auto"/>
              <w:rPr>
                <w:rFonts w:ascii="Arial"/>
                <w:sz w:val="21"/>
              </w:rPr>
            </w:pPr>
          </w:p>
          <w:p w14:paraId="525F1246">
            <w:pPr>
              <w:spacing w:line="241" w:lineRule="auto"/>
              <w:rPr>
                <w:rFonts w:ascii="Arial"/>
                <w:sz w:val="21"/>
              </w:rPr>
            </w:pPr>
          </w:p>
          <w:p w14:paraId="0B32D2BD">
            <w:pPr>
              <w:spacing w:line="241" w:lineRule="auto"/>
              <w:rPr>
                <w:rFonts w:ascii="Arial"/>
                <w:sz w:val="21"/>
              </w:rPr>
            </w:pPr>
          </w:p>
          <w:p w14:paraId="65FA7951">
            <w:pPr>
              <w:spacing w:line="241" w:lineRule="auto"/>
              <w:rPr>
                <w:rFonts w:ascii="Arial"/>
                <w:sz w:val="21"/>
              </w:rPr>
            </w:pPr>
          </w:p>
          <w:p w14:paraId="5C2EBD75">
            <w:pPr>
              <w:spacing w:line="241" w:lineRule="auto"/>
              <w:rPr>
                <w:rFonts w:ascii="Arial"/>
                <w:sz w:val="21"/>
              </w:rPr>
            </w:pPr>
          </w:p>
          <w:p w14:paraId="6004ABF8">
            <w:pPr>
              <w:spacing w:line="241" w:lineRule="auto"/>
              <w:rPr>
                <w:rFonts w:ascii="Arial"/>
                <w:sz w:val="21"/>
              </w:rPr>
            </w:pPr>
          </w:p>
          <w:p w14:paraId="778B1949">
            <w:pPr>
              <w:pStyle w:val="51"/>
              <w:spacing w:before="55" w:line="228" w:lineRule="auto"/>
              <w:ind w:left="506"/>
              <w:rPr>
                <w:sz w:val="17"/>
                <w:szCs w:val="17"/>
              </w:rPr>
            </w:pPr>
            <w:r>
              <w:rPr>
                <w:spacing w:val="4"/>
                <w:sz w:val="17"/>
                <w:szCs w:val="17"/>
              </w:rPr>
              <w:t>食糖</w:t>
            </w:r>
          </w:p>
        </w:tc>
        <w:tc>
          <w:tcPr>
            <w:tcW w:w="1581" w:type="dxa"/>
            <w:vMerge w:val="restart"/>
            <w:tcBorders>
              <w:bottom w:val="nil"/>
            </w:tcBorders>
            <w:vAlign w:val="top"/>
          </w:tcPr>
          <w:p w14:paraId="7E3EB3DC">
            <w:pPr>
              <w:rPr>
                <w:rFonts w:ascii="Arial"/>
                <w:sz w:val="21"/>
              </w:rPr>
            </w:pPr>
          </w:p>
          <w:p w14:paraId="7DB6585E">
            <w:pPr>
              <w:spacing w:line="241" w:lineRule="auto"/>
              <w:rPr>
                <w:rFonts w:ascii="Arial"/>
                <w:sz w:val="21"/>
              </w:rPr>
            </w:pPr>
          </w:p>
          <w:p w14:paraId="743060B7">
            <w:pPr>
              <w:spacing w:line="241" w:lineRule="auto"/>
              <w:rPr>
                <w:rFonts w:ascii="Arial"/>
                <w:sz w:val="21"/>
              </w:rPr>
            </w:pPr>
          </w:p>
          <w:p w14:paraId="668D9C52">
            <w:pPr>
              <w:spacing w:line="241" w:lineRule="auto"/>
              <w:rPr>
                <w:rFonts w:ascii="Arial"/>
                <w:sz w:val="21"/>
              </w:rPr>
            </w:pPr>
          </w:p>
          <w:p w14:paraId="6CD72A85">
            <w:pPr>
              <w:spacing w:line="241" w:lineRule="auto"/>
              <w:rPr>
                <w:rFonts w:ascii="Arial"/>
                <w:sz w:val="21"/>
              </w:rPr>
            </w:pPr>
          </w:p>
          <w:p w14:paraId="7EA2944B">
            <w:pPr>
              <w:spacing w:line="241" w:lineRule="auto"/>
              <w:rPr>
                <w:rFonts w:ascii="Arial"/>
                <w:sz w:val="21"/>
              </w:rPr>
            </w:pPr>
          </w:p>
          <w:p w14:paraId="5002B1A0">
            <w:pPr>
              <w:spacing w:line="241" w:lineRule="auto"/>
              <w:rPr>
                <w:rFonts w:ascii="Arial"/>
                <w:sz w:val="21"/>
              </w:rPr>
            </w:pPr>
          </w:p>
          <w:p w14:paraId="46559953">
            <w:pPr>
              <w:spacing w:line="241" w:lineRule="auto"/>
              <w:rPr>
                <w:rFonts w:ascii="Arial"/>
                <w:sz w:val="21"/>
              </w:rPr>
            </w:pPr>
          </w:p>
          <w:p w14:paraId="689A1C00">
            <w:pPr>
              <w:pStyle w:val="51"/>
              <w:spacing w:before="55" w:line="228" w:lineRule="auto"/>
              <w:ind w:left="618"/>
              <w:rPr>
                <w:sz w:val="17"/>
                <w:szCs w:val="17"/>
              </w:rPr>
            </w:pPr>
            <w:r>
              <w:rPr>
                <w:spacing w:val="4"/>
                <w:sz w:val="17"/>
                <w:szCs w:val="17"/>
              </w:rPr>
              <w:t>食糖</w:t>
            </w:r>
          </w:p>
        </w:tc>
        <w:tc>
          <w:tcPr>
            <w:tcW w:w="1586" w:type="dxa"/>
            <w:vAlign w:val="top"/>
          </w:tcPr>
          <w:p w14:paraId="57CC09A4">
            <w:pPr>
              <w:pStyle w:val="51"/>
              <w:spacing w:before="165" w:line="228" w:lineRule="auto"/>
              <w:ind w:left="559"/>
              <w:rPr>
                <w:sz w:val="17"/>
                <w:szCs w:val="17"/>
              </w:rPr>
            </w:pPr>
            <w:r>
              <w:rPr>
                <w:spacing w:val="-2"/>
                <w:sz w:val="17"/>
                <w:szCs w:val="17"/>
              </w:rPr>
              <w:t>白砂糖</w:t>
            </w:r>
          </w:p>
        </w:tc>
        <w:tc>
          <w:tcPr>
            <w:tcW w:w="682" w:type="dxa"/>
            <w:vAlign w:val="top"/>
          </w:tcPr>
          <w:p w14:paraId="73D5C8A2">
            <w:pPr>
              <w:pStyle w:val="51"/>
              <w:spacing w:before="166" w:line="230" w:lineRule="auto"/>
              <w:ind w:left="173"/>
              <w:rPr>
                <w:sz w:val="17"/>
                <w:szCs w:val="17"/>
              </w:rPr>
            </w:pPr>
            <w:r>
              <w:rPr>
                <w:spacing w:val="2"/>
                <w:sz w:val="17"/>
                <w:szCs w:val="17"/>
              </w:rPr>
              <w:t>一般</w:t>
            </w:r>
          </w:p>
        </w:tc>
        <w:tc>
          <w:tcPr>
            <w:tcW w:w="8563" w:type="dxa"/>
            <w:vAlign w:val="top"/>
          </w:tcPr>
          <w:p w14:paraId="20B06FDF">
            <w:pPr>
              <w:pStyle w:val="51"/>
              <w:spacing w:before="153" w:line="227" w:lineRule="auto"/>
              <w:ind w:left="40"/>
              <w:rPr>
                <w:sz w:val="17"/>
                <w:szCs w:val="17"/>
              </w:rPr>
            </w:pPr>
            <w:r>
              <w:rPr>
                <w:spacing w:val="9"/>
                <w:sz w:val="17"/>
                <w:szCs w:val="17"/>
              </w:rPr>
              <w:t>蔗糖分、还原糖分、色值、干燥失重、二氧化硫残留量、螨</w:t>
            </w:r>
          </w:p>
        </w:tc>
      </w:tr>
      <w:tr w14:paraId="076E0A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459" w:type="dxa"/>
            <w:vMerge w:val="continue"/>
            <w:tcBorders>
              <w:top w:val="nil"/>
              <w:bottom w:val="nil"/>
            </w:tcBorders>
            <w:vAlign w:val="top"/>
          </w:tcPr>
          <w:p w14:paraId="2A923F95">
            <w:pPr>
              <w:rPr>
                <w:rFonts w:ascii="Arial"/>
                <w:sz w:val="21"/>
              </w:rPr>
            </w:pPr>
          </w:p>
        </w:tc>
        <w:tc>
          <w:tcPr>
            <w:tcW w:w="942" w:type="dxa"/>
            <w:vMerge w:val="continue"/>
            <w:tcBorders>
              <w:top w:val="nil"/>
              <w:bottom w:val="nil"/>
            </w:tcBorders>
            <w:vAlign w:val="top"/>
          </w:tcPr>
          <w:p w14:paraId="021C310C">
            <w:pPr>
              <w:rPr>
                <w:rFonts w:ascii="Arial"/>
                <w:sz w:val="21"/>
              </w:rPr>
            </w:pPr>
          </w:p>
        </w:tc>
        <w:tc>
          <w:tcPr>
            <w:tcW w:w="1360" w:type="dxa"/>
            <w:vMerge w:val="continue"/>
            <w:tcBorders>
              <w:top w:val="nil"/>
              <w:bottom w:val="nil"/>
            </w:tcBorders>
            <w:vAlign w:val="top"/>
          </w:tcPr>
          <w:p w14:paraId="02424130">
            <w:pPr>
              <w:rPr>
                <w:rFonts w:ascii="Arial"/>
                <w:sz w:val="21"/>
              </w:rPr>
            </w:pPr>
          </w:p>
        </w:tc>
        <w:tc>
          <w:tcPr>
            <w:tcW w:w="1581" w:type="dxa"/>
            <w:vMerge w:val="continue"/>
            <w:tcBorders>
              <w:top w:val="nil"/>
              <w:bottom w:val="nil"/>
            </w:tcBorders>
            <w:vAlign w:val="top"/>
          </w:tcPr>
          <w:p w14:paraId="3EAA08CF">
            <w:pPr>
              <w:rPr>
                <w:rFonts w:ascii="Arial"/>
                <w:sz w:val="21"/>
              </w:rPr>
            </w:pPr>
          </w:p>
        </w:tc>
        <w:tc>
          <w:tcPr>
            <w:tcW w:w="1586" w:type="dxa"/>
            <w:vAlign w:val="top"/>
          </w:tcPr>
          <w:p w14:paraId="59311DFD">
            <w:pPr>
              <w:pStyle w:val="51"/>
              <w:spacing w:before="165" w:line="227" w:lineRule="auto"/>
              <w:ind w:left="535"/>
              <w:rPr>
                <w:sz w:val="17"/>
                <w:szCs w:val="17"/>
              </w:rPr>
            </w:pPr>
            <w:r>
              <w:rPr>
                <w:spacing w:val="4"/>
                <w:sz w:val="17"/>
                <w:szCs w:val="17"/>
              </w:rPr>
              <w:t>绵白糖</w:t>
            </w:r>
          </w:p>
        </w:tc>
        <w:tc>
          <w:tcPr>
            <w:tcW w:w="682" w:type="dxa"/>
            <w:vAlign w:val="top"/>
          </w:tcPr>
          <w:p w14:paraId="7EA95F96">
            <w:pPr>
              <w:pStyle w:val="51"/>
              <w:spacing w:before="165" w:line="230" w:lineRule="auto"/>
              <w:ind w:left="173"/>
              <w:rPr>
                <w:sz w:val="17"/>
                <w:szCs w:val="17"/>
              </w:rPr>
            </w:pPr>
            <w:r>
              <w:rPr>
                <w:spacing w:val="2"/>
                <w:sz w:val="17"/>
                <w:szCs w:val="17"/>
              </w:rPr>
              <w:t>一般</w:t>
            </w:r>
          </w:p>
        </w:tc>
        <w:tc>
          <w:tcPr>
            <w:tcW w:w="8563" w:type="dxa"/>
            <w:vAlign w:val="top"/>
          </w:tcPr>
          <w:p w14:paraId="3F3812E5">
            <w:pPr>
              <w:pStyle w:val="51"/>
              <w:spacing w:before="152" w:line="227" w:lineRule="auto"/>
              <w:ind w:left="45"/>
              <w:rPr>
                <w:sz w:val="17"/>
                <w:szCs w:val="17"/>
              </w:rPr>
            </w:pPr>
            <w:r>
              <w:rPr>
                <w:spacing w:val="9"/>
                <w:sz w:val="17"/>
                <w:szCs w:val="17"/>
              </w:rPr>
              <w:t>总糖分、还原糖分、色值、干燥失重、二氧化硫残留量、螨</w:t>
            </w:r>
          </w:p>
        </w:tc>
      </w:tr>
      <w:tr w14:paraId="4FA49A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4" w:hRule="atLeast"/>
        </w:trPr>
        <w:tc>
          <w:tcPr>
            <w:tcW w:w="459" w:type="dxa"/>
            <w:vMerge w:val="continue"/>
            <w:tcBorders>
              <w:top w:val="nil"/>
              <w:bottom w:val="nil"/>
            </w:tcBorders>
            <w:vAlign w:val="top"/>
          </w:tcPr>
          <w:p w14:paraId="740D7778">
            <w:pPr>
              <w:rPr>
                <w:rFonts w:ascii="Arial"/>
                <w:sz w:val="21"/>
              </w:rPr>
            </w:pPr>
          </w:p>
        </w:tc>
        <w:tc>
          <w:tcPr>
            <w:tcW w:w="942" w:type="dxa"/>
            <w:vMerge w:val="continue"/>
            <w:tcBorders>
              <w:top w:val="nil"/>
              <w:bottom w:val="nil"/>
            </w:tcBorders>
            <w:vAlign w:val="top"/>
          </w:tcPr>
          <w:p w14:paraId="078E4806">
            <w:pPr>
              <w:rPr>
                <w:rFonts w:ascii="Arial"/>
                <w:sz w:val="21"/>
              </w:rPr>
            </w:pPr>
          </w:p>
        </w:tc>
        <w:tc>
          <w:tcPr>
            <w:tcW w:w="1360" w:type="dxa"/>
            <w:vMerge w:val="continue"/>
            <w:tcBorders>
              <w:top w:val="nil"/>
              <w:bottom w:val="nil"/>
            </w:tcBorders>
            <w:vAlign w:val="top"/>
          </w:tcPr>
          <w:p w14:paraId="40A4864D">
            <w:pPr>
              <w:rPr>
                <w:rFonts w:ascii="Arial"/>
                <w:sz w:val="21"/>
              </w:rPr>
            </w:pPr>
          </w:p>
        </w:tc>
        <w:tc>
          <w:tcPr>
            <w:tcW w:w="1581" w:type="dxa"/>
            <w:vMerge w:val="continue"/>
            <w:tcBorders>
              <w:top w:val="nil"/>
              <w:bottom w:val="nil"/>
            </w:tcBorders>
            <w:vAlign w:val="top"/>
          </w:tcPr>
          <w:p w14:paraId="63974E31">
            <w:pPr>
              <w:rPr>
                <w:rFonts w:ascii="Arial"/>
                <w:sz w:val="21"/>
              </w:rPr>
            </w:pPr>
          </w:p>
        </w:tc>
        <w:tc>
          <w:tcPr>
            <w:tcW w:w="1586" w:type="dxa"/>
            <w:vAlign w:val="top"/>
          </w:tcPr>
          <w:p w14:paraId="2DCD719F">
            <w:pPr>
              <w:pStyle w:val="51"/>
              <w:spacing w:before="197" w:line="228" w:lineRule="auto"/>
              <w:ind w:left="540"/>
              <w:rPr>
                <w:sz w:val="17"/>
                <w:szCs w:val="17"/>
              </w:rPr>
            </w:pPr>
            <w:r>
              <w:rPr>
                <w:spacing w:val="3"/>
                <w:sz w:val="17"/>
                <w:szCs w:val="17"/>
              </w:rPr>
              <w:t>赤砂糖</w:t>
            </w:r>
          </w:p>
        </w:tc>
        <w:tc>
          <w:tcPr>
            <w:tcW w:w="682" w:type="dxa"/>
            <w:vAlign w:val="top"/>
          </w:tcPr>
          <w:p w14:paraId="547ACB42">
            <w:pPr>
              <w:pStyle w:val="51"/>
              <w:spacing w:before="198" w:line="230" w:lineRule="auto"/>
              <w:ind w:left="173"/>
              <w:rPr>
                <w:sz w:val="17"/>
                <w:szCs w:val="17"/>
              </w:rPr>
            </w:pPr>
            <w:r>
              <w:rPr>
                <w:spacing w:val="2"/>
                <w:sz w:val="17"/>
                <w:szCs w:val="17"/>
              </w:rPr>
              <w:t>一般</w:t>
            </w:r>
          </w:p>
        </w:tc>
        <w:tc>
          <w:tcPr>
            <w:tcW w:w="8563" w:type="dxa"/>
            <w:vAlign w:val="top"/>
          </w:tcPr>
          <w:p w14:paraId="14441768">
            <w:pPr>
              <w:pStyle w:val="51"/>
              <w:spacing w:before="57" w:line="248" w:lineRule="auto"/>
              <w:ind w:left="45" w:right="26"/>
              <w:rPr>
                <w:sz w:val="17"/>
                <w:szCs w:val="17"/>
              </w:rPr>
            </w:pPr>
            <w:r>
              <w:rPr>
                <w:spacing w:val="8"/>
                <w:sz w:val="17"/>
                <w:szCs w:val="17"/>
              </w:rPr>
              <w:t>总糖分、不溶于水杂质、干燥失重、二氧化硫残留</w:t>
            </w:r>
            <w:r>
              <w:rPr>
                <w:spacing w:val="7"/>
                <w:sz w:val="17"/>
                <w:szCs w:val="17"/>
              </w:rPr>
              <w:t>量、螨、合成着色剂(柠檬黄、新红、苋菜红、胭脂红、</w:t>
            </w:r>
            <w:r>
              <w:rPr>
                <w:spacing w:val="-34"/>
                <w:sz w:val="17"/>
                <w:szCs w:val="17"/>
              </w:rPr>
              <w:t xml:space="preserve"> </w:t>
            </w:r>
            <w:r>
              <w:rPr>
                <w:spacing w:val="7"/>
                <w:sz w:val="17"/>
                <w:szCs w:val="17"/>
              </w:rPr>
              <w:t>日</w:t>
            </w:r>
            <w:r>
              <w:rPr>
                <w:spacing w:val="8"/>
                <w:sz w:val="17"/>
                <w:szCs w:val="17"/>
              </w:rPr>
              <w:t>落黄、诱惑红、酸性红、喹啉黄、赤藓红)</w:t>
            </w:r>
          </w:p>
        </w:tc>
      </w:tr>
      <w:tr w14:paraId="579C1F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459" w:type="dxa"/>
            <w:vMerge w:val="continue"/>
            <w:tcBorders>
              <w:top w:val="nil"/>
              <w:bottom w:val="nil"/>
            </w:tcBorders>
            <w:vAlign w:val="top"/>
          </w:tcPr>
          <w:p w14:paraId="480AEB0F">
            <w:pPr>
              <w:rPr>
                <w:rFonts w:ascii="Arial"/>
                <w:sz w:val="21"/>
              </w:rPr>
            </w:pPr>
          </w:p>
        </w:tc>
        <w:tc>
          <w:tcPr>
            <w:tcW w:w="942" w:type="dxa"/>
            <w:vMerge w:val="continue"/>
            <w:tcBorders>
              <w:top w:val="nil"/>
              <w:bottom w:val="nil"/>
            </w:tcBorders>
            <w:vAlign w:val="top"/>
          </w:tcPr>
          <w:p w14:paraId="4F8A4F58">
            <w:pPr>
              <w:rPr>
                <w:rFonts w:ascii="Arial"/>
                <w:sz w:val="21"/>
              </w:rPr>
            </w:pPr>
          </w:p>
        </w:tc>
        <w:tc>
          <w:tcPr>
            <w:tcW w:w="1360" w:type="dxa"/>
            <w:vMerge w:val="continue"/>
            <w:tcBorders>
              <w:top w:val="nil"/>
              <w:bottom w:val="nil"/>
            </w:tcBorders>
            <w:vAlign w:val="top"/>
          </w:tcPr>
          <w:p w14:paraId="01CDB8F1">
            <w:pPr>
              <w:rPr>
                <w:rFonts w:ascii="Arial"/>
                <w:sz w:val="21"/>
              </w:rPr>
            </w:pPr>
          </w:p>
        </w:tc>
        <w:tc>
          <w:tcPr>
            <w:tcW w:w="1581" w:type="dxa"/>
            <w:vMerge w:val="continue"/>
            <w:tcBorders>
              <w:top w:val="nil"/>
              <w:bottom w:val="nil"/>
            </w:tcBorders>
            <w:vAlign w:val="top"/>
          </w:tcPr>
          <w:p w14:paraId="3E428735">
            <w:pPr>
              <w:rPr>
                <w:rFonts w:ascii="Arial"/>
                <w:sz w:val="21"/>
              </w:rPr>
            </w:pPr>
          </w:p>
        </w:tc>
        <w:tc>
          <w:tcPr>
            <w:tcW w:w="1586" w:type="dxa"/>
            <w:vAlign w:val="top"/>
          </w:tcPr>
          <w:p w14:paraId="35496AEE">
            <w:pPr>
              <w:pStyle w:val="51"/>
              <w:spacing w:before="199" w:line="228" w:lineRule="auto"/>
              <w:ind w:left="621"/>
              <w:rPr>
                <w:sz w:val="17"/>
                <w:szCs w:val="17"/>
              </w:rPr>
            </w:pPr>
            <w:r>
              <w:rPr>
                <w:spacing w:val="3"/>
                <w:sz w:val="17"/>
                <w:szCs w:val="17"/>
              </w:rPr>
              <w:t>红糖</w:t>
            </w:r>
          </w:p>
        </w:tc>
        <w:tc>
          <w:tcPr>
            <w:tcW w:w="682" w:type="dxa"/>
            <w:vAlign w:val="top"/>
          </w:tcPr>
          <w:p w14:paraId="64C4AFB8">
            <w:pPr>
              <w:pStyle w:val="51"/>
              <w:spacing w:before="199" w:line="230" w:lineRule="auto"/>
              <w:ind w:left="173"/>
              <w:rPr>
                <w:sz w:val="17"/>
                <w:szCs w:val="17"/>
              </w:rPr>
            </w:pPr>
            <w:r>
              <w:rPr>
                <w:spacing w:val="2"/>
                <w:sz w:val="17"/>
                <w:szCs w:val="17"/>
              </w:rPr>
              <w:t>一般</w:t>
            </w:r>
          </w:p>
        </w:tc>
        <w:tc>
          <w:tcPr>
            <w:tcW w:w="8563" w:type="dxa"/>
            <w:vAlign w:val="top"/>
          </w:tcPr>
          <w:p w14:paraId="311BDD39">
            <w:pPr>
              <w:pStyle w:val="51"/>
              <w:spacing w:before="58" w:line="248" w:lineRule="auto"/>
              <w:ind w:left="45" w:right="26"/>
              <w:rPr>
                <w:sz w:val="17"/>
                <w:szCs w:val="17"/>
              </w:rPr>
            </w:pPr>
            <w:r>
              <w:rPr>
                <w:spacing w:val="8"/>
                <w:sz w:val="17"/>
                <w:szCs w:val="17"/>
              </w:rPr>
              <w:t>总糖分、不溶于水杂质、干燥失重、二氧化硫残留</w:t>
            </w:r>
            <w:r>
              <w:rPr>
                <w:spacing w:val="7"/>
                <w:sz w:val="17"/>
                <w:szCs w:val="17"/>
              </w:rPr>
              <w:t>量、螨、合成着色剂(柠檬黄、新红、苋菜红、胭脂红、</w:t>
            </w:r>
            <w:r>
              <w:rPr>
                <w:spacing w:val="-34"/>
                <w:sz w:val="17"/>
                <w:szCs w:val="17"/>
              </w:rPr>
              <w:t xml:space="preserve"> </w:t>
            </w:r>
            <w:r>
              <w:rPr>
                <w:spacing w:val="7"/>
                <w:sz w:val="17"/>
                <w:szCs w:val="17"/>
              </w:rPr>
              <w:t>日</w:t>
            </w:r>
            <w:r>
              <w:rPr>
                <w:spacing w:val="8"/>
                <w:sz w:val="17"/>
                <w:szCs w:val="17"/>
              </w:rPr>
              <w:t>落黄、诱惑红、酸性红、喹啉黄、赤藓红)</w:t>
            </w:r>
          </w:p>
        </w:tc>
      </w:tr>
      <w:tr w14:paraId="45CA68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459" w:type="dxa"/>
            <w:vMerge w:val="continue"/>
            <w:tcBorders>
              <w:top w:val="nil"/>
              <w:bottom w:val="nil"/>
            </w:tcBorders>
            <w:vAlign w:val="top"/>
          </w:tcPr>
          <w:p w14:paraId="50731727">
            <w:pPr>
              <w:rPr>
                <w:rFonts w:ascii="Arial"/>
                <w:sz w:val="21"/>
              </w:rPr>
            </w:pPr>
          </w:p>
        </w:tc>
        <w:tc>
          <w:tcPr>
            <w:tcW w:w="942" w:type="dxa"/>
            <w:vMerge w:val="continue"/>
            <w:tcBorders>
              <w:top w:val="nil"/>
              <w:bottom w:val="nil"/>
            </w:tcBorders>
            <w:vAlign w:val="top"/>
          </w:tcPr>
          <w:p w14:paraId="1B205E55">
            <w:pPr>
              <w:rPr>
                <w:rFonts w:ascii="Arial"/>
                <w:sz w:val="21"/>
              </w:rPr>
            </w:pPr>
          </w:p>
        </w:tc>
        <w:tc>
          <w:tcPr>
            <w:tcW w:w="1360" w:type="dxa"/>
            <w:vMerge w:val="continue"/>
            <w:tcBorders>
              <w:top w:val="nil"/>
              <w:bottom w:val="nil"/>
            </w:tcBorders>
            <w:vAlign w:val="top"/>
          </w:tcPr>
          <w:p w14:paraId="39816647">
            <w:pPr>
              <w:rPr>
                <w:rFonts w:ascii="Arial"/>
                <w:sz w:val="21"/>
              </w:rPr>
            </w:pPr>
          </w:p>
        </w:tc>
        <w:tc>
          <w:tcPr>
            <w:tcW w:w="1581" w:type="dxa"/>
            <w:vMerge w:val="continue"/>
            <w:tcBorders>
              <w:top w:val="nil"/>
              <w:bottom w:val="nil"/>
            </w:tcBorders>
            <w:vAlign w:val="top"/>
          </w:tcPr>
          <w:p w14:paraId="4B995C41">
            <w:pPr>
              <w:rPr>
                <w:rFonts w:ascii="Arial"/>
                <w:sz w:val="21"/>
              </w:rPr>
            </w:pPr>
          </w:p>
        </w:tc>
        <w:tc>
          <w:tcPr>
            <w:tcW w:w="1586" w:type="dxa"/>
            <w:vAlign w:val="top"/>
          </w:tcPr>
          <w:p w14:paraId="48A70564">
            <w:pPr>
              <w:pStyle w:val="51"/>
              <w:spacing w:before="199" w:line="228" w:lineRule="auto"/>
              <w:ind w:left="622"/>
              <w:rPr>
                <w:sz w:val="17"/>
                <w:szCs w:val="17"/>
              </w:rPr>
            </w:pPr>
            <w:r>
              <w:rPr>
                <w:spacing w:val="3"/>
                <w:sz w:val="17"/>
                <w:szCs w:val="17"/>
              </w:rPr>
              <w:t>冰糖</w:t>
            </w:r>
          </w:p>
        </w:tc>
        <w:tc>
          <w:tcPr>
            <w:tcW w:w="682" w:type="dxa"/>
            <w:vAlign w:val="top"/>
          </w:tcPr>
          <w:p w14:paraId="02C2483D">
            <w:pPr>
              <w:pStyle w:val="51"/>
              <w:spacing w:before="199" w:line="230" w:lineRule="auto"/>
              <w:ind w:left="173"/>
              <w:rPr>
                <w:sz w:val="17"/>
                <w:szCs w:val="17"/>
              </w:rPr>
            </w:pPr>
            <w:r>
              <w:rPr>
                <w:spacing w:val="2"/>
                <w:sz w:val="17"/>
                <w:szCs w:val="17"/>
              </w:rPr>
              <w:t>一般</w:t>
            </w:r>
          </w:p>
        </w:tc>
        <w:tc>
          <w:tcPr>
            <w:tcW w:w="8563" w:type="dxa"/>
            <w:vAlign w:val="top"/>
          </w:tcPr>
          <w:p w14:paraId="05CE4D74">
            <w:pPr>
              <w:pStyle w:val="51"/>
              <w:spacing w:before="58" w:line="248" w:lineRule="auto"/>
              <w:ind w:left="75" w:right="17" w:hanging="35"/>
              <w:rPr>
                <w:sz w:val="17"/>
                <w:szCs w:val="17"/>
              </w:rPr>
            </w:pPr>
            <w:r>
              <w:rPr>
                <w:spacing w:val="9"/>
                <w:sz w:val="17"/>
                <w:szCs w:val="17"/>
              </w:rPr>
              <w:t>蔗糖分、还原糖分、色值、干燥失重、二氧化硫残留量、螨、合成着色剂(柠檬黄、新红、</w:t>
            </w:r>
            <w:r>
              <w:rPr>
                <w:spacing w:val="8"/>
                <w:sz w:val="17"/>
                <w:szCs w:val="17"/>
              </w:rPr>
              <w:t>苋菜红、胭脂红、</w:t>
            </w:r>
            <w:r>
              <w:rPr>
                <w:spacing w:val="7"/>
                <w:sz w:val="17"/>
                <w:szCs w:val="17"/>
              </w:rPr>
              <w:t>日落黄、诱惑红、酸性红、喹啉黄、赤藓红)</w:t>
            </w:r>
          </w:p>
        </w:tc>
      </w:tr>
      <w:tr w14:paraId="47A0C6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4" w:hRule="atLeast"/>
        </w:trPr>
        <w:tc>
          <w:tcPr>
            <w:tcW w:w="459" w:type="dxa"/>
            <w:vMerge w:val="continue"/>
            <w:tcBorders>
              <w:top w:val="nil"/>
              <w:bottom w:val="nil"/>
            </w:tcBorders>
            <w:vAlign w:val="top"/>
          </w:tcPr>
          <w:p w14:paraId="2E83DE90">
            <w:pPr>
              <w:rPr>
                <w:rFonts w:ascii="Arial"/>
                <w:sz w:val="21"/>
              </w:rPr>
            </w:pPr>
          </w:p>
        </w:tc>
        <w:tc>
          <w:tcPr>
            <w:tcW w:w="942" w:type="dxa"/>
            <w:vMerge w:val="continue"/>
            <w:tcBorders>
              <w:top w:val="nil"/>
              <w:bottom w:val="nil"/>
            </w:tcBorders>
            <w:vAlign w:val="top"/>
          </w:tcPr>
          <w:p w14:paraId="7C18C5E9">
            <w:pPr>
              <w:rPr>
                <w:rFonts w:ascii="Arial"/>
                <w:sz w:val="21"/>
              </w:rPr>
            </w:pPr>
          </w:p>
        </w:tc>
        <w:tc>
          <w:tcPr>
            <w:tcW w:w="1360" w:type="dxa"/>
            <w:vMerge w:val="continue"/>
            <w:tcBorders>
              <w:top w:val="nil"/>
              <w:bottom w:val="nil"/>
            </w:tcBorders>
            <w:vAlign w:val="top"/>
          </w:tcPr>
          <w:p w14:paraId="0448C065">
            <w:pPr>
              <w:rPr>
                <w:rFonts w:ascii="Arial"/>
                <w:sz w:val="21"/>
              </w:rPr>
            </w:pPr>
          </w:p>
        </w:tc>
        <w:tc>
          <w:tcPr>
            <w:tcW w:w="1581" w:type="dxa"/>
            <w:vMerge w:val="continue"/>
            <w:tcBorders>
              <w:top w:val="nil"/>
              <w:bottom w:val="nil"/>
            </w:tcBorders>
            <w:vAlign w:val="top"/>
          </w:tcPr>
          <w:p w14:paraId="3A550EE5">
            <w:pPr>
              <w:rPr>
                <w:rFonts w:ascii="Arial"/>
                <w:sz w:val="21"/>
              </w:rPr>
            </w:pPr>
          </w:p>
        </w:tc>
        <w:tc>
          <w:tcPr>
            <w:tcW w:w="1586" w:type="dxa"/>
            <w:vAlign w:val="top"/>
          </w:tcPr>
          <w:p w14:paraId="296368C3">
            <w:pPr>
              <w:pStyle w:val="51"/>
              <w:spacing w:before="200" w:line="228" w:lineRule="auto"/>
              <w:ind w:left="533"/>
              <w:rPr>
                <w:sz w:val="17"/>
                <w:szCs w:val="17"/>
              </w:rPr>
            </w:pPr>
            <w:r>
              <w:rPr>
                <w:spacing w:val="5"/>
                <w:sz w:val="17"/>
                <w:szCs w:val="17"/>
              </w:rPr>
              <w:t>冰片糖</w:t>
            </w:r>
          </w:p>
        </w:tc>
        <w:tc>
          <w:tcPr>
            <w:tcW w:w="682" w:type="dxa"/>
            <w:vAlign w:val="top"/>
          </w:tcPr>
          <w:p w14:paraId="6D2034E1">
            <w:pPr>
              <w:pStyle w:val="51"/>
              <w:spacing w:before="200" w:line="230" w:lineRule="auto"/>
              <w:ind w:left="173"/>
              <w:rPr>
                <w:sz w:val="17"/>
                <w:szCs w:val="17"/>
              </w:rPr>
            </w:pPr>
            <w:r>
              <w:rPr>
                <w:spacing w:val="2"/>
                <w:sz w:val="17"/>
                <w:szCs w:val="17"/>
              </w:rPr>
              <w:t>一般</w:t>
            </w:r>
          </w:p>
        </w:tc>
        <w:tc>
          <w:tcPr>
            <w:tcW w:w="8563" w:type="dxa"/>
            <w:vAlign w:val="top"/>
          </w:tcPr>
          <w:p w14:paraId="7098462F">
            <w:pPr>
              <w:pStyle w:val="51"/>
              <w:spacing w:before="59" w:line="247" w:lineRule="auto"/>
              <w:ind w:left="36" w:firstLine="8"/>
              <w:rPr>
                <w:sz w:val="17"/>
                <w:szCs w:val="17"/>
              </w:rPr>
            </w:pPr>
            <w:r>
              <w:rPr>
                <w:spacing w:val="5"/>
                <w:sz w:val="17"/>
                <w:szCs w:val="17"/>
              </w:rPr>
              <w:t>总糖分、还原糖分、干燥失重、二氧化硫残留量、螨、合成着色剂</w:t>
            </w:r>
            <w:r>
              <w:rPr>
                <w:spacing w:val="4"/>
                <w:sz w:val="17"/>
                <w:szCs w:val="17"/>
              </w:rPr>
              <w:t>(柠檬黄、新红、苋菜红、胭脂红、</w:t>
            </w:r>
            <w:r>
              <w:rPr>
                <w:spacing w:val="-44"/>
                <w:sz w:val="17"/>
                <w:szCs w:val="17"/>
              </w:rPr>
              <w:t xml:space="preserve"> </w:t>
            </w:r>
            <w:r>
              <w:rPr>
                <w:spacing w:val="4"/>
                <w:sz w:val="17"/>
                <w:szCs w:val="17"/>
              </w:rPr>
              <w:t>日落黄、</w:t>
            </w:r>
            <w:r>
              <w:rPr>
                <w:spacing w:val="8"/>
                <w:sz w:val="17"/>
                <w:szCs w:val="17"/>
              </w:rPr>
              <w:t>诱惑红、酸性红、喹啉黄、赤藓红)</w:t>
            </w:r>
          </w:p>
        </w:tc>
      </w:tr>
      <w:tr w14:paraId="4CE0A1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459" w:type="dxa"/>
            <w:vMerge w:val="continue"/>
            <w:tcBorders>
              <w:top w:val="nil"/>
              <w:bottom w:val="nil"/>
            </w:tcBorders>
            <w:vAlign w:val="top"/>
          </w:tcPr>
          <w:p w14:paraId="608D2472">
            <w:pPr>
              <w:rPr>
                <w:rFonts w:ascii="Arial"/>
                <w:sz w:val="21"/>
              </w:rPr>
            </w:pPr>
          </w:p>
        </w:tc>
        <w:tc>
          <w:tcPr>
            <w:tcW w:w="942" w:type="dxa"/>
            <w:vMerge w:val="continue"/>
            <w:tcBorders>
              <w:top w:val="nil"/>
              <w:bottom w:val="nil"/>
            </w:tcBorders>
            <w:vAlign w:val="top"/>
          </w:tcPr>
          <w:p w14:paraId="50914464">
            <w:pPr>
              <w:rPr>
                <w:rFonts w:ascii="Arial"/>
                <w:sz w:val="21"/>
              </w:rPr>
            </w:pPr>
          </w:p>
        </w:tc>
        <w:tc>
          <w:tcPr>
            <w:tcW w:w="1360" w:type="dxa"/>
            <w:vMerge w:val="continue"/>
            <w:tcBorders>
              <w:top w:val="nil"/>
              <w:bottom w:val="nil"/>
            </w:tcBorders>
            <w:vAlign w:val="top"/>
          </w:tcPr>
          <w:p w14:paraId="6099A508">
            <w:pPr>
              <w:rPr>
                <w:rFonts w:ascii="Arial"/>
                <w:sz w:val="21"/>
              </w:rPr>
            </w:pPr>
          </w:p>
        </w:tc>
        <w:tc>
          <w:tcPr>
            <w:tcW w:w="1581" w:type="dxa"/>
            <w:vMerge w:val="continue"/>
            <w:tcBorders>
              <w:top w:val="nil"/>
              <w:bottom w:val="nil"/>
            </w:tcBorders>
            <w:vAlign w:val="top"/>
          </w:tcPr>
          <w:p w14:paraId="7D8BEC51">
            <w:pPr>
              <w:rPr>
                <w:rFonts w:ascii="Arial"/>
                <w:sz w:val="21"/>
              </w:rPr>
            </w:pPr>
          </w:p>
        </w:tc>
        <w:tc>
          <w:tcPr>
            <w:tcW w:w="1586" w:type="dxa"/>
            <w:vAlign w:val="top"/>
          </w:tcPr>
          <w:p w14:paraId="33F7DBB2">
            <w:pPr>
              <w:pStyle w:val="51"/>
              <w:spacing w:before="167" w:line="228" w:lineRule="auto"/>
              <w:ind w:left="625"/>
              <w:rPr>
                <w:sz w:val="17"/>
                <w:szCs w:val="17"/>
              </w:rPr>
            </w:pPr>
            <w:r>
              <w:rPr>
                <w:spacing w:val="1"/>
                <w:sz w:val="17"/>
                <w:szCs w:val="17"/>
              </w:rPr>
              <w:t>方糖</w:t>
            </w:r>
          </w:p>
        </w:tc>
        <w:tc>
          <w:tcPr>
            <w:tcW w:w="682" w:type="dxa"/>
            <w:vAlign w:val="top"/>
          </w:tcPr>
          <w:p w14:paraId="48546A68">
            <w:pPr>
              <w:pStyle w:val="51"/>
              <w:spacing w:before="168" w:line="230" w:lineRule="auto"/>
              <w:ind w:left="173"/>
              <w:rPr>
                <w:sz w:val="17"/>
                <w:szCs w:val="17"/>
              </w:rPr>
            </w:pPr>
            <w:r>
              <w:rPr>
                <w:spacing w:val="2"/>
                <w:sz w:val="17"/>
                <w:szCs w:val="17"/>
              </w:rPr>
              <w:t>一般</w:t>
            </w:r>
          </w:p>
        </w:tc>
        <w:tc>
          <w:tcPr>
            <w:tcW w:w="8563" w:type="dxa"/>
            <w:vAlign w:val="top"/>
          </w:tcPr>
          <w:p w14:paraId="675F5F64">
            <w:pPr>
              <w:pStyle w:val="51"/>
              <w:spacing w:before="167" w:line="227" w:lineRule="auto"/>
              <w:ind w:left="40"/>
              <w:rPr>
                <w:sz w:val="17"/>
                <w:szCs w:val="17"/>
              </w:rPr>
            </w:pPr>
            <w:r>
              <w:rPr>
                <w:spacing w:val="9"/>
                <w:sz w:val="17"/>
                <w:szCs w:val="17"/>
              </w:rPr>
              <w:t>蔗糖分、还原糖分、色值、干燥失重、二氧化硫残留量、螨</w:t>
            </w:r>
          </w:p>
        </w:tc>
      </w:tr>
      <w:tr w14:paraId="2BF3D9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7" w:hRule="atLeast"/>
        </w:trPr>
        <w:tc>
          <w:tcPr>
            <w:tcW w:w="459" w:type="dxa"/>
            <w:vMerge w:val="continue"/>
            <w:tcBorders>
              <w:top w:val="nil"/>
            </w:tcBorders>
            <w:vAlign w:val="top"/>
          </w:tcPr>
          <w:p w14:paraId="5F24B9B3">
            <w:pPr>
              <w:rPr>
                <w:rFonts w:ascii="Arial"/>
                <w:sz w:val="21"/>
              </w:rPr>
            </w:pPr>
          </w:p>
        </w:tc>
        <w:tc>
          <w:tcPr>
            <w:tcW w:w="942" w:type="dxa"/>
            <w:vMerge w:val="continue"/>
            <w:tcBorders>
              <w:top w:val="nil"/>
            </w:tcBorders>
            <w:vAlign w:val="top"/>
          </w:tcPr>
          <w:p w14:paraId="0EB5DDEC">
            <w:pPr>
              <w:rPr>
                <w:rFonts w:ascii="Arial"/>
                <w:sz w:val="21"/>
              </w:rPr>
            </w:pPr>
          </w:p>
        </w:tc>
        <w:tc>
          <w:tcPr>
            <w:tcW w:w="1360" w:type="dxa"/>
            <w:vMerge w:val="continue"/>
            <w:tcBorders>
              <w:top w:val="nil"/>
            </w:tcBorders>
            <w:vAlign w:val="top"/>
          </w:tcPr>
          <w:p w14:paraId="7622DAD0">
            <w:pPr>
              <w:rPr>
                <w:rFonts w:ascii="Arial"/>
                <w:sz w:val="21"/>
              </w:rPr>
            </w:pPr>
          </w:p>
        </w:tc>
        <w:tc>
          <w:tcPr>
            <w:tcW w:w="1581" w:type="dxa"/>
            <w:vMerge w:val="continue"/>
            <w:tcBorders>
              <w:top w:val="nil"/>
            </w:tcBorders>
            <w:vAlign w:val="top"/>
          </w:tcPr>
          <w:p w14:paraId="329D0310">
            <w:pPr>
              <w:rPr>
                <w:rFonts w:ascii="Arial"/>
                <w:sz w:val="21"/>
              </w:rPr>
            </w:pPr>
          </w:p>
        </w:tc>
        <w:tc>
          <w:tcPr>
            <w:tcW w:w="1586" w:type="dxa"/>
            <w:vAlign w:val="top"/>
          </w:tcPr>
          <w:p w14:paraId="6DD04B3A">
            <w:pPr>
              <w:pStyle w:val="51"/>
              <w:spacing w:before="241" w:line="227" w:lineRule="auto"/>
              <w:ind w:left="533"/>
              <w:rPr>
                <w:sz w:val="17"/>
                <w:szCs w:val="17"/>
              </w:rPr>
            </w:pPr>
            <w:r>
              <w:rPr>
                <w:spacing w:val="5"/>
                <w:sz w:val="17"/>
                <w:szCs w:val="17"/>
              </w:rPr>
              <w:t>其他糖</w:t>
            </w:r>
          </w:p>
        </w:tc>
        <w:tc>
          <w:tcPr>
            <w:tcW w:w="682" w:type="dxa"/>
            <w:vAlign w:val="top"/>
          </w:tcPr>
          <w:p w14:paraId="684100B6">
            <w:pPr>
              <w:pStyle w:val="51"/>
              <w:spacing w:before="241" w:line="230" w:lineRule="auto"/>
              <w:ind w:left="173"/>
              <w:rPr>
                <w:sz w:val="17"/>
                <w:szCs w:val="17"/>
              </w:rPr>
            </w:pPr>
            <w:r>
              <w:rPr>
                <w:spacing w:val="2"/>
                <w:sz w:val="17"/>
                <w:szCs w:val="17"/>
              </w:rPr>
              <w:t>一般</w:t>
            </w:r>
          </w:p>
        </w:tc>
        <w:tc>
          <w:tcPr>
            <w:tcW w:w="8563" w:type="dxa"/>
            <w:vAlign w:val="top"/>
          </w:tcPr>
          <w:p w14:paraId="74414EAD">
            <w:pPr>
              <w:pStyle w:val="51"/>
              <w:spacing w:before="90" w:line="275" w:lineRule="auto"/>
              <w:ind w:left="37" w:right="17" w:firstLine="2"/>
              <w:rPr>
                <w:sz w:val="17"/>
                <w:szCs w:val="17"/>
              </w:rPr>
            </w:pPr>
            <w:r>
              <w:rPr>
                <w:spacing w:val="9"/>
                <w:sz w:val="17"/>
                <w:szCs w:val="17"/>
              </w:rPr>
              <w:t>蔗糖分、总糖分、色值、还原糖分、干燥失重、二氧化硫残留量、螨、合成着色剂(柠檬黄</w:t>
            </w:r>
            <w:r>
              <w:rPr>
                <w:spacing w:val="8"/>
                <w:sz w:val="17"/>
                <w:szCs w:val="17"/>
              </w:rPr>
              <w:t>、新红、苋菜红、</w:t>
            </w:r>
            <w:r>
              <w:rPr>
                <w:spacing w:val="10"/>
                <w:sz w:val="17"/>
                <w:szCs w:val="17"/>
              </w:rPr>
              <w:t>胭脂红、日落黄、诱惑红、酸性红、喹啉黄、赤</w:t>
            </w:r>
            <w:r>
              <w:rPr>
                <w:spacing w:val="9"/>
                <w:sz w:val="17"/>
                <w:szCs w:val="17"/>
              </w:rPr>
              <w:t>藓红)、菌落总数、大肠菌群、霉菌、酵母菌</w:t>
            </w:r>
          </w:p>
        </w:tc>
      </w:tr>
    </w:tbl>
    <w:p w14:paraId="40DEC2B3">
      <w:pPr>
        <w:rPr>
          <w:rFonts w:ascii="Arial"/>
          <w:sz w:val="21"/>
        </w:rPr>
      </w:pPr>
    </w:p>
    <w:p w14:paraId="4E9A6816">
      <w:pPr>
        <w:rPr>
          <w:rFonts w:ascii="Arial" w:hAnsi="Arial" w:eastAsia="Arial" w:cs="Arial"/>
          <w:sz w:val="21"/>
          <w:szCs w:val="21"/>
        </w:rPr>
        <w:sectPr>
          <w:pgSz w:w="16838" w:h="11906"/>
          <w:pgMar w:top="1011" w:right="829" w:bottom="400" w:left="366" w:header="567" w:footer="567" w:gutter="0"/>
          <w:pgNumType w:fmt="decimal"/>
          <w:cols w:space="720" w:num="1"/>
        </w:sectPr>
      </w:pPr>
    </w:p>
    <w:p w14:paraId="1A9B5FCB">
      <w:pPr>
        <w:spacing w:before="18"/>
      </w:pPr>
    </w:p>
    <w:p w14:paraId="39FE6EC8">
      <w:pPr>
        <w:spacing w:before="18"/>
      </w:pPr>
    </w:p>
    <w:tbl>
      <w:tblPr>
        <w:tblStyle w:val="50"/>
        <w:tblW w:w="15173" w:type="dxa"/>
        <w:tblInd w:w="46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59"/>
        <w:gridCol w:w="942"/>
        <w:gridCol w:w="1360"/>
        <w:gridCol w:w="1581"/>
        <w:gridCol w:w="1586"/>
        <w:gridCol w:w="682"/>
        <w:gridCol w:w="8563"/>
      </w:tblGrid>
      <w:tr w14:paraId="75D6DD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459" w:type="dxa"/>
            <w:vAlign w:val="top"/>
          </w:tcPr>
          <w:p w14:paraId="2B7E639E">
            <w:pPr>
              <w:spacing w:before="241" w:line="234" w:lineRule="auto"/>
              <w:ind w:left="52"/>
              <w:rPr>
                <w:rFonts w:ascii="黑体" w:hAnsi="黑体" w:eastAsia="黑体" w:cs="黑体"/>
                <w:sz w:val="17"/>
                <w:szCs w:val="17"/>
              </w:rPr>
            </w:pPr>
            <w:r>
              <w:rPr>
                <w:rFonts w:ascii="黑体" w:hAnsi="黑体" w:eastAsia="黑体" w:cs="黑体"/>
                <w:spacing w:val="6"/>
                <w:sz w:val="17"/>
                <w:szCs w:val="17"/>
              </w:rPr>
              <w:t>序号</w:t>
            </w:r>
          </w:p>
        </w:tc>
        <w:tc>
          <w:tcPr>
            <w:tcW w:w="942" w:type="dxa"/>
            <w:vAlign w:val="top"/>
          </w:tcPr>
          <w:p w14:paraId="1C2C0FE1">
            <w:pPr>
              <w:spacing w:before="90" w:line="232" w:lineRule="auto"/>
              <w:ind w:left="111"/>
              <w:rPr>
                <w:rFonts w:ascii="黑体" w:hAnsi="黑体" w:eastAsia="黑体" w:cs="黑体"/>
                <w:sz w:val="17"/>
                <w:szCs w:val="17"/>
              </w:rPr>
            </w:pPr>
            <w:r>
              <w:rPr>
                <w:rFonts w:ascii="黑体" w:hAnsi="黑体" w:eastAsia="黑体" w:cs="黑体"/>
                <w:spacing w:val="8"/>
                <w:sz w:val="17"/>
                <w:szCs w:val="17"/>
              </w:rPr>
              <w:t>食品大类</w:t>
            </w:r>
          </w:p>
          <w:p w14:paraId="47A7FB77">
            <w:pPr>
              <w:spacing w:before="86" w:line="227" w:lineRule="auto"/>
              <w:ind w:left="237"/>
              <w:rPr>
                <w:rFonts w:ascii="黑体" w:hAnsi="黑体" w:eastAsia="黑体" w:cs="黑体"/>
                <w:sz w:val="17"/>
                <w:szCs w:val="17"/>
              </w:rPr>
            </w:pPr>
            <w:r>
              <w:rPr>
                <w:rFonts w:ascii="黑体" w:hAnsi="黑体" w:eastAsia="黑体" w:cs="黑体"/>
                <w:spacing w:val="-4"/>
                <w:sz w:val="17"/>
                <w:szCs w:val="17"/>
              </w:rPr>
              <w:t>(一级)</w:t>
            </w:r>
          </w:p>
        </w:tc>
        <w:tc>
          <w:tcPr>
            <w:tcW w:w="1360" w:type="dxa"/>
            <w:vAlign w:val="top"/>
          </w:tcPr>
          <w:p w14:paraId="4E925E96">
            <w:pPr>
              <w:spacing w:before="90" w:line="232" w:lineRule="auto"/>
              <w:ind w:left="321"/>
              <w:rPr>
                <w:rFonts w:ascii="黑体" w:hAnsi="黑体" w:eastAsia="黑体" w:cs="黑体"/>
                <w:sz w:val="17"/>
                <w:szCs w:val="17"/>
              </w:rPr>
            </w:pPr>
            <w:r>
              <w:rPr>
                <w:rFonts w:ascii="黑体" w:hAnsi="黑体" w:eastAsia="黑体" w:cs="黑体"/>
                <w:spacing w:val="8"/>
                <w:sz w:val="17"/>
                <w:szCs w:val="17"/>
              </w:rPr>
              <w:t>食品亚类</w:t>
            </w:r>
          </w:p>
          <w:p w14:paraId="65AFA16B">
            <w:pPr>
              <w:spacing w:before="86" w:line="227" w:lineRule="auto"/>
              <w:ind w:left="444"/>
              <w:rPr>
                <w:rFonts w:ascii="黑体" w:hAnsi="黑体" w:eastAsia="黑体" w:cs="黑体"/>
                <w:sz w:val="17"/>
                <w:szCs w:val="17"/>
              </w:rPr>
            </w:pPr>
            <w:r>
              <w:rPr>
                <w:rFonts w:ascii="黑体" w:hAnsi="黑体" w:eastAsia="黑体" w:cs="黑体"/>
                <w:spacing w:val="-3"/>
                <w:sz w:val="17"/>
                <w:szCs w:val="17"/>
              </w:rPr>
              <w:t>(二级)</w:t>
            </w:r>
          </w:p>
        </w:tc>
        <w:tc>
          <w:tcPr>
            <w:tcW w:w="1581" w:type="dxa"/>
            <w:vAlign w:val="top"/>
          </w:tcPr>
          <w:p w14:paraId="6C1E44B2">
            <w:pPr>
              <w:spacing w:before="90" w:line="232" w:lineRule="auto"/>
              <w:ind w:left="433"/>
              <w:rPr>
                <w:rFonts w:ascii="黑体" w:hAnsi="黑体" w:eastAsia="黑体" w:cs="黑体"/>
                <w:sz w:val="17"/>
                <w:szCs w:val="17"/>
              </w:rPr>
            </w:pPr>
            <w:r>
              <w:rPr>
                <w:rFonts w:ascii="黑体" w:hAnsi="黑体" w:eastAsia="黑体" w:cs="黑体"/>
                <w:spacing w:val="8"/>
                <w:sz w:val="17"/>
                <w:szCs w:val="17"/>
              </w:rPr>
              <w:t>食品品种</w:t>
            </w:r>
          </w:p>
          <w:p w14:paraId="780DF88C">
            <w:pPr>
              <w:spacing w:before="86" w:line="227" w:lineRule="auto"/>
              <w:ind w:left="558"/>
              <w:rPr>
                <w:rFonts w:ascii="黑体" w:hAnsi="黑体" w:eastAsia="黑体" w:cs="黑体"/>
                <w:sz w:val="17"/>
                <w:szCs w:val="17"/>
              </w:rPr>
            </w:pPr>
            <w:r>
              <w:rPr>
                <w:rFonts w:ascii="黑体" w:hAnsi="黑体" w:eastAsia="黑体" w:cs="黑体"/>
                <w:spacing w:val="-4"/>
                <w:sz w:val="17"/>
                <w:szCs w:val="17"/>
              </w:rPr>
              <w:t>(三级)</w:t>
            </w:r>
          </w:p>
        </w:tc>
        <w:tc>
          <w:tcPr>
            <w:tcW w:w="1586" w:type="dxa"/>
            <w:vAlign w:val="top"/>
          </w:tcPr>
          <w:p w14:paraId="7BD73FA5">
            <w:pPr>
              <w:spacing w:before="90" w:line="232" w:lineRule="auto"/>
              <w:ind w:left="436"/>
              <w:rPr>
                <w:rFonts w:ascii="黑体" w:hAnsi="黑体" w:eastAsia="黑体" w:cs="黑体"/>
                <w:sz w:val="17"/>
                <w:szCs w:val="17"/>
              </w:rPr>
            </w:pPr>
            <w:r>
              <w:rPr>
                <w:rFonts w:ascii="黑体" w:hAnsi="黑体" w:eastAsia="黑体" w:cs="黑体"/>
                <w:spacing w:val="8"/>
                <w:sz w:val="17"/>
                <w:szCs w:val="17"/>
              </w:rPr>
              <w:t>食品细类</w:t>
            </w:r>
          </w:p>
          <w:p w14:paraId="78318037">
            <w:pPr>
              <w:spacing w:before="86" w:line="227" w:lineRule="auto"/>
              <w:ind w:left="561"/>
              <w:rPr>
                <w:rFonts w:ascii="黑体" w:hAnsi="黑体" w:eastAsia="黑体" w:cs="黑体"/>
                <w:sz w:val="17"/>
                <w:szCs w:val="17"/>
              </w:rPr>
            </w:pPr>
            <w:r>
              <w:rPr>
                <w:rFonts w:ascii="黑体" w:hAnsi="黑体" w:eastAsia="黑体" w:cs="黑体"/>
                <w:spacing w:val="-4"/>
                <w:sz w:val="17"/>
                <w:szCs w:val="17"/>
              </w:rPr>
              <w:t>(四级)</w:t>
            </w:r>
          </w:p>
        </w:tc>
        <w:tc>
          <w:tcPr>
            <w:tcW w:w="682" w:type="dxa"/>
            <w:vAlign w:val="top"/>
          </w:tcPr>
          <w:p w14:paraId="0507B6CD">
            <w:pPr>
              <w:spacing w:before="89" w:line="233" w:lineRule="auto"/>
              <w:ind w:left="166"/>
              <w:rPr>
                <w:rFonts w:ascii="黑体" w:hAnsi="黑体" w:eastAsia="黑体" w:cs="黑体"/>
                <w:sz w:val="17"/>
                <w:szCs w:val="17"/>
              </w:rPr>
            </w:pPr>
            <w:r>
              <w:rPr>
                <w:rFonts w:ascii="黑体" w:hAnsi="黑体" w:eastAsia="黑体" w:cs="黑体"/>
                <w:spacing w:val="6"/>
                <w:sz w:val="17"/>
                <w:szCs w:val="17"/>
              </w:rPr>
              <w:t>风险</w:t>
            </w:r>
          </w:p>
          <w:p w14:paraId="13FAF6E1">
            <w:pPr>
              <w:spacing w:before="85" w:line="227" w:lineRule="auto"/>
              <w:ind w:left="163"/>
              <w:rPr>
                <w:rFonts w:ascii="黑体" w:hAnsi="黑体" w:eastAsia="黑体" w:cs="黑体"/>
                <w:sz w:val="17"/>
                <w:szCs w:val="17"/>
              </w:rPr>
            </w:pPr>
            <w:r>
              <w:rPr>
                <w:rFonts w:ascii="黑体" w:hAnsi="黑体" w:eastAsia="黑体" w:cs="黑体"/>
                <w:spacing w:val="7"/>
                <w:sz w:val="17"/>
                <w:szCs w:val="17"/>
              </w:rPr>
              <w:t>等级</w:t>
            </w:r>
          </w:p>
        </w:tc>
        <w:tc>
          <w:tcPr>
            <w:tcW w:w="8563" w:type="dxa"/>
            <w:vAlign w:val="top"/>
          </w:tcPr>
          <w:p w14:paraId="70117660">
            <w:pPr>
              <w:spacing w:before="241" w:line="232" w:lineRule="auto"/>
              <w:ind w:left="3744"/>
              <w:rPr>
                <w:rFonts w:ascii="黑体" w:hAnsi="黑体" w:eastAsia="黑体" w:cs="黑体"/>
                <w:sz w:val="17"/>
                <w:szCs w:val="17"/>
              </w:rPr>
            </w:pPr>
            <w:r>
              <w:rPr>
                <w:rFonts w:ascii="黑体" w:hAnsi="黑体" w:eastAsia="黑体" w:cs="黑体"/>
                <w:spacing w:val="8"/>
                <w:sz w:val="17"/>
                <w:szCs w:val="17"/>
              </w:rPr>
              <w:t>监督抽检项目</w:t>
            </w:r>
          </w:p>
        </w:tc>
      </w:tr>
      <w:tr w14:paraId="762669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459" w:type="dxa"/>
            <w:vMerge w:val="restart"/>
            <w:tcBorders>
              <w:bottom w:val="nil"/>
            </w:tcBorders>
            <w:vAlign w:val="top"/>
          </w:tcPr>
          <w:p w14:paraId="398ABD58">
            <w:pPr>
              <w:spacing w:line="252" w:lineRule="auto"/>
              <w:rPr>
                <w:rFonts w:ascii="Arial"/>
                <w:sz w:val="21"/>
              </w:rPr>
            </w:pPr>
          </w:p>
          <w:p w14:paraId="1AD5126E">
            <w:pPr>
              <w:spacing w:line="252" w:lineRule="auto"/>
              <w:rPr>
                <w:rFonts w:ascii="Arial"/>
                <w:sz w:val="21"/>
              </w:rPr>
            </w:pPr>
          </w:p>
          <w:p w14:paraId="212C28BF">
            <w:pPr>
              <w:spacing w:line="252" w:lineRule="auto"/>
              <w:rPr>
                <w:rFonts w:ascii="Arial"/>
                <w:sz w:val="21"/>
              </w:rPr>
            </w:pPr>
          </w:p>
          <w:p w14:paraId="7B7BDCD2">
            <w:pPr>
              <w:spacing w:line="252" w:lineRule="auto"/>
              <w:rPr>
                <w:rFonts w:ascii="Arial"/>
                <w:sz w:val="21"/>
              </w:rPr>
            </w:pPr>
          </w:p>
          <w:p w14:paraId="24F4372E">
            <w:pPr>
              <w:spacing w:line="252" w:lineRule="auto"/>
              <w:rPr>
                <w:rFonts w:ascii="Arial"/>
                <w:sz w:val="21"/>
              </w:rPr>
            </w:pPr>
          </w:p>
          <w:p w14:paraId="16B39D66">
            <w:pPr>
              <w:spacing w:line="252" w:lineRule="auto"/>
              <w:rPr>
                <w:rFonts w:ascii="Arial"/>
                <w:sz w:val="21"/>
              </w:rPr>
            </w:pPr>
          </w:p>
          <w:p w14:paraId="7FD0D258">
            <w:pPr>
              <w:spacing w:line="252" w:lineRule="auto"/>
              <w:rPr>
                <w:rFonts w:ascii="Arial"/>
                <w:sz w:val="21"/>
              </w:rPr>
            </w:pPr>
          </w:p>
          <w:p w14:paraId="5017E16A">
            <w:pPr>
              <w:spacing w:line="252" w:lineRule="auto"/>
              <w:rPr>
                <w:rFonts w:ascii="Arial"/>
                <w:sz w:val="21"/>
              </w:rPr>
            </w:pPr>
          </w:p>
          <w:p w14:paraId="6C983FC5">
            <w:pPr>
              <w:spacing w:line="252" w:lineRule="auto"/>
              <w:rPr>
                <w:rFonts w:ascii="Arial"/>
                <w:sz w:val="21"/>
              </w:rPr>
            </w:pPr>
          </w:p>
          <w:p w14:paraId="50FCC8A2">
            <w:pPr>
              <w:pStyle w:val="51"/>
              <w:spacing w:before="55" w:line="229" w:lineRule="exact"/>
              <w:ind w:left="145"/>
              <w:rPr>
                <w:sz w:val="17"/>
                <w:szCs w:val="17"/>
              </w:rPr>
            </w:pPr>
            <w:r>
              <w:rPr>
                <w:position w:val="1"/>
                <w:sz w:val="17"/>
                <w:szCs w:val="17"/>
              </w:rPr>
              <w:t>22</w:t>
            </w:r>
          </w:p>
        </w:tc>
        <w:tc>
          <w:tcPr>
            <w:tcW w:w="942" w:type="dxa"/>
            <w:vMerge w:val="restart"/>
            <w:tcBorders>
              <w:bottom w:val="nil"/>
            </w:tcBorders>
            <w:vAlign w:val="top"/>
          </w:tcPr>
          <w:p w14:paraId="25B0BA7B">
            <w:pPr>
              <w:spacing w:line="252" w:lineRule="auto"/>
              <w:rPr>
                <w:rFonts w:ascii="Arial"/>
                <w:sz w:val="21"/>
              </w:rPr>
            </w:pPr>
          </w:p>
          <w:p w14:paraId="391D7AC7">
            <w:pPr>
              <w:spacing w:line="252" w:lineRule="auto"/>
              <w:rPr>
                <w:rFonts w:ascii="Arial"/>
                <w:sz w:val="21"/>
              </w:rPr>
            </w:pPr>
          </w:p>
          <w:p w14:paraId="00175634">
            <w:pPr>
              <w:spacing w:line="252" w:lineRule="auto"/>
              <w:rPr>
                <w:rFonts w:ascii="Arial"/>
                <w:sz w:val="21"/>
              </w:rPr>
            </w:pPr>
          </w:p>
          <w:p w14:paraId="44F91184">
            <w:pPr>
              <w:spacing w:line="252" w:lineRule="auto"/>
              <w:rPr>
                <w:rFonts w:ascii="Arial"/>
                <w:sz w:val="21"/>
              </w:rPr>
            </w:pPr>
          </w:p>
          <w:p w14:paraId="5887A4DB">
            <w:pPr>
              <w:spacing w:line="252" w:lineRule="auto"/>
              <w:rPr>
                <w:rFonts w:ascii="Arial"/>
                <w:sz w:val="21"/>
              </w:rPr>
            </w:pPr>
          </w:p>
          <w:p w14:paraId="03CF6FCE">
            <w:pPr>
              <w:spacing w:line="252" w:lineRule="auto"/>
              <w:rPr>
                <w:rFonts w:ascii="Arial"/>
                <w:sz w:val="21"/>
              </w:rPr>
            </w:pPr>
          </w:p>
          <w:p w14:paraId="2C35A567">
            <w:pPr>
              <w:spacing w:line="252" w:lineRule="auto"/>
              <w:rPr>
                <w:rFonts w:ascii="Arial"/>
                <w:sz w:val="21"/>
              </w:rPr>
            </w:pPr>
          </w:p>
          <w:p w14:paraId="0CFC1B8F">
            <w:pPr>
              <w:spacing w:line="252" w:lineRule="auto"/>
              <w:rPr>
                <w:rFonts w:ascii="Arial"/>
                <w:sz w:val="21"/>
              </w:rPr>
            </w:pPr>
          </w:p>
          <w:p w14:paraId="431013E6">
            <w:pPr>
              <w:spacing w:line="252" w:lineRule="auto"/>
              <w:rPr>
                <w:rFonts w:ascii="Arial"/>
                <w:sz w:val="21"/>
              </w:rPr>
            </w:pPr>
          </w:p>
          <w:p w14:paraId="4E804382">
            <w:pPr>
              <w:pStyle w:val="51"/>
              <w:spacing w:before="55" w:line="227" w:lineRule="auto"/>
              <w:ind w:left="116"/>
              <w:rPr>
                <w:sz w:val="17"/>
                <w:szCs w:val="17"/>
              </w:rPr>
            </w:pPr>
            <w:r>
              <w:rPr>
                <w:spacing w:val="7"/>
                <w:sz w:val="17"/>
                <w:szCs w:val="17"/>
              </w:rPr>
              <w:t>水产制品</w:t>
            </w:r>
          </w:p>
        </w:tc>
        <w:tc>
          <w:tcPr>
            <w:tcW w:w="1360" w:type="dxa"/>
            <w:vMerge w:val="restart"/>
            <w:tcBorders>
              <w:bottom w:val="nil"/>
            </w:tcBorders>
            <w:vAlign w:val="top"/>
          </w:tcPr>
          <w:p w14:paraId="4E16EAF1">
            <w:pPr>
              <w:spacing w:line="252" w:lineRule="auto"/>
              <w:rPr>
                <w:rFonts w:ascii="Arial"/>
                <w:sz w:val="21"/>
              </w:rPr>
            </w:pPr>
          </w:p>
          <w:p w14:paraId="147EE9F8">
            <w:pPr>
              <w:spacing w:line="252" w:lineRule="auto"/>
              <w:rPr>
                <w:rFonts w:ascii="Arial"/>
                <w:sz w:val="21"/>
              </w:rPr>
            </w:pPr>
          </w:p>
          <w:p w14:paraId="73418154">
            <w:pPr>
              <w:spacing w:line="252" w:lineRule="auto"/>
              <w:rPr>
                <w:rFonts w:ascii="Arial"/>
                <w:sz w:val="21"/>
              </w:rPr>
            </w:pPr>
          </w:p>
          <w:p w14:paraId="32F37B4B">
            <w:pPr>
              <w:spacing w:line="252" w:lineRule="auto"/>
              <w:rPr>
                <w:rFonts w:ascii="Arial"/>
                <w:sz w:val="21"/>
              </w:rPr>
            </w:pPr>
          </w:p>
          <w:p w14:paraId="1B35287D">
            <w:pPr>
              <w:spacing w:line="252" w:lineRule="auto"/>
              <w:rPr>
                <w:rFonts w:ascii="Arial"/>
                <w:sz w:val="21"/>
              </w:rPr>
            </w:pPr>
          </w:p>
          <w:p w14:paraId="2405DDE7">
            <w:pPr>
              <w:spacing w:line="252" w:lineRule="auto"/>
              <w:rPr>
                <w:rFonts w:ascii="Arial"/>
                <w:sz w:val="21"/>
              </w:rPr>
            </w:pPr>
          </w:p>
          <w:p w14:paraId="37FF0A42">
            <w:pPr>
              <w:spacing w:line="252" w:lineRule="auto"/>
              <w:rPr>
                <w:rFonts w:ascii="Arial"/>
                <w:sz w:val="21"/>
              </w:rPr>
            </w:pPr>
          </w:p>
          <w:p w14:paraId="0265AB87">
            <w:pPr>
              <w:spacing w:line="252" w:lineRule="auto"/>
              <w:rPr>
                <w:rFonts w:ascii="Arial"/>
                <w:sz w:val="21"/>
              </w:rPr>
            </w:pPr>
          </w:p>
          <w:p w14:paraId="326D622C">
            <w:pPr>
              <w:spacing w:line="252" w:lineRule="auto"/>
              <w:rPr>
                <w:rFonts w:ascii="Arial"/>
                <w:sz w:val="21"/>
              </w:rPr>
            </w:pPr>
          </w:p>
          <w:p w14:paraId="3FBC5F30">
            <w:pPr>
              <w:pStyle w:val="51"/>
              <w:spacing w:before="55" w:line="227" w:lineRule="auto"/>
              <w:ind w:left="326"/>
              <w:rPr>
                <w:sz w:val="17"/>
                <w:szCs w:val="17"/>
              </w:rPr>
            </w:pPr>
            <w:r>
              <w:rPr>
                <w:spacing w:val="7"/>
                <w:sz w:val="17"/>
                <w:szCs w:val="17"/>
              </w:rPr>
              <w:t>水产制品</w:t>
            </w:r>
          </w:p>
        </w:tc>
        <w:tc>
          <w:tcPr>
            <w:tcW w:w="1581" w:type="dxa"/>
            <w:vMerge w:val="restart"/>
            <w:tcBorders>
              <w:bottom w:val="nil"/>
            </w:tcBorders>
            <w:vAlign w:val="top"/>
          </w:tcPr>
          <w:p w14:paraId="245634DE">
            <w:pPr>
              <w:spacing w:line="410" w:lineRule="auto"/>
              <w:rPr>
                <w:rFonts w:ascii="Arial"/>
                <w:sz w:val="21"/>
              </w:rPr>
            </w:pPr>
          </w:p>
          <w:p w14:paraId="22FCDC60">
            <w:pPr>
              <w:pStyle w:val="51"/>
              <w:spacing w:before="55" w:line="227" w:lineRule="auto"/>
              <w:ind w:left="354"/>
              <w:rPr>
                <w:sz w:val="17"/>
                <w:szCs w:val="17"/>
              </w:rPr>
            </w:pPr>
            <w:r>
              <w:rPr>
                <w:spacing w:val="6"/>
                <w:sz w:val="17"/>
                <w:szCs w:val="17"/>
              </w:rPr>
              <w:t>干制水产品</w:t>
            </w:r>
          </w:p>
        </w:tc>
        <w:tc>
          <w:tcPr>
            <w:tcW w:w="1586" w:type="dxa"/>
            <w:vAlign w:val="top"/>
          </w:tcPr>
          <w:p w14:paraId="02C6C51E">
            <w:pPr>
              <w:pStyle w:val="51"/>
              <w:spacing w:before="162" w:line="227" w:lineRule="auto"/>
              <w:ind w:left="355"/>
              <w:rPr>
                <w:sz w:val="17"/>
                <w:szCs w:val="17"/>
              </w:rPr>
            </w:pPr>
            <w:r>
              <w:rPr>
                <w:spacing w:val="7"/>
                <w:sz w:val="17"/>
                <w:szCs w:val="17"/>
              </w:rPr>
              <w:t>藻类干制品</w:t>
            </w:r>
          </w:p>
        </w:tc>
        <w:tc>
          <w:tcPr>
            <w:tcW w:w="682" w:type="dxa"/>
            <w:vAlign w:val="top"/>
          </w:tcPr>
          <w:p w14:paraId="18F63202">
            <w:pPr>
              <w:pStyle w:val="51"/>
              <w:spacing w:before="163" w:line="227" w:lineRule="auto"/>
              <w:ind w:left="170"/>
              <w:rPr>
                <w:sz w:val="17"/>
                <w:szCs w:val="17"/>
              </w:rPr>
            </w:pPr>
            <w:r>
              <w:rPr>
                <w:spacing w:val="3"/>
                <w:sz w:val="17"/>
                <w:szCs w:val="17"/>
              </w:rPr>
              <w:t>较高</w:t>
            </w:r>
          </w:p>
        </w:tc>
        <w:tc>
          <w:tcPr>
            <w:tcW w:w="8563" w:type="dxa"/>
            <w:vAlign w:val="top"/>
          </w:tcPr>
          <w:p w14:paraId="49BCD396">
            <w:pPr>
              <w:pStyle w:val="51"/>
              <w:spacing w:before="151" w:line="228" w:lineRule="auto"/>
              <w:ind w:left="37"/>
              <w:rPr>
                <w:sz w:val="17"/>
                <w:szCs w:val="17"/>
              </w:rPr>
            </w:pPr>
            <w:r>
              <w:rPr>
                <w:spacing w:val="8"/>
                <w:sz w:val="17"/>
                <w:szCs w:val="17"/>
              </w:rPr>
              <w:t>铅(以</w:t>
            </w:r>
            <w:r>
              <w:rPr>
                <w:sz w:val="17"/>
                <w:szCs w:val="17"/>
              </w:rPr>
              <w:t>Pb</w:t>
            </w:r>
            <w:r>
              <w:rPr>
                <w:spacing w:val="8"/>
                <w:sz w:val="17"/>
                <w:szCs w:val="17"/>
              </w:rPr>
              <w:t>计)、菌落总数、大肠菌群</w:t>
            </w:r>
          </w:p>
        </w:tc>
      </w:tr>
      <w:tr w14:paraId="365CE0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459" w:type="dxa"/>
            <w:vMerge w:val="continue"/>
            <w:tcBorders>
              <w:top w:val="nil"/>
              <w:bottom w:val="nil"/>
            </w:tcBorders>
            <w:vAlign w:val="top"/>
          </w:tcPr>
          <w:p w14:paraId="7CFF74A6">
            <w:pPr>
              <w:rPr>
                <w:rFonts w:ascii="Arial"/>
                <w:sz w:val="21"/>
              </w:rPr>
            </w:pPr>
          </w:p>
        </w:tc>
        <w:tc>
          <w:tcPr>
            <w:tcW w:w="942" w:type="dxa"/>
            <w:vMerge w:val="continue"/>
            <w:tcBorders>
              <w:top w:val="nil"/>
              <w:bottom w:val="nil"/>
            </w:tcBorders>
            <w:vAlign w:val="top"/>
          </w:tcPr>
          <w:p w14:paraId="46B842CA">
            <w:pPr>
              <w:rPr>
                <w:rFonts w:ascii="Arial"/>
                <w:sz w:val="21"/>
              </w:rPr>
            </w:pPr>
          </w:p>
        </w:tc>
        <w:tc>
          <w:tcPr>
            <w:tcW w:w="1360" w:type="dxa"/>
            <w:vMerge w:val="continue"/>
            <w:tcBorders>
              <w:top w:val="nil"/>
              <w:bottom w:val="nil"/>
            </w:tcBorders>
            <w:vAlign w:val="top"/>
          </w:tcPr>
          <w:p w14:paraId="1B8FC7E8">
            <w:pPr>
              <w:rPr>
                <w:rFonts w:ascii="Arial"/>
                <w:sz w:val="21"/>
              </w:rPr>
            </w:pPr>
          </w:p>
        </w:tc>
        <w:tc>
          <w:tcPr>
            <w:tcW w:w="1581" w:type="dxa"/>
            <w:vMerge w:val="continue"/>
            <w:tcBorders>
              <w:top w:val="nil"/>
            </w:tcBorders>
            <w:vAlign w:val="top"/>
          </w:tcPr>
          <w:p w14:paraId="595D22A9">
            <w:pPr>
              <w:rPr>
                <w:rFonts w:ascii="Arial"/>
                <w:sz w:val="21"/>
              </w:rPr>
            </w:pPr>
          </w:p>
        </w:tc>
        <w:tc>
          <w:tcPr>
            <w:tcW w:w="1586" w:type="dxa"/>
            <w:vAlign w:val="top"/>
          </w:tcPr>
          <w:p w14:paraId="688BD489">
            <w:pPr>
              <w:pStyle w:val="51"/>
              <w:spacing w:before="87" w:line="275" w:lineRule="auto"/>
              <w:ind w:left="621" w:right="71" w:hanging="539"/>
              <w:rPr>
                <w:sz w:val="17"/>
                <w:szCs w:val="17"/>
              </w:rPr>
            </w:pPr>
            <w:r>
              <w:rPr>
                <w:spacing w:val="8"/>
                <w:sz w:val="17"/>
                <w:szCs w:val="17"/>
              </w:rPr>
              <w:t>预制动物性水产干</w:t>
            </w:r>
            <w:r>
              <w:rPr>
                <w:spacing w:val="3"/>
                <w:sz w:val="17"/>
                <w:szCs w:val="17"/>
              </w:rPr>
              <w:t>制品</w:t>
            </w:r>
          </w:p>
        </w:tc>
        <w:tc>
          <w:tcPr>
            <w:tcW w:w="682" w:type="dxa"/>
            <w:vAlign w:val="top"/>
          </w:tcPr>
          <w:p w14:paraId="56F99610">
            <w:pPr>
              <w:pStyle w:val="51"/>
              <w:spacing w:before="237" w:line="227" w:lineRule="auto"/>
              <w:ind w:left="170"/>
              <w:rPr>
                <w:sz w:val="17"/>
                <w:szCs w:val="17"/>
              </w:rPr>
            </w:pPr>
            <w:r>
              <w:rPr>
                <w:spacing w:val="3"/>
                <w:sz w:val="17"/>
                <w:szCs w:val="17"/>
              </w:rPr>
              <w:t>较高</w:t>
            </w:r>
          </w:p>
        </w:tc>
        <w:tc>
          <w:tcPr>
            <w:tcW w:w="8563" w:type="dxa"/>
            <w:vAlign w:val="top"/>
          </w:tcPr>
          <w:p w14:paraId="608A40AA">
            <w:pPr>
              <w:pStyle w:val="51"/>
              <w:spacing w:before="94" w:line="271" w:lineRule="auto"/>
              <w:ind w:left="39" w:right="45"/>
              <w:rPr>
                <w:sz w:val="17"/>
                <w:szCs w:val="17"/>
              </w:rPr>
            </w:pPr>
            <w:r>
              <w:rPr>
                <w:spacing w:val="10"/>
                <w:sz w:val="17"/>
                <w:szCs w:val="17"/>
              </w:rPr>
              <w:t>过氧化值(以脂肪计)、镉(以</w:t>
            </w:r>
            <w:r>
              <w:rPr>
                <w:sz w:val="17"/>
                <w:szCs w:val="17"/>
              </w:rPr>
              <w:t>Cd</w:t>
            </w:r>
            <w:r>
              <w:rPr>
                <w:spacing w:val="10"/>
                <w:sz w:val="17"/>
                <w:szCs w:val="17"/>
              </w:rPr>
              <w:t>计)、苯甲酸及其钠盐(以苯甲酸计)</w:t>
            </w:r>
            <w:r>
              <w:rPr>
                <w:spacing w:val="9"/>
                <w:sz w:val="17"/>
                <w:szCs w:val="17"/>
              </w:rPr>
              <w:t>、山梨酸及其钾盐(以山梨酸计)、合成着色剂(柠檬黄、胭脂红、日落黄、诱惑红)、铅(</w:t>
            </w:r>
            <w:r>
              <w:rPr>
                <w:spacing w:val="8"/>
                <w:sz w:val="17"/>
                <w:szCs w:val="17"/>
              </w:rPr>
              <w:t>以</w:t>
            </w:r>
            <w:r>
              <w:rPr>
                <w:sz w:val="17"/>
                <w:szCs w:val="17"/>
              </w:rPr>
              <w:t>Pb</w:t>
            </w:r>
            <w:r>
              <w:rPr>
                <w:spacing w:val="8"/>
                <w:sz w:val="17"/>
                <w:szCs w:val="17"/>
              </w:rPr>
              <w:t>计)</w:t>
            </w:r>
          </w:p>
        </w:tc>
      </w:tr>
      <w:tr w14:paraId="255DED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459" w:type="dxa"/>
            <w:vMerge w:val="continue"/>
            <w:tcBorders>
              <w:top w:val="nil"/>
              <w:bottom w:val="nil"/>
            </w:tcBorders>
            <w:vAlign w:val="top"/>
          </w:tcPr>
          <w:p w14:paraId="679FEDDD">
            <w:pPr>
              <w:rPr>
                <w:rFonts w:ascii="Arial"/>
                <w:sz w:val="21"/>
              </w:rPr>
            </w:pPr>
          </w:p>
        </w:tc>
        <w:tc>
          <w:tcPr>
            <w:tcW w:w="942" w:type="dxa"/>
            <w:vMerge w:val="continue"/>
            <w:tcBorders>
              <w:top w:val="nil"/>
              <w:bottom w:val="nil"/>
            </w:tcBorders>
            <w:vAlign w:val="top"/>
          </w:tcPr>
          <w:p w14:paraId="69794FEB">
            <w:pPr>
              <w:rPr>
                <w:rFonts w:ascii="Arial"/>
                <w:sz w:val="21"/>
              </w:rPr>
            </w:pPr>
          </w:p>
        </w:tc>
        <w:tc>
          <w:tcPr>
            <w:tcW w:w="1360" w:type="dxa"/>
            <w:vMerge w:val="continue"/>
            <w:tcBorders>
              <w:top w:val="nil"/>
              <w:bottom w:val="nil"/>
            </w:tcBorders>
            <w:vAlign w:val="top"/>
          </w:tcPr>
          <w:p w14:paraId="109CB015">
            <w:pPr>
              <w:rPr>
                <w:rFonts w:ascii="Arial"/>
                <w:sz w:val="21"/>
              </w:rPr>
            </w:pPr>
          </w:p>
        </w:tc>
        <w:tc>
          <w:tcPr>
            <w:tcW w:w="1581" w:type="dxa"/>
            <w:vMerge w:val="restart"/>
            <w:tcBorders>
              <w:bottom w:val="nil"/>
            </w:tcBorders>
            <w:vAlign w:val="top"/>
          </w:tcPr>
          <w:p w14:paraId="17F3859C">
            <w:pPr>
              <w:spacing w:line="256" w:lineRule="auto"/>
              <w:rPr>
                <w:rFonts w:ascii="Arial"/>
                <w:sz w:val="21"/>
              </w:rPr>
            </w:pPr>
          </w:p>
          <w:p w14:paraId="4984F990">
            <w:pPr>
              <w:spacing w:line="256" w:lineRule="auto"/>
              <w:rPr>
                <w:rFonts w:ascii="Arial"/>
                <w:sz w:val="21"/>
              </w:rPr>
            </w:pPr>
          </w:p>
          <w:p w14:paraId="7EF952CA">
            <w:pPr>
              <w:pStyle w:val="51"/>
              <w:spacing w:before="55" w:line="229" w:lineRule="auto"/>
              <w:ind w:left="349"/>
              <w:rPr>
                <w:sz w:val="17"/>
                <w:szCs w:val="17"/>
              </w:rPr>
            </w:pPr>
            <w:r>
              <w:rPr>
                <w:spacing w:val="7"/>
                <w:sz w:val="17"/>
                <w:szCs w:val="17"/>
              </w:rPr>
              <w:t>盐渍水产品</w:t>
            </w:r>
          </w:p>
        </w:tc>
        <w:tc>
          <w:tcPr>
            <w:tcW w:w="1586" w:type="dxa"/>
            <w:vAlign w:val="top"/>
          </w:tcPr>
          <w:p w14:paraId="4578A876">
            <w:pPr>
              <w:pStyle w:val="51"/>
              <w:spacing w:before="165" w:line="229" w:lineRule="auto"/>
              <w:ind w:left="532"/>
              <w:rPr>
                <w:sz w:val="17"/>
                <w:szCs w:val="17"/>
              </w:rPr>
            </w:pPr>
            <w:r>
              <w:rPr>
                <w:spacing w:val="6"/>
                <w:sz w:val="17"/>
                <w:szCs w:val="17"/>
              </w:rPr>
              <w:t>盐渍鱼</w:t>
            </w:r>
          </w:p>
        </w:tc>
        <w:tc>
          <w:tcPr>
            <w:tcW w:w="682" w:type="dxa"/>
            <w:vAlign w:val="top"/>
          </w:tcPr>
          <w:p w14:paraId="06B81DCF">
            <w:pPr>
              <w:pStyle w:val="51"/>
              <w:spacing w:before="165" w:line="227" w:lineRule="auto"/>
              <w:ind w:left="170"/>
              <w:rPr>
                <w:sz w:val="17"/>
                <w:szCs w:val="17"/>
              </w:rPr>
            </w:pPr>
            <w:r>
              <w:rPr>
                <w:spacing w:val="3"/>
                <w:sz w:val="17"/>
                <w:szCs w:val="17"/>
              </w:rPr>
              <w:t>较高</w:t>
            </w:r>
          </w:p>
        </w:tc>
        <w:tc>
          <w:tcPr>
            <w:tcW w:w="8563" w:type="dxa"/>
            <w:vAlign w:val="top"/>
          </w:tcPr>
          <w:p w14:paraId="4026EA01">
            <w:pPr>
              <w:pStyle w:val="51"/>
              <w:spacing w:before="153" w:line="223" w:lineRule="auto"/>
              <w:ind w:left="39"/>
              <w:rPr>
                <w:sz w:val="17"/>
                <w:szCs w:val="17"/>
              </w:rPr>
            </w:pPr>
            <w:r>
              <w:rPr>
                <w:spacing w:val="9"/>
                <w:sz w:val="17"/>
                <w:szCs w:val="17"/>
              </w:rPr>
              <w:t>过氧化值(以脂肪计)、组胺、镉(以</w:t>
            </w:r>
            <w:r>
              <w:rPr>
                <w:sz w:val="17"/>
                <w:szCs w:val="17"/>
              </w:rPr>
              <w:t>Cd</w:t>
            </w:r>
            <w:r>
              <w:rPr>
                <w:spacing w:val="9"/>
                <w:sz w:val="17"/>
                <w:szCs w:val="17"/>
              </w:rPr>
              <w:t>计)、苯甲酸及其钠盐(以苯甲酸计)、山梨酸及其钾盐(以山梨酸计)</w:t>
            </w:r>
          </w:p>
        </w:tc>
      </w:tr>
      <w:tr w14:paraId="74C513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459" w:type="dxa"/>
            <w:vMerge w:val="continue"/>
            <w:tcBorders>
              <w:top w:val="nil"/>
              <w:bottom w:val="nil"/>
            </w:tcBorders>
            <w:vAlign w:val="top"/>
          </w:tcPr>
          <w:p w14:paraId="66DE200A">
            <w:pPr>
              <w:rPr>
                <w:rFonts w:ascii="Arial"/>
                <w:sz w:val="21"/>
              </w:rPr>
            </w:pPr>
          </w:p>
        </w:tc>
        <w:tc>
          <w:tcPr>
            <w:tcW w:w="942" w:type="dxa"/>
            <w:vMerge w:val="continue"/>
            <w:tcBorders>
              <w:top w:val="nil"/>
              <w:bottom w:val="nil"/>
            </w:tcBorders>
            <w:vAlign w:val="top"/>
          </w:tcPr>
          <w:p w14:paraId="02EF6AA0">
            <w:pPr>
              <w:rPr>
                <w:rFonts w:ascii="Arial"/>
                <w:sz w:val="21"/>
              </w:rPr>
            </w:pPr>
          </w:p>
        </w:tc>
        <w:tc>
          <w:tcPr>
            <w:tcW w:w="1360" w:type="dxa"/>
            <w:vMerge w:val="continue"/>
            <w:tcBorders>
              <w:top w:val="nil"/>
              <w:bottom w:val="nil"/>
            </w:tcBorders>
            <w:vAlign w:val="top"/>
          </w:tcPr>
          <w:p w14:paraId="1574EAAE">
            <w:pPr>
              <w:rPr>
                <w:rFonts w:ascii="Arial"/>
                <w:sz w:val="21"/>
              </w:rPr>
            </w:pPr>
          </w:p>
        </w:tc>
        <w:tc>
          <w:tcPr>
            <w:tcW w:w="1581" w:type="dxa"/>
            <w:vMerge w:val="continue"/>
            <w:tcBorders>
              <w:top w:val="nil"/>
              <w:bottom w:val="nil"/>
            </w:tcBorders>
            <w:vAlign w:val="top"/>
          </w:tcPr>
          <w:p w14:paraId="76AEAAE1">
            <w:pPr>
              <w:rPr>
                <w:rFonts w:ascii="Arial"/>
                <w:sz w:val="21"/>
              </w:rPr>
            </w:pPr>
          </w:p>
        </w:tc>
        <w:tc>
          <w:tcPr>
            <w:tcW w:w="1586" w:type="dxa"/>
            <w:vAlign w:val="top"/>
          </w:tcPr>
          <w:p w14:paraId="643E84E0">
            <w:pPr>
              <w:pStyle w:val="51"/>
              <w:spacing w:before="135" w:line="227" w:lineRule="auto"/>
              <w:ind w:left="532"/>
              <w:rPr>
                <w:sz w:val="17"/>
                <w:szCs w:val="17"/>
              </w:rPr>
            </w:pPr>
            <w:r>
              <w:rPr>
                <w:spacing w:val="6"/>
                <w:sz w:val="17"/>
                <w:szCs w:val="17"/>
              </w:rPr>
              <w:t>盐渍藻</w:t>
            </w:r>
          </w:p>
        </w:tc>
        <w:tc>
          <w:tcPr>
            <w:tcW w:w="682" w:type="dxa"/>
            <w:vAlign w:val="top"/>
          </w:tcPr>
          <w:p w14:paraId="1E0E6BC1">
            <w:pPr>
              <w:pStyle w:val="51"/>
              <w:spacing w:before="136" w:line="227" w:lineRule="auto"/>
              <w:ind w:left="170"/>
              <w:rPr>
                <w:sz w:val="17"/>
                <w:szCs w:val="17"/>
              </w:rPr>
            </w:pPr>
            <w:r>
              <w:rPr>
                <w:spacing w:val="3"/>
                <w:sz w:val="17"/>
                <w:szCs w:val="17"/>
              </w:rPr>
              <w:t>较高</w:t>
            </w:r>
          </w:p>
        </w:tc>
        <w:tc>
          <w:tcPr>
            <w:tcW w:w="8563" w:type="dxa"/>
            <w:vAlign w:val="top"/>
          </w:tcPr>
          <w:p w14:paraId="66AFD7C7">
            <w:pPr>
              <w:pStyle w:val="51"/>
              <w:spacing w:before="123" w:line="223" w:lineRule="auto"/>
              <w:ind w:left="37"/>
              <w:rPr>
                <w:sz w:val="17"/>
                <w:szCs w:val="17"/>
              </w:rPr>
            </w:pPr>
            <w:r>
              <w:rPr>
                <w:spacing w:val="9"/>
                <w:sz w:val="17"/>
                <w:szCs w:val="17"/>
              </w:rPr>
              <w:t>铅(以</w:t>
            </w:r>
            <w:r>
              <w:rPr>
                <w:sz w:val="17"/>
                <w:szCs w:val="17"/>
              </w:rPr>
              <w:t>Pb</w:t>
            </w:r>
            <w:r>
              <w:rPr>
                <w:spacing w:val="9"/>
                <w:sz w:val="17"/>
                <w:szCs w:val="17"/>
              </w:rPr>
              <w:t>计)、苯甲酸及其钠盐(以苯甲酸计)、山梨酸及其钾盐(以山梨酸计)</w:t>
            </w:r>
          </w:p>
        </w:tc>
      </w:tr>
      <w:tr w14:paraId="02AB76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459" w:type="dxa"/>
            <w:vMerge w:val="continue"/>
            <w:tcBorders>
              <w:top w:val="nil"/>
              <w:bottom w:val="nil"/>
            </w:tcBorders>
            <w:vAlign w:val="top"/>
          </w:tcPr>
          <w:p w14:paraId="41B9189C">
            <w:pPr>
              <w:rPr>
                <w:rFonts w:ascii="Arial"/>
                <w:sz w:val="21"/>
              </w:rPr>
            </w:pPr>
          </w:p>
        </w:tc>
        <w:tc>
          <w:tcPr>
            <w:tcW w:w="942" w:type="dxa"/>
            <w:vMerge w:val="continue"/>
            <w:tcBorders>
              <w:top w:val="nil"/>
              <w:bottom w:val="nil"/>
            </w:tcBorders>
            <w:vAlign w:val="top"/>
          </w:tcPr>
          <w:p w14:paraId="62ED48BE">
            <w:pPr>
              <w:rPr>
                <w:rFonts w:ascii="Arial"/>
                <w:sz w:val="21"/>
              </w:rPr>
            </w:pPr>
          </w:p>
        </w:tc>
        <w:tc>
          <w:tcPr>
            <w:tcW w:w="1360" w:type="dxa"/>
            <w:vMerge w:val="continue"/>
            <w:tcBorders>
              <w:top w:val="nil"/>
              <w:bottom w:val="nil"/>
            </w:tcBorders>
            <w:vAlign w:val="top"/>
          </w:tcPr>
          <w:p w14:paraId="6D9A41EF">
            <w:pPr>
              <w:rPr>
                <w:rFonts w:ascii="Arial"/>
                <w:sz w:val="21"/>
              </w:rPr>
            </w:pPr>
          </w:p>
        </w:tc>
        <w:tc>
          <w:tcPr>
            <w:tcW w:w="1581" w:type="dxa"/>
            <w:vMerge w:val="continue"/>
            <w:tcBorders>
              <w:top w:val="nil"/>
            </w:tcBorders>
            <w:vAlign w:val="top"/>
          </w:tcPr>
          <w:p w14:paraId="067E2E8A">
            <w:pPr>
              <w:rPr>
                <w:rFonts w:ascii="Arial"/>
                <w:sz w:val="21"/>
              </w:rPr>
            </w:pPr>
          </w:p>
        </w:tc>
        <w:tc>
          <w:tcPr>
            <w:tcW w:w="1586" w:type="dxa"/>
            <w:vAlign w:val="top"/>
          </w:tcPr>
          <w:p w14:paraId="210D2D94">
            <w:pPr>
              <w:pStyle w:val="51"/>
              <w:spacing w:before="137" w:line="227" w:lineRule="auto"/>
              <w:ind w:left="173"/>
              <w:rPr>
                <w:sz w:val="17"/>
                <w:szCs w:val="17"/>
              </w:rPr>
            </w:pPr>
            <w:r>
              <w:rPr>
                <w:spacing w:val="8"/>
                <w:sz w:val="17"/>
                <w:szCs w:val="17"/>
              </w:rPr>
              <w:t>其他盐渍水产品</w:t>
            </w:r>
          </w:p>
        </w:tc>
        <w:tc>
          <w:tcPr>
            <w:tcW w:w="682" w:type="dxa"/>
            <w:vAlign w:val="top"/>
          </w:tcPr>
          <w:p w14:paraId="14B2D8B5">
            <w:pPr>
              <w:pStyle w:val="51"/>
              <w:spacing w:before="137" w:line="227" w:lineRule="auto"/>
              <w:ind w:left="170"/>
              <w:rPr>
                <w:sz w:val="17"/>
                <w:szCs w:val="17"/>
              </w:rPr>
            </w:pPr>
            <w:r>
              <w:rPr>
                <w:spacing w:val="3"/>
                <w:sz w:val="17"/>
                <w:szCs w:val="17"/>
              </w:rPr>
              <w:t>较高</w:t>
            </w:r>
          </w:p>
        </w:tc>
        <w:tc>
          <w:tcPr>
            <w:tcW w:w="8563" w:type="dxa"/>
            <w:vAlign w:val="top"/>
          </w:tcPr>
          <w:p w14:paraId="67AC77AD">
            <w:pPr>
              <w:pStyle w:val="51"/>
              <w:spacing w:before="124" w:line="223" w:lineRule="auto"/>
              <w:ind w:left="39"/>
              <w:rPr>
                <w:sz w:val="17"/>
                <w:szCs w:val="17"/>
              </w:rPr>
            </w:pPr>
            <w:r>
              <w:rPr>
                <w:spacing w:val="9"/>
                <w:sz w:val="17"/>
                <w:szCs w:val="17"/>
              </w:rPr>
              <w:t>苯甲酸及其钠盐(以苯甲酸计)、山梨酸及其钾</w:t>
            </w:r>
            <w:r>
              <w:rPr>
                <w:spacing w:val="8"/>
                <w:sz w:val="17"/>
                <w:szCs w:val="17"/>
              </w:rPr>
              <w:t>盐(以山梨酸计)</w:t>
            </w:r>
          </w:p>
        </w:tc>
      </w:tr>
      <w:tr w14:paraId="6F43F2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459" w:type="dxa"/>
            <w:vMerge w:val="continue"/>
            <w:tcBorders>
              <w:top w:val="nil"/>
              <w:bottom w:val="nil"/>
            </w:tcBorders>
            <w:vAlign w:val="top"/>
          </w:tcPr>
          <w:p w14:paraId="67AEEF40">
            <w:pPr>
              <w:rPr>
                <w:rFonts w:ascii="Arial"/>
                <w:sz w:val="21"/>
              </w:rPr>
            </w:pPr>
          </w:p>
        </w:tc>
        <w:tc>
          <w:tcPr>
            <w:tcW w:w="942" w:type="dxa"/>
            <w:vMerge w:val="continue"/>
            <w:tcBorders>
              <w:top w:val="nil"/>
              <w:bottom w:val="nil"/>
            </w:tcBorders>
            <w:vAlign w:val="top"/>
          </w:tcPr>
          <w:p w14:paraId="19494063">
            <w:pPr>
              <w:rPr>
                <w:rFonts w:ascii="Arial"/>
                <w:sz w:val="21"/>
              </w:rPr>
            </w:pPr>
          </w:p>
        </w:tc>
        <w:tc>
          <w:tcPr>
            <w:tcW w:w="1360" w:type="dxa"/>
            <w:vMerge w:val="continue"/>
            <w:tcBorders>
              <w:top w:val="nil"/>
              <w:bottom w:val="nil"/>
            </w:tcBorders>
            <w:vAlign w:val="top"/>
          </w:tcPr>
          <w:p w14:paraId="018E246C">
            <w:pPr>
              <w:rPr>
                <w:rFonts w:ascii="Arial"/>
                <w:sz w:val="21"/>
              </w:rPr>
            </w:pPr>
          </w:p>
        </w:tc>
        <w:tc>
          <w:tcPr>
            <w:tcW w:w="1581" w:type="dxa"/>
            <w:vAlign w:val="top"/>
          </w:tcPr>
          <w:p w14:paraId="1A23ECCA">
            <w:pPr>
              <w:pStyle w:val="51"/>
              <w:spacing w:before="198" w:line="227" w:lineRule="auto"/>
              <w:ind w:left="444"/>
              <w:rPr>
                <w:sz w:val="17"/>
                <w:szCs w:val="17"/>
              </w:rPr>
            </w:pPr>
            <w:r>
              <w:rPr>
                <w:spacing w:val="5"/>
                <w:sz w:val="17"/>
                <w:szCs w:val="17"/>
              </w:rPr>
              <w:t>鱼糜制品</w:t>
            </w:r>
          </w:p>
        </w:tc>
        <w:tc>
          <w:tcPr>
            <w:tcW w:w="1586" w:type="dxa"/>
            <w:vAlign w:val="top"/>
          </w:tcPr>
          <w:p w14:paraId="2B1F13B4">
            <w:pPr>
              <w:pStyle w:val="51"/>
              <w:spacing w:before="198" w:line="227" w:lineRule="auto"/>
              <w:ind w:left="262"/>
              <w:rPr>
                <w:sz w:val="17"/>
                <w:szCs w:val="17"/>
              </w:rPr>
            </w:pPr>
            <w:r>
              <w:rPr>
                <w:spacing w:val="7"/>
                <w:sz w:val="17"/>
                <w:szCs w:val="17"/>
              </w:rPr>
              <w:t>预制鱼糜制品</w:t>
            </w:r>
          </w:p>
        </w:tc>
        <w:tc>
          <w:tcPr>
            <w:tcW w:w="682" w:type="dxa"/>
            <w:vAlign w:val="top"/>
          </w:tcPr>
          <w:p w14:paraId="72F24E69">
            <w:pPr>
              <w:pStyle w:val="51"/>
              <w:spacing w:before="198" w:line="227" w:lineRule="auto"/>
              <w:ind w:left="170"/>
              <w:rPr>
                <w:sz w:val="17"/>
                <w:szCs w:val="17"/>
              </w:rPr>
            </w:pPr>
            <w:r>
              <w:rPr>
                <w:spacing w:val="3"/>
                <w:sz w:val="17"/>
                <w:szCs w:val="17"/>
              </w:rPr>
              <w:t>较高</w:t>
            </w:r>
          </w:p>
        </w:tc>
        <w:tc>
          <w:tcPr>
            <w:tcW w:w="8563" w:type="dxa"/>
            <w:vAlign w:val="top"/>
          </w:tcPr>
          <w:p w14:paraId="53EDB4AA">
            <w:pPr>
              <w:pStyle w:val="51"/>
              <w:spacing w:before="56" w:line="249" w:lineRule="auto"/>
              <w:ind w:left="39" w:right="26"/>
              <w:rPr>
                <w:sz w:val="17"/>
                <w:szCs w:val="17"/>
              </w:rPr>
            </w:pPr>
            <w:r>
              <w:rPr>
                <w:spacing w:val="10"/>
                <w:sz w:val="17"/>
                <w:szCs w:val="17"/>
              </w:rPr>
              <w:t>苯甲酸及其钠盐(以苯甲酸计)、山梨酸及其钾盐(以山梨酸计)、脱氢乙酸及其钠盐(以脱氢乙酸计)、合成着</w:t>
            </w:r>
            <w:r>
              <w:rPr>
                <w:spacing w:val="9"/>
                <w:sz w:val="17"/>
                <w:szCs w:val="17"/>
              </w:rPr>
              <w:t>色剂（诱惑红、柠檬黄、日落黄)、铅(以</w:t>
            </w:r>
            <w:r>
              <w:rPr>
                <w:sz w:val="17"/>
                <w:szCs w:val="17"/>
              </w:rPr>
              <w:t>Pb</w:t>
            </w:r>
            <w:r>
              <w:rPr>
                <w:spacing w:val="9"/>
                <w:sz w:val="17"/>
                <w:szCs w:val="17"/>
              </w:rPr>
              <w:t>计)</w:t>
            </w:r>
          </w:p>
        </w:tc>
      </w:tr>
      <w:tr w14:paraId="09B3E7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459" w:type="dxa"/>
            <w:vMerge w:val="continue"/>
            <w:tcBorders>
              <w:top w:val="nil"/>
              <w:bottom w:val="nil"/>
            </w:tcBorders>
            <w:vAlign w:val="top"/>
          </w:tcPr>
          <w:p w14:paraId="222A8158">
            <w:pPr>
              <w:rPr>
                <w:rFonts w:ascii="Arial"/>
                <w:sz w:val="21"/>
              </w:rPr>
            </w:pPr>
          </w:p>
        </w:tc>
        <w:tc>
          <w:tcPr>
            <w:tcW w:w="942" w:type="dxa"/>
            <w:vMerge w:val="continue"/>
            <w:tcBorders>
              <w:top w:val="nil"/>
              <w:bottom w:val="nil"/>
            </w:tcBorders>
            <w:vAlign w:val="top"/>
          </w:tcPr>
          <w:p w14:paraId="138A5FA5">
            <w:pPr>
              <w:rPr>
                <w:rFonts w:ascii="Arial"/>
                <w:sz w:val="21"/>
              </w:rPr>
            </w:pPr>
          </w:p>
        </w:tc>
        <w:tc>
          <w:tcPr>
            <w:tcW w:w="1360" w:type="dxa"/>
            <w:vMerge w:val="continue"/>
            <w:tcBorders>
              <w:top w:val="nil"/>
              <w:bottom w:val="nil"/>
            </w:tcBorders>
            <w:vAlign w:val="top"/>
          </w:tcPr>
          <w:p w14:paraId="407E5EBC">
            <w:pPr>
              <w:rPr>
                <w:rFonts w:ascii="Arial"/>
                <w:sz w:val="21"/>
              </w:rPr>
            </w:pPr>
          </w:p>
        </w:tc>
        <w:tc>
          <w:tcPr>
            <w:tcW w:w="1581" w:type="dxa"/>
            <w:vAlign w:val="top"/>
          </w:tcPr>
          <w:p w14:paraId="0AFEEB04">
            <w:pPr>
              <w:pStyle w:val="51"/>
              <w:spacing w:before="87" w:line="226" w:lineRule="auto"/>
              <w:ind w:left="83"/>
              <w:rPr>
                <w:sz w:val="17"/>
                <w:szCs w:val="17"/>
              </w:rPr>
            </w:pPr>
            <w:r>
              <w:rPr>
                <w:spacing w:val="7"/>
                <w:sz w:val="17"/>
                <w:szCs w:val="17"/>
              </w:rPr>
              <w:t>熟制动物性水产制</w:t>
            </w:r>
          </w:p>
          <w:p w14:paraId="6EFDCA78">
            <w:pPr>
              <w:pStyle w:val="51"/>
              <w:spacing w:before="92" w:line="225" w:lineRule="auto"/>
              <w:ind w:left="729"/>
              <w:rPr>
                <w:sz w:val="17"/>
                <w:szCs w:val="17"/>
              </w:rPr>
            </w:pPr>
            <w:r>
              <w:rPr>
                <w:sz w:val="17"/>
                <w:szCs w:val="17"/>
              </w:rPr>
              <w:t>品</w:t>
            </w:r>
          </w:p>
        </w:tc>
        <w:tc>
          <w:tcPr>
            <w:tcW w:w="1586" w:type="dxa"/>
            <w:vAlign w:val="top"/>
          </w:tcPr>
          <w:p w14:paraId="4FFE3006">
            <w:pPr>
              <w:pStyle w:val="51"/>
              <w:spacing w:before="87" w:line="226" w:lineRule="auto"/>
              <w:ind w:left="86"/>
              <w:rPr>
                <w:sz w:val="17"/>
                <w:szCs w:val="17"/>
              </w:rPr>
            </w:pPr>
            <w:r>
              <w:rPr>
                <w:spacing w:val="7"/>
                <w:sz w:val="17"/>
                <w:szCs w:val="17"/>
              </w:rPr>
              <w:t>熟制动物性水产制</w:t>
            </w:r>
          </w:p>
          <w:p w14:paraId="33AA03A8">
            <w:pPr>
              <w:pStyle w:val="51"/>
              <w:spacing w:before="92" w:line="225" w:lineRule="auto"/>
              <w:ind w:left="731"/>
              <w:rPr>
                <w:sz w:val="17"/>
                <w:szCs w:val="17"/>
              </w:rPr>
            </w:pPr>
            <w:r>
              <w:rPr>
                <w:sz w:val="17"/>
                <w:szCs w:val="17"/>
              </w:rPr>
              <w:t>品</w:t>
            </w:r>
          </w:p>
        </w:tc>
        <w:tc>
          <w:tcPr>
            <w:tcW w:w="682" w:type="dxa"/>
            <w:vAlign w:val="top"/>
          </w:tcPr>
          <w:p w14:paraId="0A64FEEA">
            <w:pPr>
              <w:pStyle w:val="51"/>
              <w:spacing w:before="239" w:line="230" w:lineRule="auto"/>
              <w:ind w:left="267"/>
              <w:rPr>
                <w:sz w:val="17"/>
                <w:szCs w:val="17"/>
              </w:rPr>
            </w:pPr>
            <w:r>
              <w:rPr>
                <w:sz w:val="17"/>
                <w:szCs w:val="17"/>
              </w:rPr>
              <w:t>高</w:t>
            </w:r>
          </w:p>
        </w:tc>
        <w:tc>
          <w:tcPr>
            <w:tcW w:w="8563" w:type="dxa"/>
            <w:vAlign w:val="top"/>
          </w:tcPr>
          <w:p w14:paraId="5F686427">
            <w:pPr>
              <w:pStyle w:val="51"/>
              <w:spacing w:before="95" w:line="271" w:lineRule="auto"/>
              <w:ind w:left="44" w:right="26" w:hanging="7"/>
              <w:rPr>
                <w:sz w:val="17"/>
                <w:szCs w:val="17"/>
              </w:rPr>
            </w:pPr>
            <w:r>
              <w:rPr>
                <w:spacing w:val="8"/>
                <w:sz w:val="17"/>
                <w:szCs w:val="17"/>
              </w:rPr>
              <w:t>铅(以</w:t>
            </w:r>
            <w:r>
              <w:rPr>
                <w:sz w:val="17"/>
                <w:szCs w:val="17"/>
              </w:rPr>
              <w:t>Pb</w:t>
            </w:r>
            <w:r>
              <w:rPr>
                <w:spacing w:val="8"/>
                <w:sz w:val="17"/>
                <w:szCs w:val="17"/>
              </w:rPr>
              <w:t>计)、镉(以</w:t>
            </w:r>
            <w:r>
              <w:rPr>
                <w:sz w:val="17"/>
                <w:szCs w:val="17"/>
              </w:rPr>
              <w:t>Cd</w:t>
            </w:r>
            <w:r>
              <w:rPr>
                <w:spacing w:val="8"/>
                <w:sz w:val="17"/>
                <w:szCs w:val="17"/>
              </w:rPr>
              <w:t>计)、苯甲酸及其钠盐(以苯甲酸计)、山梨酸及其钾盐(以山梨酸计)、甜蜜素(以环己基氨基磺酸计)、脱氢乙酸及其钠盐(以脱氢乙酸计)</w:t>
            </w:r>
          </w:p>
        </w:tc>
      </w:tr>
      <w:tr w14:paraId="49E267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459" w:type="dxa"/>
            <w:vMerge w:val="continue"/>
            <w:tcBorders>
              <w:top w:val="nil"/>
              <w:bottom w:val="nil"/>
            </w:tcBorders>
            <w:vAlign w:val="top"/>
          </w:tcPr>
          <w:p w14:paraId="7F1001CE">
            <w:pPr>
              <w:rPr>
                <w:rFonts w:ascii="Arial"/>
                <w:sz w:val="21"/>
              </w:rPr>
            </w:pPr>
          </w:p>
        </w:tc>
        <w:tc>
          <w:tcPr>
            <w:tcW w:w="942" w:type="dxa"/>
            <w:vMerge w:val="continue"/>
            <w:tcBorders>
              <w:top w:val="nil"/>
              <w:bottom w:val="nil"/>
            </w:tcBorders>
            <w:vAlign w:val="top"/>
          </w:tcPr>
          <w:p w14:paraId="3355830D">
            <w:pPr>
              <w:rPr>
                <w:rFonts w:ascii="Arial"/>
                <w:sz w:val="21"/>
              </w:rPr>
            </w:pPr>
          </w:p>
        </w:tc>
        <w:tc>
          <w:tcPr>
            <w:tcW w:w="1360" w:type="dxa"/>
            <w:vMerge w:val="continue"/>
            <w:tcBorders>
              <w:top w:val="nil"/>
              <w:bottom w:val="nil"/>
            </w:tcBorders>
            <w:vAlign w:val="top"/>
          </w:tcPr>
          <w:p w14:paraId="41422E1B">
            <w:pPr>
              <w:rPr>
                <w:rFonts w:ascii="Arial"/>
                <w:sz w:val="21"/>
              </w:rPr>
            </w:pPr>
          </w:p>
        </w:tc>
        <w:tc>
          <w:tcPr>
            <w:tcW w:w="1581" w:type="dxa"/>
            <w:vAlign w:val="top"/>
          </w:tcPr>
          <w:p w14:paraId="2675A29B">
            <w:pPr>
              <w:pStyle w:val="51"/>
              <w:spacing w:before="197" w:line="229" w:lineRule="auto"/>
              <w:ind w:left="359"/>
              <w:rPr>
                <w:sz w:val="17"/>
                <w:szCs w:val="17"/>
              </w:rPr>
            </w:pPr>
            <w:r>
              <w:rPr>
                <w:spacing w:val="5"/>
                <w:sz w:val="17"/>
                <w:szCs w:val="17"/>
              </w:rPr>
              <w:t>生食水产品</w:t>
            </w:r>
          </w:p>
        </w:tc>
        <w:tc>
          <w:tcPr>
            <w:tcW w:w="1586" w:type="dxa"/>
            <w:vAlign w:val="top"/>
          </w:tcPr>
          <w:p w14:paraId="19F4B3F6">
            <w:pPr>
              <w:pStyle w:val="51"/>
              <w:spacing w:before="197" w:line="226" w:lineRule="auto"/>
              <w:ind w:left="91"/>
              <w:rPr>
                <w:sz w:val="17"/>
                <w:szCs w:val="17"/>
              </w:rPr>
            </w:pPr>
            <w:r>
              <w:rPr>
                <w:spacing w:val="7"/>
                <w:sz w:val="17"/>
                <w:szCs w:val="17"/>
              </w:rPr>
              <w:t>生食动物性水产品</w:t>
            </w:r>
          </w:p>
        </w:tc>
        <w:tc>
          <w:tcPr>
            <w:tcW w:w="682" w:type="dxa"/>
            <w:vAlign w:val="top"/>
          </w:tcPr>
          <w:p w14:paraId="46477F47">
            <w:pPr>
              <w:pStyle w:val="51"/>
              <w:spacing w:before="197" w:line="230" w:lineRule="auto"/>
              <w:ind w:left="267"/>
              <w:rPr>
                <w:sz w:val="17"/>
                <w:szCs w:val="17"/>
              </w:rPr>
            </w:pPr>
            <w:r>
              <w:rPr>
                <w:sz w:val="17"/>
                <w:szCs w:val="17"/>
              </w:rPr>
              <w:t>高</w:t>
            </w:r>
          </w:p>
        </w:tc>
        <w:tc>
          <w:tcPr>
            <w:tcW w:w="8563" w:type="dxa"/>
            <w:vAlign w:val="top"/>
          </w:tcPr>
          <w:p w14:paraId="0E4FF3A0">
            <w:pPr>
              <w:pStyle w:val="51"/>
              <w:spacing w:before="56" w:line="249" w:lineRule="auto"/>
              <w:ind w:left="37" w:right="27" w:firstLine="1"/>
              <w:rPr>
                <w:sz w:val="17"/>
                <w:szCs w:val="17"/>
              </w:rPr>
            </w:pPr>
            <w:r>
              <w:rPr>
                <w:spacing w:val="9"/>
                <w:sz w:val="17"/>
                <w:szCs w:val="17"/>
              </w:rPr>
              <w:t>挥发性盐基氮、苯甲酸及其钠盐(以苯甲酸计)、山</w:t>
            </w:r>
            <w:r>
              <w:rPr>
                <w:spacing w:val="8"/>
                <w:sz w:val="17"/>
                <w:szCs w:val="17"/>
              </w:rPr>
              <w:t>梨酸及其钾盐(以山梨酸计)、铝的残留量(以即食海蜇中</w:t>
            </w:r>
            <w:r>
              <w:rPr>
                <w:sz w:val="17"/>
                <w:szCs w:val="17"/>
              </w:rPr>
              <w:t>Al</w:t>
            </w:r>
            <w:r>
              <w:rPr>
                <w:spacing w:val="9"/>
                <w:sz w:val="17"/>
                <w:szCs w:val="17"/>
              </w:rPr>
              <w:t>计)、菌落总数、大肠菌群、沙门氏菌、副溶血性弧菌、单核细胞增生李斯特氏菌</w:t>
            </w:r>
          </w:p>
        </w:tc>
      </w:tr>
      <w:tr w14:paraId="322E7A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459" w:type="dxa"/>
            <w:vMerge w:val="continue"/>
            <w:tcBorders>
              <w:top w:val="nil"/>
            </w:tcBorders>
            <w:vAlign w:val="top"/>
          </w:tcPr>
          <w:p w14:paraId="4459C03B">
            <w:pPr>
              <w:rPr>
                <w:rFonts w:ascii="Arial"/>
                <w:sz w:val="21"/>
              </w:rPr>
            </w:pPr>
          </w:p>
        </w:tc>
        <w:tc>
          <w:tcPr>
            <w:tcW w:w="942" w:type="dxa"/>
            <w:vMerge w:val="continue"/>
            <w:tcBorders>
              <w:top w:val="nil"/>
            </w:tcBorders>
            <w:vAlign w:val="top"/>
          </w:tcPr>
          <w:p w14:paraId="703675CF">
            <w:pPr>
              <w:rPr>
                <w:rFonts w:ascii="Arial"/>
                <w:sz w:val="21"/>
              </w:rPr>
            </w:pPr>
          </w:p>
        </w:tc>
        <w:tc>
          <w:tcPr>
            <w:tcW w:w="1360" w:type="dxa"/>
            <w:vMerge w:val="continue"/>
            <w:tcBorders>
              <w:top w:val="nil"/>
            </w:tcBorders>
            <w:vAlign w:val="top"/>
          </w:tcPr>
          <w:p w14:paraId="3A706C0E">
            <w:pPr>
              <w:rPr>
                <w:rFonts w:ascii="Arial"/>
                <w:sz w:val="21"/>
              </w:rPr>
            </w:pPr>
          </w:p>
        </w:tc>
        <w:tc>
          <w:tcPr>
            <w:tcW w:w="1581" w:type="dxa"/>
            <w:vAlign w:val="top"/>
          </w:tcPr>
          <w:p w14:paraId="1ACFC0E5">
            <w:pPr>
              <w:spacing w:line="271" w:lineRule="auto"/>
              <w:rPr>
                <w:rFonts w:ascii="Arial"/>
                <w:sz w:val="21"/>
              </w:rPr>
            </w:pPr>
          </w:p>
          <w:p w14:paraId="2F253F09">
            <w:pPr>
              <w:pStyle w:val="51"/>
              <w:spacing w:before="55" w:line="227" w:lineRule="auto"/>
              <w:ind w:left="259"/>
              <w:rPr>
                <w:sz w:val="17"/>
                <w:szCs w:val="17"/>
              </w:rPr>
            </w:pPr>
            <w:r>
              <w:rPr>
                <w:spacing w:val="7"/>
                <w:sz w:val="17"/>
                <w:szCs w:val="17"/>
              </w:rPr>
              <w:t>其他水产制品</w:t>
            </w:r>
          </w:p>
        </w:tc>
        <w:tc>
          <w:tcPr>
            <w:tcW w:w="1586" w:type="dxa"/>
            <w:vAlign w:val="top"/>
          </w:tcPr>
          <w:p w14:paraId="1E135761">
            <w:pPr>
              <w:spacing w:line="271" w:lineRule="auto"/>
              <w:rPr>
                <w:rFonts w:ascii="Arial"/>
                <w:sz w:val="21"/>
              </w:rPr>
            </w:pPr>
          </w:p>
          <w:p w14:paraId="0B208FC2">
            <w:pPr>
              <w:pStyle w:val="51"/>
              <w:spacing w:before="55" w:line="227" w:lineRule="auto"/>
              <w:ind w:left="262"/>
              <w:rPr>
                <w:sz w:val="17"/>
                <w:szCs w:val="17"/>
              </w:rPr>
            </w:pPr>
            <w:r>
              <w:rPr>
                <w:spacing w:val="7"/>
                <w:sz w:val="17"/>
                <w:szCs w:val="17"/>
              </w:rPr>
              <w:t>其他水产制品</w:t>
            </w:r>
          </w:p>
        </w:tc>
        <w:tc>
          <w:tcPr>
            <w:tcW w:w="682" w:type="dxa"/>
            <w:vAlign w:val="top"/>
          </w:tcPr>
          <w:p w14:paraId="4A778031">
            <w:pPr>
              <w:spacing w:line="271" w:lineRule="auto"/>
              <w:rPr>
                <w:rFonts w:ascii="Arial"/>
                <w:sz w:val="21"/>
              </w:rPr>
            </w:pPr>
          </w:p>
          <w:p w14:paraId="78B98263">
            <w:pPr>
              <w:pStyle w:val="51"/>
              <w:spacing w:before="55" w:line="230" w:lineRule="auto"/>
              <w:ind w:left="173"/>
              <w:rPr>
                <w:sz w:val="17"/>
                <w:szCs w:val="17"/>
              </w:rPr>
            </w:pPr>
            <w:r>
              <w:rPr>
                <w:spacing w:val="2"/>
                <w:sz w:val="17"/>
                <w:szCs w:val="17"/>
              </w:rPr>
              <w:t>一般</w:t>
            </w:r>
          </w:p>
        </w:tc>
        <w:tc>
          <w:tcPr>
            <w:tcW w:w="8563" w:type="dxa"/>
            <w:vAlign w:val="top"/>
          </w:tcPr>
          <w:p w14:paraId="0B84DBC3">
            <w:pPr>
              <w:pStyle w:val="51"/>
              <w:spacing w:before="55" w:line="260" w:lineRule="auto"/>
              <w:ind w:left="37" w:right="26"/>
              <w:jc w:val="both"/>
              <w:rPr>
                <w:sz w:val="17"/>
                <w:szCs w:val="17"/>
              </w:rPr>
            </w:pPr>
            <w:r>
              <w:rPr>
                <w:spacing w:val="8"/>
                <w:sz w:val="17"/>
                <w:szCs w:val="17"/>
              </w:rPr>
              <w:t>铅(以</w:t>
            </w:r>
            <w:r>
              <w:rPr>
                <w:sz w:val="17"/>
                <w:szCs w:val="17"/>
              </w:rPr>
              <w:t>Pb</w:t>
            </w:r>
            <w:r>
              <w:rPr>
                <w:spacing w:val="8"/>
                <w:sz w:val="17"/>
                <w:szCs w:val="17"/>
              </w:rPr>
              <w:t>计)、苯甲酸及其钠盐(以苯甲酸计)、山梨酸及其钾盐(以山梨酸计)、脱氢乙酸及其钠盐(以脱氢乙酸</w:t>
            </w:r>
            <w:r>
              <w:rPr>
                <w:spacing w:val="9"/>
                <w:sz w:val="17"/>
                <w:szCs w:val="17"/>
              </w:rPr>
              <w:t>计)、合成着色剂(柠檬黄)、甜蜜素（以环己基氨基磺</w:t>
            </w:r>
            <w:r>
              <w:rPr>
                <w:spacing w:val="8"/>
                <w:sz w:val="17"/>
                <w:szCs w:val="17"/>
              </w:rPr>
              <w:t>酸计）、防腐剂混合使用时各自用量占其最大使用量的比例之和、菌落总数、糖精钠(以糖精计)</w:t>
            </w:r>
          </w:p>
        </w:tc>
      </w:tr>
      <w:tr w14:paraId="34FF5C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459" w:type="dxa"/>
            <w:vMerge w:val="restart"/>
            <w:tcBorders>
              <w:bottom w:val="nil"/>
            </w:tcBorders>
            <w:vAlign w:val="top"/>
          </w:tcPr>
          <w:p w14:paraId="6E570B27">
            <w:pPr>
              <w:spacing w:line="246" w:lineRule="auto"/>
              <w:rPr>
                <w:rFonts w:ascii="Arial"/>
                <w:sz w:val="21"/>
              </w:rPr>
            </w:pPr>
          </w:p>
          <w:p w14:paraId="58280B96">
            <w:pPr>
              <w:spacing w:line="246" w:lineRule="auto"/>
              <w:rPr>
                <w:rFonts w:ascii="Arial"/>
                <w:sz w:val="21"/>
              </w:rPr>
            </w:pPr>
          </w:p>
          <w:p w14:paraId="74B88E66">
            <w:pPr>
              <w:spacing w:line="246" w:lineRule="auto"/>
              <w:rPr>
                <w:rFonts w:ascii="Arial"/>
                <w:sz w:val="21"/>
              </w:rPr>
            </w:pPr>
          </w:p>
          <w:p w14:paraId="75B8EF37">
            <w:pPr>
              <w:spacing w:line="246" w:lineRule="auto"/>
              <w:rPr>
                <w:rFonts w:ascii="Arial"/>
                <w:sz w:val="21"/>
              </w:rPr>
            </w:pPr>
          </w:p>
          <w:p w14:paraId="13B782A3">
            <w:pPr>
              <w:spacing w:line="247" w:lineRule="auto"/>
              <w:rPr>
                <w:rFonts w:ascii="Arial"/>
                <w:sz w:val="21"/>
              </w:rPr>
            </w:pPr>
          </w:p>
          <w:p w14:paraId="52863553">
            <w:pPr>
              <w:spacing w:line="247" w:lineRule="auto"/>
              <w:rPr>
                <w:rFonts w:ascii="Arial"/>
                <w:sz w:val="21"/>
              </w:rPr>
            </w:pPr>
          </w:p>
          <w:p w14:paraId="33CDA89A">
            <w:pPr>
              <w:pStyle w:val="51"/>
              <w:spacing w:before="55" w:line="227" w:lineRule="exact"/>
              <w:ind w:left="145"/>
              <w:rPr>
                <w:sz w:val="17"/>
                <w:szCs w:val="17"/>
              </w:rPr>
            </w:pPr>
            <w:r>
              <w:rPr>
                <w:position w:val="1"/>
                <w:sz w:val="17"/>
                <w:szCs w:val="17"/>
              </w:rPr>
              <w:t>23</w:t>
            </w:r>
          </w:p>
        </w:tc>
        <w:tc>
          <w:tcPr>
            <w:tcW w:w="942" w:type="dxa"/>
            <w:vMerge w:val="restart"/>
            <w:tcBorders>
              <w:bottom w:val="nil"/>
            </w:tcBorders>
            <w:vAlign w:val="top"/>
          </w:tcPr>
          <w:p w14:paraId="6203ABB8">
            <w:pPr>
              <w:spacing w:line="265" w:lineRule="auto"/>
              <w:rPr>
                <w:rFonts w:ascii="Arial"/>
                <w:sz w:val="21"/>
              </w:rPr>
            </w:pPr>
          </w:p>
          <w:p w14:paraId="2DA142A5">
            <w:pPr>
              <w:spacing w:line="265" w:lineRule="auto"/>
              <w:rPr>
                <w:rFonts w:ascii="Arial"/>
                <w:sz w:val="21"/>
              </w:rPr>
            </w:pPr>
          </w:p>
          <w:p w14:paraId="581120F6">
            <w:pPr>
              <w:spacing w:line="266" w:lineRule="auto"/>
              <w:rPr>
                <w:rFonts w:ascii="Arial"/>
                <w:sz w:val="21"/>
              </w:rPr>
            </w:pPr>
          </w:p>
          <w:p w14:paraId="098211C5">
            <w:pPr>
              <w:spacing w:line="266" w:lineRule="auto"/>
              <w:rPr>
                <w:rFonts w:ascii="Arial"/>
                <w:sz w:val="21"/>
              </w:rPr>
            </w:pPr>
          </w:p>
          <w:p w14:paraId="095258F6">
            <w:pPr>
              <w:spacing w:line="266" w:lineRule="auto"/>
              <w:rPr>
                <w:rFonts w:ascii="Arial"/>
                <w:sz w:val="21"/>
              </w:rPr>
            </w:pPr>
          </w:p>
          <w:p w14:paraId="5359CB1F">
            <w:pPr>
              <w:pStyle w:val="51"/>
              <w:spacing w:before="55" w:line="326" w:lineRule="auto"/>
              <w:ind w:left="208" w:right="112" w:hanging="87"/>
              <w:rPr>
                <w:sz w:val="17"/>
                <w:szCs w:val="17"/>
              </w:rPr>
            </w:pPr>
            <w:r>
              <w:rPr>
                <w:spacing w:val="5"/>
                <w:sz w:val="17"/>
                <w:szCs w:val="17"/>
              </w:rPr>
              <w:t>淀粉及淀粉制品</w:t>
            </w:r>
          </w:p>
        </w:tc>
        <w:tc>
          <w:tcPr>
            <w:tcW w:w="1360" w:type="dxa"/>
            <w:vMerge w:val="restart"/>
            <w:tcBorders>
              <w:bottom w:val="nil"/>
            </w:tcBorders>
            <w:vAlign w:val="top"/>
          </w:tcPr>
          <w:p w14:paraId="76875486">
            <w:pPr>
              <w:spacing w:line="246" w:lineRule="auto"/>
              <w:rPr>
                <w:rFonts w:ascii="Arial"/>
                <w:sz w:val="21"/>
              </w:rPr>
            </w:pPr>
          </w:p>
          <w:p w14:paraId="6F41E7C3">
            <w:pPr>
              <w:spacing w:line="246" w:lineRule="auto"/>
              <w:rPr>
                <w:rFonts w:ascii="Arial"/>
                <w:sz w:val="21"/>
              </w:rPr>
            </w:pPr>
          </w:p>
          <w:p w14:paraId="711ADEB1">
            <w:pPr>
              <w:spacing w:line="246" w:lineRule="auto"/>
              <w:rPr>
                <w:rFonts w:ascii="Arial"/>
                <w:sz w:val="21"/>
              </w:rPr>
            </w:pPr>
          </w:p>
          <w:p w14:paraId="6760C1B0">
            <w:pPr>
              <w:spacing w:line="246" w:lineRule="auto"/>
              <w:rPr>
                <w:rFonts w:ascii="Arial"/>
                <w:sz w:val="21"/>
              </w:rPr>
            </w:pPr>
          </w:p>
          <w:p w14:paraId="50A360B4">
            <w:pPr>
              <w:spacing w:line="247" w:lineRule="auto"/>
              <w:rPr>
                <w:rFonts w:ascii="Arial"/>
                <w:sz w:val="21"/>
              </w:rPr>
            </w:pPr>
          </w:p>
          <w:p w14:paraId="40B55416">
            <w:pPr>
              <w:spacing w:line="247" w:lineRule="auto"/>
              <w:rPr>
                <w:rFonts w:ascii="Arial"/>
                <w:sz w:val="21"/>
              </w:rPr>
            </w:pPr>
          </w:p>
          <w:p w14:paraId="6F6B7A6D">
            <w:pPr>
              <w:pStyle w:val="51"/>
              <w:spacing w:before="55" w:line="227" w:lineRule="auto"/>
              <w:ind w:left="59"/>
              <w:rPr>
                <w:sz w:val="17"/>
                <w:szCs w:val="17"/>
              </w:rPr>
            </w:pPr>
            <w:r>
              <w:rPr>
                <w:spacing w:val="7"/>
                <w:sz w:val="17"/>
                <w:szCs w:val="17"/>
              </w:rPr>
              <w:t>淀粉及淀粉制品</w:t>
            </w:r>
          </w:p>
        </w:tc>
        <w:tc>
          <w:tcPr>
            <w:tcW w:w="1581" w:type="dxa"/>
            <w:vAlign w:val="top"/>
          </w:tcPr>
          <w:p w14:paraId="1FEFE4E4">
            <w:pPr>
              <w:pStyle w:val="51"/>
              <w:spacing w:before="136" w:line="229" w:lineRule="auto"/>
              <w:ind w:left="622"/>
              <w:rPr>
                <w:sz w:val="17"/>
                <w:szCs w:val="17"/>
              </w:rPr>
            </w:pPr>
            <w:r>
              <w:rPr>
                <w:spacing w:val="1"/>
                <w:sz w:val="17"/>
                <w:szCs w:val="17"/>
              </w:rPr>
              <w:t>淀粉</w:t>
            </w:r>
          </w:p>
        </w:tc>
        <w:tc>
          <w:tcPr>
            <w:tcW w:w="1586" w:type="dxa"/>
            <w:vAlign w:val="top"/>
          </w:tcPr>
          <w:p w14:paraId="0B2B49AB">
            <w:pPr>
              <w:pStyle w:val="51"/>
              <w:spacing w:before="136" w:line="229" w:lineRule="auto"/>
              <w:ind w:left="625"/>
              <w:rPr>
                <w:sz w:val="17"/>
                <w:szCs w:val="17"/>
              </w:rPr>
            </w:pPr>
            <w:r>
              <w:rPr>
                <w:spacing w:val="1"/>
                <w:sz w:val="17"/>
                <w:szCs w:val="17"/>
              </w:rPr>
              <w:t>淀粉</w:t>
            </w:r>
          </w:p>
        </w:tc>
        <w:tc>
          <w:tcPr>
            <w:tcW w:w="682" w:type="dxa"/>
            <w:vAlign w:val="top"/>
          </w:tcPr>
          <w:p w14:paraId="4CE4ABF0">
            <w:pPr>
              <w:pStyle w:val="51"/>
              <w:spacing w:before="136" w:line="230" w:lineRule="auto"/>
              <w:ind w:left="173"/>
              <w:rPr>
                <w:sz w:val="17"/>
                <w:szCs w:val="17"/>
              </w:rPr>
            </w:pPr>
            <w:r>
              <w:rPr>
                <w:spacing w:val="2"/>
                <w:sz w:val="17"/>
                <w:szCs w:val="17"/>
              </w:rPr>
              <w:t>一般</w:t>
            </w:r>
          </w:p>
        </w:tc>
        <w:tc>
          <w:tcPr>
            <w:tcW w:w="8563" w:type="dxa"/>
            <w:vAlign w:val="top"/>
          </w:tcPr>
          <w:p w14:paraId="5EC2785B">
            <w:pPr>
              <w:pStyle w:val="51"/>
              <w:spacing w:before="123" w:line="227" w:lineRule="auto"/>
              <w:ind w:left="37"/>
              <w:rPr>
                <w:sz w:val="17"/>
                <w:szCs w:val="17"/>
              </w:rPr>
            </w:pPr>
            <w:r>
              <w:rPr>
                <w:spacing w:val="9"/>
                <w:sz w:val="17"/>
                <w:szCs w:val="17"/>
              </w:rPr>
              <w:t>铅(以</w:t>
            </w:r>
            <w:r>
              <w:rPr>
                <w:sz w:val="17"/>
                <w:szCs w:val="17"/>
              </w:rPr>
              <w:t>Pb</w:t>
            </w:r>
            <w:r>
              <w:rPr>
                <w:spacing w:val="9"/>
                <w:sz w:val="17"/>
                <w:szCs w:val="17"/>
              </w:rPr>
              <w:t>计)、霉菌和酵母、二氧化硫残留量、脱氢乙酸及其钠盐(以脱氢乙酸计)、葛根素、水分、氢氰酸</w:t>
            </w:r>
          </w:p>
        </w:tc>
      </w:tr>
      <w:tr w14:paraId="200E96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459" w:type="dxa"/>
            <w:vMerge w:val="continue"/>
            <w:tcBorders>
              <w:top w:val="nil"/>
              <w:bottom w:val="nil"/>
            </w:tcBorders>
            <w:vAlign w:val="top"/>
          </w:tcPr>
          <w:p w14:paraId="22B216EF">
            <w:pPr>
              <w:rPr>
                <w:rFonts w:ascii="Arial"/>
                <w:sz w:val="21"/>
              </w:rPr>
            </w:pPr>
          </w:p>
        </w:tc>
        <w:tc>
          <w:tcPr>
            <w:tcW w:w="942" w:type="dxa"/>
            <w:vMerge w:val="continue"/>
            <w:tcBorders>
              <w:top w:val="nil"/>
              <w:bottom w:val="nil"/>
            </w:tcBorders>
            <w:vAlign w:val="top"/>
          </w:tcPr>
          <w:p w14:paraId="6E599E2F">
            <w:pPr>
              <w:rPr>
                <w:rFonts w:ascii="Arial"/>
                <w:sz w:val="21"/>
              </w:rPr>
            </w:pPr>
          </w:p>
        </w:tc>
        <w:tc>
          <w:tcPr>
            <w:tcW w:w="1360" w:type="dxa"/>
            <w:vMerge w:val="continue"/>
            <w:tcBorders>
              <w:top w:val="nil"/>
              <w:bottom w:val="nil"/>
            </w:tcBorders>
            <w:vAlign w:val="top"/>
          </w:tcPr>
          <w:p w14:paraId="5E0E1799">
            <w:pPr>
              <w:rPr>
                <w:rFonts w:ascii="Arial"/>
                <w:sz w:val="21"/>
              </w:rPr>
            </w:pPr>
          </w:p>
        </w:tc>
        <w:tc>
          <w:tcPr>
            <w:tcW w:w="1581" w:type="dxa"/>
            <w:vMerge w:val="restart"/>
            <w:tcBorders>
              <w:bottom w:val="nil"/>
            </w:tcBorders>
            <w:vAlign w:val="top"/>
          </w:tcPr>
          <w:p w14:paraId="722F006F">
            <w:pPr>
              <w:spacing w:line="251" w:lineRule="auto"/>
              <w:rPr>
                <w:rFonts w:ascii="Arial"/>
                <w:sz w:val="21"/>
              </w:rPr>
            </w:pPr>
          </w:p>
          <w:p w14:paraId="33A34BA9">
            <w:pPr>
              <w:spacing w:line="251" w:lineRule="auto"/>
              <w:rPr>
                <w:rFonts w:ascii="Arial"/>
                <w:sz w:val="21"/>
              </w:rPr>
            </w:pPr>
          </w:p>
          <w:p w14:paraId="45F83DB6">
            <w:pPr>
              <w:spacing w:line="252" w:lineRule="auto"/>
              <w:rPr>
                <w:rFonts w:ascii="Arial"/>
                <w:sz w:val="21"/>
              </w:rPr>
            </w:pPr>
          </w:p>
          <w:p w14:paraId="66128A29">
            <w:pPr>
              <w:pStyle w:val="51"/>
              <w:spacing w:before="55" w:line="227" w:lineRule="auto"/>
              <w:ind w:left="442"/>
              <w:rPr>
                <w:sz w:val="17"/>
                <w:szCs w:val="17"/>
              </w:rPr>
            </w:pPr>
            <w:r>
              <w:rPr>
                <w:spacing w:val="5"/>
                <w:sz w:val="17"/>
                <w:szCs w:val="17"/>
              </w:rPr>
              <w:t>淀粉制品</w:t>
            </w:r>
          </w:p>
        </w:tc>
        <w:tc>
          <w:tcPr>
            <w:tcW w:w="1586" w:type="dxa"/>
            <w:vAlign w:val="top"/>
          </w:tcPr>
          <w:p w14:paraId="4CC6BC46">
            <w:pPr>
              <w:spacing w:line="272" w:lineRule="auto"/>
              <w:rPr>
                <w:rFonts w:ascii="Arial"/>
                <w:sz w:val="21"/>
              </w:rPr>
            </w:pPr>
          </w:p>
          <w:p w14:paraId="6A910246">
            <w:pPr>
              <w:pStyle w:val="51"/>
              <w:spacing w:before="55" w:line="229" w:lineRule="auto"/>
              <w:ind w:left="441"/>
              <w:rPr>
                <w:sz w:val="17"/>
                <w:szCs w:val="17"/>
              </w:rPr>
            </w:pPr>
            <w:r>
              <w:rPr>
                <w:spacing w:val="6"/>
                <w:sz w:val="17"/>
                <w:szCs w:val="17"/>
              </w:rPr>
              <w:t>粉丝粉条</w:t>
            </w:r>
          </w:p>
        </w:tc>
        <w:tc>
          <w:tcPr>
            <w:tcW w:w="682" w:type="dxa"/>
            <w:vAlign w:val="top"/>
          </w:tcPr>
          <w:p w14:paraId="2AE59400">
            <w:pPr>
              <w:spacing w:line="272" w:lineRule="auto"/>
              <w:rPr>
                <w:rFonts w:ascii="Arial"/>
                <w:sz w:val="21"/>
              </w:rPr>
            </w:pPr>
          </w:p>
          <w:p w14:paraId="5B484F13">
            <w:pPr>
              <w:pStyle w:val="51"/>
              <w:spacing w:before="55" w:line="227" w:lineRule="auto"/>
              <w:ind w:left="170"/>
              <w:rPr>
                <w:sz w:val="17"/>
                <w:szCs w:val="17"/>
              </w:rPr>
            </w:pPr>
            <w:r>
              <w:rPr>
                <w:spacing w:val="3"/>
                <w:sz w:val="17"/>
                <w:szCs w:val="17"/>
              </w:rPr>
              <w:t>较高</w:t>
            </w:r>
          </w:p>
        </w:tc>
        <w:tc>
          <w:tcPr>
            <w:tcW w:w="8563" w:type="dxa"/>
            <w:vAlign w:val="top"/>
          </w:tcPr>
          <w:p w14:paraId="503BAB40">
            <w:pPr>
              <w:pStyle w:val="51"/>
              <w:spacing w:before="55" w:line="260" w:lineRule="auto"/>
              <w:ind w:left="37"/>
              <w:jc w:val="both"/>
              <w:rPr>
                <w:sz w:val="17"/>
                <w:szCs w:val="17"/>
              </w:rPr>
            </w:pPr>
            <w:r>
              <w:rPr>
                <w:spacing w:val="8"/>
                <w:sz w:val="17"/>
                <w:szCs w:val="17"/>
              </w:rPr>
              <w:t>铅(以</w:t>
            </w:r>
            <w:r>
              <w:rPr>
                <w:sz w:val="17"/>
                <w:szCs w:val="17"/>
              </w:rPr>
              <w:t>Pb</w:t>
            </w:r>
            <w:r>
              <w:rPr>
                <w:spacing w:val="8"/>
                <w:sz w:val="17"/>
                <w:szCs w:val="17"/>
              </w:rPr>
              <w:t>计)、苯甲酸及其钠盐(以苯甲酸计)、山梨酸及其钾盐(以山梨酸计)、脱</w:t>
            </w:r>
            <w:r>
              <w:rPr>
                <w:spacing w:val="7"/>
                <w:sz w:val="17"/>
                <w:szCs w:val="17"/>
              </w:rPr>
              <w:t>氢乙酸及其钠盐(以脱氢乙酸计)、铝的残留量(干样品，以</w:t>
            </w:r>
            <w:r>
              <w:rPr>
                <w:sz w:val="17"/>
                <w:szCs w:val="17"/>
              </w:rPr>
              <w:t>Al</w:t>
            </w:r>
            <w:r>
              <w:rPr>
                <w:spacing w:val="7"/>
                <w:sz w:val="17"/>
                <w:szCs w:val="17"/>
              </w:rPr>
              <w:t>计)、二氧化硫残留量、合成着色剂(柠檬黄、新红、苋菜红、靛蓝、胭脂红、</w:t>
            </w:r>
            <w:r>
              <w:rPr>
                <w:spacing w:val="8"/>
                <w:sz w:val="17"/>
                <w:szCs w:val="17"/>
              </w:rPr>
              <w:t>日落黄、诱惑红、亮蓝、酸性红、喹啉黄、赤藓红)</w:t>
            </w:r>
          </w:p>
        </w:tc>
      </w:tr>
      <w:tr w14:paraId="234A00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4" w:hRule="atLeast"/>
        </w:trPr>
        <w:tc>
          <w:tcPr>
            <w:tcW w:w="459" w:type="dxa"/>
            <w:vMerge w:val="continue"/>
            <w:tcBorders>
              <w:top w:val="nil"/>
              <w:bottom w:val="nil"/>
            </w:tcBorders>
            <w:vAlign w:val="top"/>
          </w:tcPr>
          <w:p w14:paraId="55BA2B71">
            <w:pPr>
              <w:rPr>
                <w:rFonts w:ascii="Arial"/>
                <w:sz w:val="21"/>
              </w:rPr>
            </w:pPr>
          </w:p>
        </w:tc>
        <w:tc>
          <w:tcPr>
            <w:tcW w:w="942" w:type="dxa"/>
            <w:vMerge w:val="continue"/>
            <w:tcBorders>
              <w:top w:val="nil"/>
              <w:bottom w:val="nil"/>
            </w:tcBorders>
            <w:vAlign w:val="top"/>
          </w:tcPr>
          <w:p w14:paraId="5679D494">
            <w:pPr>
              <w:rPr>
                <w:rFonts w:ascii="Arial"/>
                <w:sz w:val="21"/>
              </w:rPr>
            </w:pPr>
          </w:p>
        </w:tc>
        <w:tc>
          <w:tcPr>
            <w:tcW w:w="1360" w:type="dxa"/>
            <w:vMerge w:val="continue"/>
            <w:tcBorders>
              <w:top w:val="nil"/>
              <w:bottom w:val="nil"/>
            </w:tcBorders>
            <w:vAlign w:val="top"/>
          </w:tcPr>
          <w:p w14:paraId="4CDFFA55">
            <w:pPr>
              <w:rPr>
                <w:rFonts w:ascii="Arial"/>
                <w:sz w:val="21"/>
              </w:rPr>
            </w:pPr>
          </w:p>
        </w:tc>
        <w:tc>
          <w:tcPr>
            <w:tcW w:w="1581" w:type="dxa"/>
            <w:vMerge w:val="continue"/>
            <w:tcBorders>
              <w:top w:val="nil"/>
            </w:tcBorders>
            <w:vAlign w:val="top"/>
          </w:tcPr>
          <w:p w14:paraId="3DB28B39">
            <w:pPr>
              <w:rPr>
                <w:rFonts w:ascii="Arial"/>
                <w:sz w:val="21"/>
              </w:rPr>
            </w:pPr>
          </w:p>
        </w:tc>
        <w:tc>
          <w:tcPr>
            <w:tcW w:w="1586" w:type="dxa"/>
            <w:vAlign w:val="top"/>
          </w:tcPr>
          <w:p w14:paraId="78C3BAEC">
            <w:pPr>
              <w:spacing w:line="361" w:lineRule="auto"/>
              <w:rPr>
                <w:rFonts w:ascii="Arial"/>
                <w:sz w:val="21"/>
              </w:rPr>
            </w:pPr>
          </w:p>
          <w:p w14:paraId="2952844F">
            <w:pPr>
              <w:pStyle w:val="51"/>
              <w:spacing w:before="55" w:line="227" w:lineRule="auto"/>
              <w:ind w:left="262"/>
              <w:rPr>
                <w:sz w:val="17"/>
                <w:szCs w:val="17"/>
              </w:rPr>
            </w:pPr>
            <w:r>
              <w:rPr>
                <w:spacing w:val="7"/>
                <w:sz w:val="17"/>
                <w:szCs w:val="17"/>
              </w:rPr>
              <w:t>其他淀粉制品</w:t>
            </w:r>
          </w:p>
        </w:tc>
        <w:tc>
          <w:tcPr>
            <w:tcW w:w="682" w:type="dxa"/>
            <w:vAlign w:val="top"/>
          </w:tcPr>
          <w:p w14:paraId="1BBAF12F">
            <w:pPr>
              <w:spacing w:line="361" w:lineRule="auto"/>
              <w:rPr>
                <w:rFonts w:ascii="Arial"/>
                <w:sz w:val="21"/>
              </w:rPr>
            </w:pPr>
          </w:p>
          <w:p w14:paraId="2C62599A">
            <w:pPr>
              <w:pStyle w:val="51"/>
              <w:spacing w:before="55" w:line="227" w:lineRule="auto"/>
              <w:ind w:left="170"/>
              <w:rPr>
                <w:sz w:val="17"/>
                <w:szCs w:val="17"/>
              </w:rPr>
            </w:pPr>
            <w:r>
              <w:rPr>
                <w:spacing w:val="3"/>
                <w:sz w:val="17"/>
                <w:szCs w:val="17"/>
              </w:rPr>
              <w:t>较高</w:t>
            </w:r>
          </w:p>
        </w:tc>
        <w:tc>
          <w:tcPr>
            <w:tcW w:w="8563" w:type="dxa"/>
            <w:vAlign w:val="top"/>
          </w:tcPr>
          <w:p w14:paraId="3296D95F">
            <w:pPr>
              <w:pStyle w:val="51"/>
              <w:spacing w:before="148" w:line="282" w:lineRule="auto"/>
              <w:ind w:left="36" w:right="17" w:firstLine="3"/>
              <w:jc w:val="both"/>
              <w:rPr>
                <w:sz w:val="17"/>
                <w:szCs w:val="17"/>
              </w:rPr>
            </w:pPr>
            <w:r>
              <w:rPr>
                <w:spacing w:val="10"/>
                <w:sz w:val="17"/>
                <w:szCs w:val="17"/>
              </w:rPr>
              <w:t>苯甲酸及其钠盐(以苯甲酸计)、山梨酸及其钾盐</w:t>
            </w:r>
            <w:r>
              <w:rPr>
                <w:spacing w:val="9"/>
                <w:sz w:val="17"/>
                <w:szCs w:val="17"/>
              </w:rPr>
              <w:t>(以山梨酸计)、脱氢乙酸及其钠盐（以脱氢乙酸计）、</w:t>
            </w:r>
            <w:r>
              <w:rPr>
                <w:spacing w:val="-50"/>
                <w:sz w:val="17"/>
                <w:szCs w:val="17"/>
              </w:rPr>
              <w:t xml:space="preserve"> </w:t>
            </w:r>
            <w:r>
              <w:rPr>
                <w:spacing w:val="9"/>
                <w:sz w:val="17"/>
                <w:szCs w:val="17"/>
              </w:rPr>
              <w:t>铝的残留量(干样品，以</w:t>
            </w:r>
            <w:r>
              <w:rPr>
                <w:sz w:val="17"/>
                <w:szCs w:val="17"/>
              </w:rPr>
              <w:t>Al</w:t>
            </w:r>
            <w:r>
              <w:rPr>
                <w:spacing w:val="9"/>
                <w:sz w:val="17"/>
                <w:szCs w:val="17"/>
              </w:rPr>
              <w:t>计)、二氧化硫残留量、合成着色剂(柠檬黄、新红、苋菜红、靛蓝、胭脂红、</w:t>
            </w:r>
            <w:r>
              <w:rPr>
                <w:spacing w:val="8"/>
                <w:sz w:val="17"/>
                <w:szCs w:val="17"/>
              </w:rPr>
              <w:t>日落黄、</w:t>
            </w:r>
            <w:r>
              <w:rPr>
                <w:spacing w:val="9"/>
                <w:sz w:val="17"/>
                <w:szCs w:val="17"/>
              </w:rPr>
              <w:t>诱惑红、亮蓝、酸性红、喹啉黄、赤藓红)、相同色泽着色剂混合使用时各自</w:t>
            </w:r>
            <w:r>
              <w:rPr>
                <w:spacing w:val="8"/>
                <w:sz w:val="17"/>
                <w:szCs w:val="17"/>
              </w:rPr>
              <w:t>用量占其最大使用量的比例之和</w:t>
            </w:r>
          </w:p>
        </w:tc>
      </w:tr>
      <w:tr w14:paraId="1DA836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7" w:hRule="atLeast"/>
        </w:trPr>
        <w:tc>
          <w:tcPr>
            <w:tcW w:w="459" w:type="dxa"/>
            <w:vMerge w:val="continue"/>
            <w:tcBorders>
              <w:top w:val="nil"/>
            </w:tcBorders>
            <w:vAlign w:val="top"/>
          </w:tcPr>
          <w:p w14:paraId="49DCB615">
            <w:pPr>
              <w:rPr>
                <w:rFonts w:ascii="Arial"/>
                <w:sz w:val="21"/>
              </w:rPr>
            </w:pPr>
          </w:p>
        </w:tc>
        <w:tc>
          <w:tcPr>
            <w:tcW w:w="942" w:type="dxa"/>
            <w:vMerge w:val="continue"/>
            <w:tcBorders>
              <w:top w:val="nil"/>
            </w:tcBorders>
            <w:vAlign w:val="top"/>
          </w:tcPr>
          <w:p w14:paraId="2FBF2DE8">
            <w:pPr>
              <w:rPr>
                <w:rFonts w:ascii="Arial"/>
                <w:sz w:val="21"/>
              </w:rPr>
            </w:pPr>
          </w:p>
        </w:tc>
        <w:tc>
          <w:tcPr>
            <w:tcW w:w="1360" w:type="dxa"/>
            <w:vMerge w:val="continue"/>
            <w:tcBorders>
              <w:top w:val="nil"/>
            </w:tcBorders>
            <w:vAlign w:val="top"/>
          </w:tcPr>
          <w:p w14:paraId="6D25CB6B">
            <w:pPr>
              <w:rPr>
                <w:rFonts w:ascii="Arial"/>
                <w:sz w:val="21"/>
              </w:rPr>
            </w:pPr>
          </w:p>
        </w:tc>
        <w:tc>
          <w:tcPr>
            <w:tcW w:w="1581" w:type="dxa"/>
            <w:vAlign w:val="top"/>
          </w:tcPr>
          <w:p w14:paraId="2E592AD1">
            <w:pPr>
              <w:spacing w:line="390" w:lineRule="auto"/>
              <w:rPr>
                <w:rFonts w:ascii="Arial"/>
                <w:sz w:val="21"/>
              </w:rPr>
            </w:pPr>
          </w:p>
          <w:p w14:paraId="4D1D7A67">
            <w:pPr>
              <w:pStyle w:val="51"/>
              <w:spacing w:before="55" w:line="228" w:lineRule="auto"/>
              <w:ind w:left="533"/>
              <w:rPr>
                <w:sz w:val="17"/>
                <w:szCs w:val="17"/>
              </w:rPr>
            </w:pPr>
            <w:r>
              <w:rPr>
                <w:spacing w:val="4"/>
                <w:sz w:val="17"/>
                <w:szCs w:val="17"/>
              </w:rPr>
              <w:t>淀粉糖</w:t>
            </w:r>
          </w:p>
        </w:tc>
        <w:tc>
          <w:tcPr>
            <w:tcW w:w="1586" w:type="dxa"/>
            <w:vAlign w:val="top"/>
          </w:tcPr>
          <w:p w14:paraId="3BF75F54">
            <w:pPr>
              <w:spacing w:line="390" w:lineRule="auto"/>
              <w:rPr>
                <w:rFonts w:ascii="Arial"/>
                <w:sz w:val="21"/>
              </w:rPr>
            </w:pPr>
          </w:p>
          <w:p w14:paraId="4D5C5C0F">
            <w:pPr>
              <w:pStyle w:val="51"/>
              <w:spacing w:before="55" w:line="228" w:lineRule="auto"/>
              <w:ind w:left="536"/>
              <w:rPr>
                <w:sz w:val="17"/>
                <w:szCs w:val="17"/>
              </w:rPr>
            </w:pPr>
            <w:r>
              <w:rPr>
                <w:spacing w:val="4"/>
                <w:sz w:val="17"/>
                <w:szCs w:val="17"/>
              </w:rPr>
              <w:t>淀粉糖</w:t>
            </w:r>
          </w:p>
        </w:tc>
        <w:tc>
          <w:tcPr>
            <w:tcW w:w="682" w:type="dxa"/>
            <w:vAlign w:val="top"/>
          </w:tcPr>
          <w:p w14:paraId="2C94FADD">
            <w:pPr>
              <w:spacing w:line="390" w:lineRule="auto"/>
              <w:rPr>
                <w:rFonts w:ascii="Arial"/>
                <w:sz w:val="21"/>
              </w:rPr>
            </w:pPr>
          </w:p>
          <w:p w14:paraId="24F71505">
            <w:pPr>
              <w:pStyle w:val="51"/>
              <w:spacing w:before="55" w:line="230" w:lineRule="auto"/>
              <w:ind w:left="173"/>
              <w:rPr>
                <w:sz w:val="17"/>
                <w:szCs w:val="17"/>
              </w:rPr>
            </w:pPr>
            <w:r>
              <w:rPr>
                <w:spacing w:val="2"/>
                <w:sz w:val="17"/>
                <w:szCs w:val="17"/>
              </w:rPr>
              <w:t>一般</w:t>
            </w:r>
          </w:p>
        </w:tc>
        <w:tc>
          <w:tcPr>
            <w:tcW w:w="8563" w:type="dxa"/>
            <w:vAlign w:val="top"/>
          </w:tcPr>
          <w:p w14:paraId="013879D9">
            <w:pPr>
              <w:pStyle w:val="51"/>
              <w:spacing w:before="60" w:line="265" w:lineRule="auto"/>
              <w:ind w:left="32" w:firstLine="4"/>
              <w:jc w:val="both"/>
              <w:rPr>
                <w:sz w:val="17"/>
                <w:szCs w:val="17"/>
              </w:rPr>
            </w:pPr>
            <w:r>
              <w:rPr>
                <w:spacing w:val="8"/>
                <w:sz w:val="17"/>
                <w:szCs w:val="17"/>
              </w:rPr>
              <w:t>铅(以</w:t>
            </w:r>
            <w:r>
              <w:rPr>
                <w:sz w:val="17"/>
                <w:szCs w:val="17"/>
              </w:rPr>
              <w:t>Pb</w:t>
            </w:r>
            <w:r>
              <w:rPr>
                <w:spacing w:val="8"/>
                <w:sz w:val="17"/>
                <w:szCs w:val="17"/>
              </w:rPr>
              <w:t>计)、总砷(以</w:t>
            </w:r>
            <w:r>
              <w:rPr>
                <w:sz w:val="17"/>
                <w:szCs w:val="17"/>
              </w:rPr>
              <w:t>As</w:t>
            </w:r>
            <w:r>
              <w:rPr>
                <w:spacing w:val="8"/>
                <w:sz w:val="17"/>
                <w:szCs w:val="17"/>
              </w:rPr>
              <w:t>计)、葡萄糖含量(以干基计，质量分数)、</w:t>
            </w:r>
            <w:r>
              <w:rPr>
                <w:sz w:val="17"/>
                <w:szCs w:val="17"/>
              </w:rPr>
              <w:t>IMO</w:t>
            </w:r>
            <w:r>
              <w:rPr>
                <w:spacing w:val="8"/>
                <w:sz w:val="17"/>
                <w:szCs w:val="17"/>
              </w:rPr>
              <w:t>含量(占干物质，质量分数)、</w:t>
            </w:r>
            <w:r>
              <w:rPr>
                <w:sz w:val="17"/>
                <w:szCs w:val="17"/>
              </w:rPr>
              <w:t>IG</w:t>
            </w:r>
            <w:r>
              <w:rPr>
                <w:spacing w:val="8"/>
                <w:position w:val="-2"/>
                <w:sz w:val="8"/>
                <w:szCs w:val="8"/>
              </w:rPr>
              <w:t>2</w:t>
            </w:r>
            <w:r>
              <w:rPr>
                <w:spacing w:val="8"/>
                <w:sz w:val="17"/>
                <w:szCs w:val="17"/>
              </w:rPr>
              <w:t>+P+</w:t>
            </w:r>
            <w:r>
              <w:rPr>
                <w:sz w:val="17"/>
                <w:szCs w:val="17"/>
              </w:rPr>
              <w:t>IG</w:t>
            </w:r>
            <w:r>
              <w:rPr>
                <w:spacing w:val="8"/>
                <w:position w:val="-2"/>
                <w:sz w:val="8"/>
                <w:szCs w:val="8"/>
              </w:rPr>
              <w:t>3</w:t>
            </w:r>
            <w:r>
              <w:rPr>
                <w:spacing w:val="8"/>
                <w:sz w:val="17"/>
                <w:szCs w:val="17"/>
              </w:rPr>
              <w:t>含量(占干物质，质量分数)、果糖(占干基</w:t>
            </w:r>
            <w:r>
              <w:rPr>
                <w:spacing w:val="7"/>
                <w:sz w:val="17"/>
                <w:szCs w:val="17"/>
              </w:rPr>
              <w:t>比)、果糖+葡萄糖(占干基比)、5-羟甲基糠醛(以吸光度计)、果糖</w:t>
            </w:r>
            <w:r>
              <w:rPr>
                <w:spacing w:val="5"/>
                <w:sz w:val="17"/>
                <w:szCs w:val="17"/>
              </w:rPr>
              <w:t>+葡萄糖含量(以干物质计)、果糖含量(以干物质计)、麦芽糖含量(以干物质计，质量分数)、干物质(固形物)、</w:t>
            </w:r>
            <w:r>
              <w:rPr>
                <w:spacing w:val="7"/>
                <w:sz w:val="17"/>
                <w:szCs w:val="17"/>
              </w:rPr>
              <w:t>硫酸灰分</w:t>
            </w:r>
          </w:p>
        </w:tc>
      </w:tr>
    </w:tbl>
    <w:p w14:paraId="2AC9D89E">
      <w:pPr>
        <w:rPr>
          <w:rFonts w:ascii="Arial"/>
          <w:sz w:val="21"/>
        </w:rPr>
      </w:pPr>
    </w:p>
    <w:p w14:paraId="2EB8DA4A">
      <w:pPr>
        <w:rPr>
          <w:rFonts w:ascii="Arial" w:hAnsi="Arial" w:eastAsia="Arial" w:cs="Arial"/>
          <w:sz w:val="21"/>
          <w:szCs w:val="21"/>
        </w:rPr>
        <w:sectPr>
          <w:pgSz w:w="16838" w:h="11906"/>
          <w:pgMar w:top="1011" w:right="829" w:bottom="400" w:left="363" w:header="567" w:footer="567" w:gutter="0"/>
          <w:pgNumType w:fmt="decimal"/>
          <w:cols w:space="720" w:num="1"/>
        </w:sectPr>
      </w:pPr>
    </w:p>
    <w:p w14:paraId="1D9DEC78">
      <w:pPr>
        <w:spacing w:before="18"/>
      </w:pPr>
    </w:p>
    <w:p w14:paraId="43313509">
      <w:pPr>
        <w:spacing w:before="18"/>
      </w:pPr>
    </w:p>
    <w:tbl>
      <w:tblPr>
        <w:tblStyle w:val="50"/>
        <w:tblW w:w="15173" w:type="dxa"/>
        <w:tblInd w:w="46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59"/>
        <w:gridCol w:w="942"/>
        <w:gridCol w:w="1360"/>
        <w:gridCol w:w="1581"/>
        <w:gridCol w:w="1586"/>
        <w:gridCol w:w="682"/>
        <w:gridCol w:w="8563"/>
      </w:tblGrid>
      <w:tr w14:paraId="5C6C57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459" w:type="dxa"/>
            <w:vAlign w:val="top"/>
          </w:tcPr>
          <w:p w14:paraId="07F92962">
            <w:pPr>
              <w:spacing w:before="241" w:line="234" w:lineRule="auto"/>
              <w:ind w:left="52"/>
              <w:rPr>
                <w:rFonts w:ascii="黑体" w:hAnsi="黑体" w:eastAsia="黑体" w:cs="黑体"/>
                <w:sz w:val="17"/>
                <w:szCs w:val="17"/>
              </w:rPr>
            </w:pPr>
            <w:r>
              <w:rPr>
                <w:rFonts w:ascii="黑体" w:hAnsi="黑体" w:eastAsia="黑体" w:cs="黑体"/>
                <w:spacing w:val="6"/>
                <w:sz w:val="17"/>
                <w:szCs w:val="17"/>
              </w:rPr>
              <w:t>序号</w:t>
            </w:r>
          </w:p>
        </w:tc>
        <w:tc>
          <w:tcPr>
            <w:tcW w:w="942" w:type="dxa"/>
            <w:vAlign w:val="top"/>
          </w:tcPr>
          <w:p w14:paraId="0408A64D">
            <w:pPr>
              <w:spacing w:before="90" w:line="232" w:lineRule="auto"/>
              <w:ind w:left="111"/>
              <w:rPr>
                <w:rFonts w:ascii="黑体" w:hAnsi="黑体" w:eastAsia="黑体" w:cs="黑体"/>
                <w:sz w:val="17"/>
                <w:szCs w:val="17"/>
              </w:rPr>
            </w:pPr>
            <w:r>
              <w:rPr>
                <w:rFonts w:ascii="黑体" w:hAnsi="黑体" w:eastAsia="黑体" w:cs="黑体"/>
                <w:spacing w:val="8"/>
                <w:sz w:val="17"/>
                <w:szCs w:val="17"/>
              </w:rPr>
              <w:t>食品大类</w:t>
            </w:r>
          </w:p>
          <w:p w14:paraId="12981117">
            <w:pPr>
              <w:spacing w:before="86" w:line="227" w:lineRule="auto"/>
              <w:ind w:left="237"/>
              <w:rPr>
                <w:rFonts w:ascii="黑体" w:hAnsi="黑体" w:eastAsia="黑体" w:cs="黑体"/>
                <w:sz w:val="17"/>
                <w:szCs w:val="17"/>
              </w:rPr>
            </w:pPr>
            <w:r>
              <w:rPr>
                <w:rFonts w:ascii="黑体" w:hAnsi="黑体" w:eastAsia="黑体" w:cs="黑体"/>
                <w:spacing w:val="-4"/>
                <w:sz w:val="17"/>
                <w:szCs w:val="17"/>
              </w:rPr>
              <w:t>(一级)</w:t>
            </w:r>
          </w:p>
        </w:tc>
        <w:tc>
          <w:tcPr>
            <w:tcW w:w="1360" w:type="dxa"/>
            <w:vAlign w:val="top"/>
          </w:tcPr>
          <w:p w14:paraId="30FC6ED0">
            <w:pPr>
              <w:spacing w:before="90" w:line="232" w:lineRule="auto"/>
              <w:ind w:left="321"/>
              <w:rPr>
                <w:rFonts w:ascii="黑体" w:hAnsi="黑体" w:eastAsia="黑体" w:cs="黑体"/>
                <w:sz w:val="17"/>
                <w:szCs w:val="17"/>
              </w:rPr>
            </w:pPr>
            <w:r>
              <w:rPr>
                <w:rFonts w:ascii="黑体" w:hAnsi="黑体" w:eastAsia="黑体" w:cs="黑体"/>
                <w:spacing w:val="8"/>
                <w:sz w:val="17"/>
                <w:szCs w:val="17"/>
              </w:rPr>
              <w:t>食品亚类</w:t>
            </w:r>
          </w:p>
          <w:p w14:paraId="1BBC34DF">
            <w:pPr>
              <w:spacing w:before="86" w:line="227" w:lineRule="auto"/>
              <w:ind w:left="444"/>
              <w:rPr>
                <w:rFonts w:ascii="黑体" w:hAnsi="黑体" w:eastAsia="黑体" w:cs="黑体"/>
                <w:sz w:val="17"/>
                <w:szCs w:val="17"/>
              </w:rPr>
            </w:pPr>
            <w:r>
              <w:rPr>
                <w:rFonts w:ascii="黑体" w:hAnsi="黑体" w:eastAsia="黑体" w:cs="黑体"/>
                <w:spacing w:val="-3"/>
                <w:sz w:val="17"/>
                <w:szCs w:val="17"/>
              </w:rPr>
              <w:t>(二级)</w:t>
            </w:r>
          </w:p>
        </w:tc>
        <w:tc>
          <w:tcPr>
            <w:tcW w:w="1581" w:type="dxa"/>
            <w:vAlign w:val="top"/>
          </w:tcPr>
          <w:p w14:paraId="5D84253F">
            <w:pPr>
              <w:spacing w:before="90" w:line="232" w:lineRule="auto"/>
              <w:ind w:left="433"/>
              <w:rPr>
                <w:rFonts w:ascii="黑体" w:hAnsi="黑体" w:eastAsia="黑体" w:cs="黑体"/>
                <w:sz w:val="17"/>
                <w:szCs w:val="17"/>
              </w:rPr>
            </w:pPr>
            <w:r>
              <w:rPr>
                <w:rFonts w:ascii="黑体" w:hAnsi="黑体" w:eastAsia="黑体" w:cs="黑体"/>
                <w:spacing w:val="8"/>
                <w:sz w:val="17"/>
                <w:szCs w:val="17"/>
              </w:rPr>
              <w:t>食品品种</w:t>
            </w:r>
          </w:p>
          <w:p w14:paraId="00691BED">
            <w:pPr>
              <w:spacing w:before="86" w:line="227" w:lineRule="auto"/>
              <w:ind w:left="558"/>
              <w:rPr>
                <w:rFonts w:ascii="黑体" w:hAnsi="黑体" w:eastAsia="黑体" w:cs="黑体"/>
                <w:sz w:val="17"/>
                <w:szCs w:val="17"/>
              </w:rPr>
            </w:pPr>
            <w:r>
              <w:rPr>
                <w:rFonts w:ascii="黑体" w:hAnsi="黑体" w:eastAsia="黑体" w:cs="黑体"/>
                <w:spacing w:val="-4"/>
                <w:sz w:val="17"/>
                <w:szCs w:val="17"/>
              </w:rPr>
              <w:t>(三级)</w:t>
            </w:r>
          </w:p>
        </w:tc>
        <w:tc>
          <w:tcPr>
            <w:tcW w:w="1586" w:type="dxa"/>
            <w:vAlign w:val="top"/>
          </w:tcPr>
          <w:p w14:paraId="2AF3AD6C">
            <w:pPr>
              <w:spacing w:before="90" w:line="232" w:lineRule="auto"/>
              <w:ind w:left="436"/>
              <w:rPr>
                <w:rFonts w:ascii="黑体" w:hAnsi="黑体" w:eastAsia="黑体" w:cs="黑体"/>
                <w:sz w:val="17"/>
                <w:szCs w:val="17"/>
              </w:rPr>
            </w:pPr>
            <w:r>
              <w:rPr>
                <w:rFonts w:ascii="黑体" w:hAnsi="黑体" w:eastAsia="黑体" w:cs="黑体"/>
                <w:spacing w:val="8"/>
                <w:sz w:val="17"/>
                <w:szCs w:val="17"/>
              </w:rPr>
              <w:t>食品细类</w:t>
            </w:r>
          </w:p>
          <w:p w14:paraId="29F0D93C">
            <w:pPr>
              <w:spacing w:before="86" w:line="227" w:lineRule="auto"/>
              <w:ind w:left="561"/>
              <w:rPr>
                <w:rFonts w:ascii="黑体" w:hAnsi="黑体" w:eastAsia="黑体" w:cs="黑体"/>
                <w:sz w:val="17"/>
                <w:szCs w:val="17"/>
              </w:rPr>
            </w:pPr>
            <w:r>
              <w:rPr>
                <w:rFonts w:ascii="黑体" w:hAnsi="黑体" w:eastAsia="黑体" w:cs="黑体"/>
                <w:spacing w:val="-4"/>
                <w:sz w:val="17"/>
                <w:szCs w:val="17"/>
              </w:rPr>
              <w:t>(四级)</w:t>
            </w:r>
          </w:p>
        </w:tc>
        <w:tc>
          <w:tcPr>
            <w:tcW w:w="682" w:type="dxa"/>
            <w:vAlign w:val="top"/>
          </w:tcPr>
          <w:p w14:paraId="399BB890">
            <w:pPr>
              <w:spacing w:before="89" w:line="233" w:lineRule="auto"/>
              <w:ind w:left="166"/>
              <w:rPr>
                <w:rFonts w:ascii="黑体" w:hAnsi="黑体" w:eastAsia="黑体" w:cs="黑体"/>
                <w:sz w:val="17"/>
                <w:szCs w:val="17"/>
              </w:rPr>
            </w:pPr>
            <w:r>
              <w:rPr>
                <w:rFonts w:ascii="黑体" w:hAnsi="黑体" w:eastAsia="黑体" w:cs="黑体"/>
                <w:spacing w:val="6"/>
                <w:sz w:val="17"/>
                <w:szCs w:val="17"/>
              </w:rPr>
              <w:t>风险</w:t>
            </w:r>
          </w:p>
          <w:p w14:paraId="014C4998">
            <w:pPr>
              <w:spacing w:before="85" w:line="227" w:lineRule="auto"/>
              <w:ind w:left="163"/>
              <w:rPr>
                <w:rFonts w:ascii="黑体" w:hAnsi="黑体" w:eastAsia="黑体" w:cs="黑体"/>
                <w:sz w:val="17"/>
                <w:szCs w:val="17"/>
              </w:rPr>
            </w:pPr>
            <w:r>
              <w:rPr>
                <w:rFonts w:ascii="黑体" w:hAnsi="黑体" w:eastAsia="黑体" w:cs="黑体"/>
                <w:spacing w:val="7"/>
                <w:sz w:val="17"/>
                <w:szCs w:val="17"/>
              </w:rPr>
              <w:t>等级</w:t>
            </w:r>
          </w:p>
        </w:tc>
        <w:tc>
          <w:tcPr>
            <w:tcW w:w="8563" w:type="dxa"/>
            <w:vAlign w:val="top"/>
          </w:tcPr>
          <w:p w14:paraId="00D081BC">
            <w:pPr>
              <w:spacing w:before="241" w:line="232" w:lineRule="auto"/>
              <w:ind w:left="3744"/>
              <w:rPr>
                <w:rFonts w:ascii="黑体" w:hAnsi="黑体" w:eastAsia="黑体" w:cs="黑体"/>
                <w:sz w:val="17"/>
                <w:szCs w:val="17"/>
              </w:rPr>
            </w:pPr>
            <w:r>
              <w:rPr>
                <w:rFonts w:ascii="黑体" w:hAnsi="黑体" w:eastAsia="黑体" w:cs="黑体"/>
                <w:spacing w:val="8"/>
                <w:sz w:val="17"/>
                <w:szCs w:val="17"/>
              </w:rPr>
              <w:t>监督抽检项目</w:t>
            </w:r>
          </w:p>
        </w:tc>
      </w:tr>
      <w:tr w14:paraId="4DBF23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90" w:hRule="atLeast"/>
        </w:trPr>
        <w:tc>
          <w:tcPr>
            <w:tcW w:w="459" w:type="dxa"/>
            <w:vMerge w:val="restart"/>
            <w:tcBorders>
              <w:bottom w:val="nil"/>
            </w:tcBorders>
            <w:vAlign w:val="top"/>
          </w:tcPr>
          <w:p w14:paraId="792A0E61">
            <w:pPr>
              <w:spacing w:line="246" w:lineRule="auto"/>
              <w:rPr>
                <w:rFonts w:ascii="Arial"/>
                <w:sz w:val="21"/>
              </w:rPr>
            </w:pPr>
          </w:p>
          <w:p w14:paraId="47DB3616">
            <w:pPr>
              <w:spacing w:line="246" w:lineRule="auto"/>
              <w:rPr>
                <w:rFonts w:ascii="Arial"/>
                <w:sz w:val="21"/>
              </w:rPr>
            </w:pPr>
          </w:p>
          <w:p w14:paraId="0A8F1D5A">
            <w:pPr>
              <w:spacing w:line="246" w:lineRule="auto"/>
              <w:rPr>
                <w:rFonts w:ascii="Arial"/>
                <w:sz w:val="21"/>
              </w:rPr>
            </w:pPr>
          </w:p>
          <w:p w14:paraId="3900EFDB">
            <w:pPr>
              <w:spacing w:line="246" w:lineRule="auto"/>
              <w:rPr>
                <w:rFonts w:ascii="Arial"/>
                <w:sz w:val="21"/>
              </w:rPr>
            </w:pPr>
          </w:p>
          <w:p w14:paraId="2919DF49">
            <w:pPr>
              <w:spacing w:line="246" w:lineRule="auto"/>
              <w:rPr>
                <w:rFonts w:ascii="Arial"/>
                <w:sz w:val="21"/>
              </w:rPr>
            </w:pPr>
          </w:p>
          <w:p w14:paraId="7D92C221">
            <w:pPr>
              <w:spacing w:line="246" w:lineRule="auto"/>
              <w:rPr>
                <w:rFonts w:ascii="Arial"/>
                <w:sz w:val="21"/>
              </w:rPr>
            </w:pPr>
          </w:p>
          <w:p w14:paraId="56A532E5">
            <w:pPr>
              <w:spacing w:line="247" w:lineRule="auto"/>
              <w:rPr>
                <w:rFonts w:ascii="Arial"/>
                <w:sz w:val="21"/>
              </w:rPr>
            </w:pPr>
          </w:p>
          <w:p w14:paraId="38CBC6B5">
            <w:pPr>
              <w:spacing w:line="247" w:lineRule="auto"/>
              <w:rPr>
                <w:rFonts w:ascii="Arial"/>
                <w:sz w:val="21"/>
              </w:rPr>
            </w:pPr>
          </w:p>
          <w:p w14:paraId="72B5E323">
            <w:pPr>
              <w:spacing w:line="247" w:lineRule="auto"/>
              <w:rPr>
                <w:rFonts w:ascii="Arial"/>
                <w:sz w:val="21"/>
              </w:rPr>
            </w:pPr>
          </w:p>
          <w:p w14:paraId="0BC4ED6D">
            <w:pPr>
              <w:spacing w:line="247" w:lineRule="auto"/>
              <w:rPr>
                <w:rFonts w:ascii="Arial"/>
                <w:sz w:val="21"/>
              </w:rPr>
            </w:pPr>
          </w:p>
          <w:p w14:paraId="6662286A">
            <w:pPr>
              <w:spacing w:line="247" w:lineRule="auto"/>
              <w:rPr>
                <w:rFonts w:ascii="Arial"/>
                <w:sz w:val="21"/>
              </w:rPr>
            </w:pPr>
          </w:p>
          <w:p w14:paraId="63294F10">
            <w:pPr>
              <w:spacing w:line="247" w:lineRule="auto"/>
              <w:rPr>
                <w:rFonts w:ascii="Arial"/>
                <w:sz w:val="21"/>
              </w:rPr>
            </w:pPr>
          </w:p>
          <w:p w14:paraId="23DA66A6">
            <w:pPr>
              <w:spacing w:line="247" w:lineRule="auto"/>
              <w:rPr>
                <w:rFonts w:ascii="Arial"/>
                <w:sz w:val="21"/>
              </w:rPr>
            </w:pPr>
          </w:p>
          <w:p w14:paraId="7B73AF58">
            <w:pPr>
              <w:spacing w:line="247" w:lineRule="auto"/>
              <w:rPr>
                <w:rFonts w:ascii="Arial"/>
                <w:sz w:val="21"/>
              </w:rPr>
            </w:pPr>
          </w:p>
          <w:p w14:paraId="5A0E2FE9">
            <w:pPr>
              <w:spacing w:line="247" w:lineRule="auto"/>
              <w:rPr>
                <w:rFonts w:ascii="Arial"/>
                <w:sz w:val="21"/>
              </w:rPr>
            </w:pPr>
          </w:p>
          <w:p w14:paraId="2D6A4472">
            <w:pPr>
              <w:pStyle w:val="51"/>
              <w:spacing w:before="55" w:line="229" w:lineRule="exact"/>
              <w:ind w:left="145"/>
              <w:rPr>
                <w:sz w:val="17"/>
                <w:szCs w:val="17"/>
              </w:rPr>
            </w:pPr>
            <w:r>
              <w:rPr>
                <w:position w:val="1"/>
                <w:sz w:val="17"/>
                <w:szCs w:val="17"/>
              </w:rPr>
              <w:t>24</w:t>
            </w:r>
          </w:p>
        </w:tc>
        <w:tc>
          <w:tcPr>
            <w:tcW w:w="942" w:type="dxa"/>
            <w:vMerge w:val="restart"/>
            <w:tcBorders>
              <w:bottom w:val="nil"/>
            </w:tcBorders>
            <w:vAlign w:val="top"/>
          </w:tcPr>
          <w:p w14:paraId="174473AB">
            <w:pPr>
              <w:spacing w:line="246" w:lineRule="auto"/>
              <w:rPr>
                <w:rFonts w:ascii="Arial"/>
                <w:sz w:val="21"/>
              </w:rPr>
            </w:pPr>
          </w:p>
          <w:p w14:paraId="72502766">
            <w:pPr>
              <w:spacing w:line="246" w:lineRule="auto"/>
              <w:rPr>
                <w:rFonts w:ascii="Arial"/>
                <w:sz w:val="21"/>
              </w:rPr>
            </w:pPr>
          </w:p>
          <w:p w14:paraId="5479CF89">
            <w:pPr>
              <w:spacing w:line="246" w:lineRule="auto"/>
              <w:rPr>
                <w:rFonts w:ascii="Arial"/>
                <w:sz w:val="21"/>
              </w:rPr>
            </w:pPr>
          </w:p>
          <w:p w14:paraId="5C6E6F4E">
            <w:pPr>
              <w:spacing w:line="246" w:lineRule="auto"/>
              <w:rPr>
                <w:rFonts w:ascii="Arial"/>
                <w:sz w:val="21"/>
              </w:rPr>
            </w:pPr>
          </w:p>
          <w:p w14:paraId="14CD11A5">
            <w:pPr>
              <w:spacing w:line="246" w:lineRule="auto"/>
              <w:rPr>
                <w:rFonts w:ascii="Arial"/>
                <w:sz w:val="21"/>
              </w:rPr>
            </w:pPr>
          </w:p>
          <w:p w14:paraId="27804E12">
            <w:pPr>
              <w:spacing w:line="246" w:lineRule="auto"/>
              <w:rPr>
                <w:rFonts w:ascii="Arial"/>
                <w:sz w:val="21"/>
              </w:rPr>
            </w:pPr>
          </w:p>
          <w:p w14:paraId="7B1D5F65">
            <w:pPr>
              <w:spacing w:line="247" w:lineRule="auto"/>
              <w:rPr>
                <w:rFonts w:ascii="Arial"/>
                <w:sz w:val="21"/>
              </w:rPr>
            </w:pPr>
          </w:p>
          <w:p w14:paraId="3228D52F">
            <w:pPr>
              <w:spacing w:line="247" w:lineRule="auto"/>
              <w:rPr>
                <w:rFonts w:ascii="Arial"/>
                <w:sz w:val="21"/>
              </w:rPr>
            </w:pPr>
          </w:p>
          <w:p w14:paraId="69FCFEF5">
            <w:pPr>
              <w:spacing w:line="247" w:lineRule="auto"/>
              <w:rPr>
                <w:rFonts w:ascii="Arial"/>
                <w:sz w:val="21"/>
              </w:rPr>
            </w:pPr>
          </w:p>
          <w:p w14:paraId="4EF6E9EE">
            <w:pPr>
              <w:spacing w:line="247" w:lineRule="auto"/>
              <w:rPr>
                <w:rFonts w:ascii="Arial"/>
                <w:sz w:val="21"/>
              </w:rPr>
            </w:pPr>
          </w:p>
          <w:p w14:paraId="0C570C08">
            <w:pPr>
              <w:spacing w:line="247" w:lineRule="auto"/>
              <w:rPr>
                <w:rFonts w:ascii="Arial"/>
                <w:sz w:val="21"/>
              </w:rPr>
            </w:pPr>
          </w:p>
          <w:p w14:paraId="1B0A1232">
            <w:pPr>
              <w:spacing w:line="247" w:lineRule="auto"/>
              <w:rPr>
                <w:rFonts w:ascii="Arial"/>
                <w:sz w:val="21"/>
              </w:rPr>
            </w:pPr>
          </w:p>
          <w:p w14:paraId="0B173AA2">
            <w:pPr>
              <w:spacing w:line="247" w:lineRule="auto"/>
              <w:rPr>
                <w:rFonts w:ascii="Arial"/>
                <w:sz w:val="21"/>
              </w:rPr>
            </w:pPr>
          </w:p>
          <w:p w14:paraId="51163F94">
            <w:pPr>
              <w:spacing w:line="247" w:lineRule="auto"/>
              <w:rPr>
                <w:rFonts w:ascii="Arial"/>
                <w:sz w:val="21"/>
              </w:rPr>
            </w:pPr>
          </w:p>
          <w:p w14:paraId="4A658D58">
            <w:pPr>
              <w:spacing w:line="247" w:lineRule="auto"/>
              <w:rPr>
                <w:rFonts w:ascii="Arial"/>
                <w:sz w:val="21"/>
              </w:rPr>
            </w:pPr>
          </w:p>
          <w:p w14:paraId="0A86F527">
            <w:pPr>
              <w:pStyle w:val="51"/>
              <w:spacing w:before="56" w:line="229" w:lineRule="auto"/>
              <w:ind w:left="296"/>
              <w:rPr>
                <w:sz w:val="17"/>
                <w:szCs w:val="17"/>
              </w:rPr>
            </w:pPr>
            <w:r>
              <w:rPr>
                <w:spacing w:val="4"/>
                <w:sz w:val="17"/>
                <w:szCs w:val="17"/>
              </w:rPr>
              <w:t>糕点</w:t>
            </w:r>
          </w:p>
        </w:tc>
        <w:tc>
          <w:tcPr>
            <w:tcW w:w="1360" w:type="dxa"/>
            <w:vMerge w:val="restart"/>
            <w:tcBorders>
              <w:bottom w:val="nil"/>
            </w:tcBorders>
            <w:vAlign w:val="top"/>
          </w:tcPr>
          <w:p w14:paraId="761B9329">
            <w:pPr>
              <w:spacing w:line="246" w:lineRule="auto"/>
              <w:rPr>
                <w:rFonts w:ascii="Arial"/>
                <w:sz w:val="21"/>
              </w:rPr>
            </w:pPr>
          </w:p>
          <w:p w14:paraId="17BCB3E8">
            <w:pPr>
              <w:spacing w:line="246" w:lineRule="auto"/>
              <w:rPr>
                <w:rFonts w:ascii="Arial"/>
                <w:sz w:val="21"/>
              </w:rPr>
            </w:pPr>
          </w:p>
          <w:p w14:paraId="43B4D74B">
            <w:pPr>
              <w:spacing w:line="246" w:lineRule="auto"/>
              <w:rPr>
                <w:rFonts w:ascii="Arial"/>
                <w:sz w:val="21"/>
              </w:rPr>
            </w:pPr>
          </w:p>
          <w:p w14:paraId="0D8D2EDF">
            <w:pPr>
              <w:spacing w:line="246" w:lineRule="auto"/>
              <w:rPr>
                <w:rFonts w:ascii="Arial"/>
                <w:sz w:val="21"/>
              </w:rPr>
            </w:pPr>
          </w:p>
          <w:p w14:paraId="750E9909">
            <w:pPr>
              <w:spacing w:line="246" w:lineRule="auto"/>
              <w:rPr>
                <w:rFonts w:ascii="Arial"/>
                <w:sz w:val="21"/>
              </w:rPr>
            </w:pPr>
          </w:p>
          <w:p w14:paraId="4A22A105">
            <w:pPr>
              <w:spacing w:line="246" w:lineRule="auto"/>
              <w:rPr>
                <w:rFonts w:ascii="Arial"/>
                <w:sz w:val="21"/>
              </w:rPr>
            </w:pPr>
          </w:p>
          <w:p w14:paraId="50DEEA1B">
            <w:pPr>
              <w:spacing w:line="247" w:lineRule="auto"/>
              <w:rPr>
                <w:rFonts w:ascii="Arial"/>
                <w:sz w:val="21"/>
              </w:rPr>
            </w:pPr>
          </w:p>
          <w:p w14:paraId="3D60DC8D">
            <w:pPr>
              <w:spacing w:line="247" w:lineRule="auto"/>
              <w:rPr>
                <w:rFonts w:ascii="Arial"/>
                <w:sz w:val="21"/>
              </w:rPr>
            </w:pPr>
          </w:p>
          <w:p w14:paraId="003DDF3F">
            <w:pPr>
              <w:spacing w:line="247" w:lineRule="auto"/>
              <w:rPr>
                <w:rFonts w:ascii="Arial"/>
                <w:sz w:val="21"/>
              </w:rPr>
            </w:pPr>
          </w:p>
          <w:p w14:paraId="75CFC9B9">
            <w:pPr>
              <w:spacing w:line="247" w:lineRule="auto"/>
              <w:rPr>
                <w:rFonts w:ascii="Arial"/>
                <w:sz w:val="21"/>
              </w:rPr>
            </w:pPr>
          </w:p>
          <w:p w14:paraId="7534B5D8">
            <w:pPr>
              <w:spacing w:line="247" w:lineRule="auto"/>
              <w:rPr>
                <w:rFonts w:ascii="Arial"/>
                <w:sz w:val="21"/>
              </w:rPr>
            </w:pPr>
          </w:p>
          <w:p w14:paraId="5348D118">
            <w:pPr>
              <w:spacing w:line="247" w:lineRule="auto"/>
              <w:rPr>
                <w:rFonts w:ascii="Arial"/>
                <w:sz w:val="21"/>
              </w:rPr>
            </w:pPr>
          </w:p>
          <w:p w14:paraId="37FA0787">
            <w:pPr>
              <w:spacing w:line="247" w:lineRule="auto"/>
              <w:rPr>
                <w:rFonts w:ascii="Arial"/>
                <w:sz w:val="21"/>
              </w:rPr>
            </w:pPr>
          </w:p>
          <w:p w14:paraId="64CE161A">
            <w:pPr>
              <w:spacing w:line="247" w:lineRule="auto"/>
              <w:rPr>
                <w:rFonts w:ascii="Arial"/>
                <w:sz w:val="21"/>
              </w:rPr>
            </w:pPr>
          </w:p>
          <w:p w14:paraId="058B85B4">
            <w:pPr>
              <w:spacing w:line="247" w:lineRule="auto"/>
              <w:rPr>
                <w:rFonts w:ascii="Arial"/>
                <w:sz w:val="21"/>
              </w:rPr>
            </w:pPr>
          </w:p>
          <w:p w14:paraId="10914691">
            <w:pPr>
              <w:pStyle w:val="51"/>
              <w:spacing w:before="56" w:line="229" w:lineRule="auto"/>
              <w:ind w:left="506"/>
              <w:rPr>
                <w:sz w:val="17"/>
                <w:szCs w:val="17"/>
              </w:rPr>
            </w:pPr>
            <w:r>
              <w:rPr>
                <w:spacing w:val="4"/>
                <w:sz w:val="17"/>
                <w:szCs w:val="17"/>
              </w:rPr>
              <w:t>糕点</w:t>
            </w:r>
          </w:p>
        </w:tc>
        <w:tc>
          <w:tcPr>
            <w:tcW w:w="1581" w:type="dxa"/>
            <w:vAlign w:val="top"/>
          </w:tcPr>
          <w:p w14:paraId="08D09844">
            <w:pPr>
              <w:spacing w:line="289" w:lineRule="auto"/>
              <w:rPr>
                <w:rFonts w:ascii="Arial"/>
                <w:sz w:val="21"/>
              </w:rPr>
            </w:pPr>
          </w:p>
          <w:p w14:paraId="34438D15">
            <w:pPr>
              <w:spacing w:line="289" w:lineRule="auto"/>
              <w:rPr>
                <w:rFonts w:ascii="Arial"/>
                <w:sz w:val="21"/>
              </w:rPr>
            </w:pPr>
          </w:p>
          <w:p w14:paraId="355615A8">
            <w:pPr>
              <w:spacing w:line="290" w:lineRule="auto"/>
              <w:rPr>
                <w:rFonts w:ascii="Arial"/>
                <w:sz w:val="21"/>
              </w:rPr>
            </w:pPr>
          </w:p>
          <w:p w14:paraId="42D32E79">
            <w:pPr>
              <w:pStyle w:val="51"/>
              <w:spacing w:before="55" w:line="232" w:lineRule="auto"/>
              <w:ind w:left="621"/>
              <w:rPr>
                <w:sz w:val="17"/>
                <w:szCs w:val="17"/>
              </w:rPr>
            </w:pPr>
            <w:r>
              <w:rPr>
                <w:spacing w:val="2"/>
                <w:sz w:val="17"/>
                <w:szCs w:val="17"/>
              </w:rPr>
              <w:t>面包</w:t>
            </w:r>
          </w:p>
        </w:tc>
        <w:tc>
          <w:tcPr>
            <w:tcW w:w="1586" w:type="dxa"/>
            <w:vAlign w:val="top"/>
          </w:tcPr>
          <w:p w14:paraId="27137CCA">
            <w:pPr>
              <w:spacing w:line="289" w:lineRule="auto"/>
              <w:rPr>
                <w:rFonts w:ascii="Arial"/>
                <w:sz w:val="21"/>
              </w:rPr>
            </w:pPr>
          </w:p>
          <w:p w14:paraId="24E5AEC1">
            <w:pPr>
              <w:spacing w:line="289" w:lineRule="auto"/>
              <w:rPr>
                <w:rFonts w:ascii="Arial"/>
                <w:sz w:val="21"/>
              </w:rPr>
            </w:pPr>
          </w:p>
          <w:p w14:paraId="1C9EEB74">
            <w:pPr>
              <w:spacing w:line="290" w:lineRule="auto"/>
              <w:rPr>
                <w:rFonts w:ascii="Arial"/>
                <w:sz w:val="21"/>
              </w:rPr>
            </w:pPr>
          </w:p>
          <w:p w14:paraId="311DE3B5">
            <w:pPr>
              <w:pStyle w:val="51"/>
              <w:spacing w:before="55" w:line="232" w:lineRule="auto"/>
              <w:ind w:left="624"/>
              <w:rPr>
                <w:sz w:val="17"/>
                <w:szCs w:val="17"/>
              </w:rPr>
            </w:pPr>
            <w:r>
              <w:rPr>
                <w:spacing w:val="2"/>
                <w:sz w:val="17"/>
                <w:szCs w:val="17"/>
              </w:rPr>
              <w:t>面包</w:t>
            </w:r>
          </w:p>
        </w:tc>
        <w:tc>
          <w:tcPr>
            <w:tcW w:w="682" w:type="dxa"/>
            <w:vAlign w:val="top"/>
          </w:tcPr>
          <w:p w14:paraId="09683BA8">
            <w:pPr>
              <w:spacing w:line="289" w:lineRule="auto"/>
              <w:rPr>
                <w:rFonts w:ascii="Arial"/>
                <w:sz w:val="21"/>
              </w:rPr>
            </w:pPr>
          </w:p>
          <w:p w14:paraId="74902286">
            <w:pPr>
              <w:spacing w:line="289" w:lineRule="auto"/>
              <w:rPr>
                <w:rFonts w:ascii="Arial"/>
                <w:sz w:val="21"/>
              </w:rPr>
            </w:pPr>
          </w:p>
          <w:p w14:paraId="06DE3C0F">
            <w:pPr>
              <w:spacing w:line="290" w:lineRule="auto"/>
              <w:rPr>
                <w:rFonts w:ascii="Arial"/>
                <w:sz w:val="21"/>
              </w:rPr>
            </w:pPr>
          </w:p>
          <w:p w14:paraId="5A489F32">
            <w:pPr>
              <w:pStyle w:val="51"/>
              <w:spacing w:before="55" w:line="227" w:lineRule="auto"/>
              <w:ind w:left="170"/>
              <w:rPr>
                <w:sz w:val="17"/>
                <w:szCs w:val="17"/>
              </w:rPr>
            </w:pPr>
            <w:r>
              <w:rPr>
                <w:spacing w:val="3"/>
                <w:sz w:val="17"/>
                <w:szCs w:val="17"/>
              </w:rPr>
              <w:t>较高</w:t>
            </w:r>
          </w:p>
        </w:tc>
        <w:tc>
          <w:tcPr>
            <w:tcW w:w="8563" w:type="dxa"/>
            <w:vAlign w:val="top"/>
          </w:tcPr>
          <w:p w14:paraId="5FC15017">
            <w:pPr>
              <w:spacing w:line="271" w:lineRule="auto"/>
              <w:rPr>
                <w:rFonts w:ascii="Arial"/>
                <w:sz w:val="21"/>
              </w:rPr>
            </w:pPr>
          </w:p>
          <w:p w14:paraId="7594F0E1">
            <w:pPr>
              <w:pStyle w:val="51"/>
              <w:spacing w:before="55" w:line="326" w:lineRule="auto"/>
              <w:ind w:left="37"/>
              <w:jc w:val="both"/>
              <w:rPr>
                <w:sz w:val="17"/>
                <w:szCs w:val="17"/>
              </w:rPr>
            </w:pPr>
            <w:r>
              <w:rPr>
                <w:spacing w:val="8"/>
                <w:sz w:val="17"/>
                <w:szCs w:val="17"/>
              </w:rPr>
              <w:t>酸价(以脂肪计)(</w:t>
            </w:r>
            <w:r>
              <w:rPr>
                <w:sz w:val="17"/>
                <w:szCs w:val="17"/>
              </w:rPr>
              <w:t>KOH</w:t>
            </w:r>
            <w:r>
              <w:rPr>
                <w:spacing w:val="8"/>
                <w:sz w:val="17"/>
                <w:szCs w:val="17"/>
              </w:rPr>
              <w:t>)、过氧化值(以脂肪计)、铅(以</w:t>
            </w:r>
            <w:r>
              <w:rPr>
                <w:sz w:val="17"/>
                <w:szCs w:val="17"/>
              </w:rPr>
              <w:t>Pb</w:t>
            </w:r>
            <w:r>
              <w:rPr>
                <w:spacing w:val="8"/>
                <w:sz w:val="17"/>
                <w:szCs w:val="17"/>
              </w:rPr>
              <w:t>计)、苯甲酸及其钠盐(以苯甲</w:t>
            </w:r>
            <w:r>
              <w:rPr>
                <w:spacing w:val="7"/>
                <w:sz w:val="17"/>
                <w:szCs w:val="17"/>
              </w:rPr>
              <w:t>酸计)、山梨酸及其钾盐(以山梨酸计)、糖精钠(以糖精计)、甜蜜素(以环己基氨基磺酸计)、安赛蜜、铝的残留量(干样品，以</w:t>
            </w:r>
            <w:r>
              <w:rPr>
                <w:sz w:val="17"/>
                <w:szCs w:val="17"/>
              </w:rPr>
              <w:t>Al</w:t>
            </w:r>
            <w:r>
              <w:rPr>
                <w:spacing w:val="7"/>
                <w:sz w:val="17"/>
                <w:szCs w:val="17"/>
              </w:rPr>
              <w:t>计)、丙酸及其钠盐、钙盐(以丙酸计)、脱氢乙酸及其钠盐(以脱氢乙酸计)、三氯蔗糖、合成</w:t>
            </w:r>
            <w:r>
              <w:rPr>
                <w:spacing w:val="6"/>
                <w:sz w:val="17"/>
                <w:szCs w:val="17"/>
              </w:rPr>
              <w:t>着色剂(柠檬黄、</w:t>
            </w:r>
            <w:r>
              <w:rPr>
                <w:spacing w:val="-36"/>
                <w:sz w:val="17"/>
                <w:szCs w:val="17"/>
              </w:rPr>
              <w:t xml:space="preserve"> </w:t>
            </w:r>
            <w:r>
              <w:rPr>
                <w:spacing w:val="6"/>
                <w:sz w:val="17"/>
                <w:szCs w:val="17"/>
              </w:rPr>
              <w:t>日落</w:t>
            </w:r>
            <w:r>
              <w:rPr>
                <w:spacing w:val="8"/>
                <w:sz w:val="17"/>
                <w:szCs w:val="17"/>
              </w:rPr>
              <w:t>黄、胭脂红、苋菜红、亮蓝、诱惑红、酸性红)、防腐剂混合使用时各自用量占其最大使用量的比例之和、菌</w:t>
            </w:r>
            <w:r>
              <w:rPr>
                <w:spacing w:val="9"/>
                <w:sz w:val="17"/>
                <w:szCs w:val="17"/>
              </w:rPr>
              <w:t>落总数、大肠菌群、金黄色葡萄球菌、沙门氏菌、霉菌、富马酸二甲酯</w:t>
            </w:r>
          </w:p>
        </w:tc>
      </w:tr>
      <w:tr w14:paraId="24EFF4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14" w:hRule="atLeast"/>
        </w:trPr>
        <w:tc>
          <w:tcPr>
            <w:tcW w:w="459" w:type="dxa"/>
            <w:vMerge w:val="continue"/>
            <w:tcBorders>
              <w:top w:val="nil"/>
              <w:bottom w:val="nil"/>
            </w:tcBorders>
            <w:vAlign w:val="top"/>
          </w:tcPr>
          <w:p w14:paraId="6C6C932E">
            <w:pPr>
              <w:rPr>
                <w:rFonts w:ascii="Arial"/>
                <w:sz w:val="21"/>
              </w:rPr>
            </w:pPr>
          </w:p>
        </w:tc>
        <w:tc>
          <w:tcPr>
            <w:tcW w:w="942" w:type="dxa"/>
            <w:vMerge w:val="continue"/>
            <w:tcBorders>
              <w:top w:val="nil"/>
              <w:bottom w:val="nil"/>
            </w:tcBorders>
            <w:vAlign w:val="top"/>
          </w:tcPr>
          <w:p w14:paraId="57FD1025">
            <w:pPr>
              <w:rPr>
                <w:rFonts w:ascii="Arial"/>
                <w:sz w:val="21"/>
              </w:rPr>
            </w:pPr>
          </w:p>
        </w:tc>
        <w:tc>
          <w:tcPr>
            <w:tcW w:w="1360" w:type="dxa"/>
            <w:vMerge w:val="continue"/>
            <w:tcBorders>
              <w:top w:val="nil"/>
              <w:bottom w:val="nil"/>
            </w:tcBorders>
            <w:vAlign w:val="top"/>
          </w:tcPr>
          <w:p w14:paraId="3E0A7165">
            <w:pPr>
              <w:rPr>
                <w:rFonts w:ascii="Arial"/>
                <w:sz w:val="21"/>
              </w:rPr>
            </w:pPr>
          </w:p>
        </w:tc>
        <w:tc>
          <w:tcPr>
            <w:tcW w:w="1581" w:type="dxa"/>
            <w:vAlign w:val="top"/>
          </w:tcPr>
          <w:p w14:paraId="59C2C5CE">
            <w:pPr>
              <w:spacing w:line="310" w:lineRule="auto"/>
              <w:rPr>
                <w:rFonts w:ascii="Arial"/>
                <w:sz w:val="21"/>
              </w:rPr>
            </w:pPr>
          </w:p>
          <w:p w14:paraId="0B3C8C36">
            <w:pPr>
              <w:spacing w:line="310" w:lineRule="auto"/>
              <w:rPr>
                <w:rFonts w:ascii="Arial"/>
                <w:sz w:val="21"/>
              </w:rPr>
            </w:pPr>
          </w:p>
          <w:p w14:paraId="0BCFC713">
            <w:pPr>
              <w:spacing w:line="311" w:lineRule="auto"/>
              <w:rPr>
                <w:rFonts w:ascii="Arial"/>
                <w:sz w:val="21"/>
              </w:rPr>
            </w:pPr>
          </w:p>
          <w:p w14:paraId="27E2B2E2">
            <w:pPr>
              <w:pStyle w:val="51"/>
              <w:spacing w:before="56" w:line="229" w:lineRule="auto"/>
              <w:ind w:left="626"/>
              <w:rPr>
                <w:sz w:val="17"/>
                <w:szCs w:val="17"/>
              </w:rPr>
            </w:pPr>
            <w:r>
              <w:rPr>
                <w:spacing w:val="-1"/>
                <w:sz w:val="17"/>
                <w:szCs w:val="17"/>
              </w:rPr>
              <w:t>月饼</w:t>
            </w:r>
          </w:p>
        </w:tc>
        <w:tc>
          <w:tcPr>
            <w:tcW w:w="1586" w:type="dxa"/>
            <w:vAlign w:val="top"/>
          </w:tcPr>
          <w:p w14:paraId="4026022C">
            <w:pPr>
              <w:spacing w:line="310" w:lineRule="auto"/>
              <w:rPr>
                <w:rFonts w:ascii="Arial"/>
                <w:sz w:val="21"/>
              </w:rPr>
            </w:pPr>
          </w:p>
          <w:p w14:paraId="01418E56">
            <w:pPr>
              <w:spacing w:line="310" w:lineRule="auto"/>
              <w:rPr>
                <w:rFonts w:ascii="Arial"/>
                <w:sz w:val="21"/>
              </w:rPr>
            </w:pPr>
          </w:p>
          <w:p w14:paraId="5E5EFCBF">
            <w:pPr>
              <w:spacing w:line="311" w:lineRule="auto"/>
              <w:rPr>
                <w:rFonts w:ascii="Arial"/>
                <w:sz w:val="21"/>
              </w:rPr>
            </w:pPr>
          </w:p>
          <w:p w14:paraId="712DCAF5">
            <w:pPr>
              <w:pStyle w:val="51"/>
              <w:spacing w:before="56" w:line="229" w:lineRule="auto"/>
              <w:ind w:left="629"/>
              <w:rPr>
                <w:sz w:val="17"/>
                <w:szCs w:val="17"/>
              </w:rPr>
            </w:pPr>
            <w:r>
              <w:rPr>
                <w:spacing w:val="-1"/>
                <w:sz w:val="17"/>
                <w:szCs w:val="17"/>
              </w:rPr>
              <w:t>月饼</w:t>
            </w:r>
          </w:p>
        </w:tc>
        <w:tc>
          <w:tcPr>
            <w:tcW w:w="682" w:type="dxa"/>
            <w:vAlign w:val="top"/>
          </w:tcPr>
          <w:p w14:paraId="2096CC4E">
            <w:pPr>
              <w:spacing w:line="310" w:lineRule="auto"/>
              <w:rPr>
                <w:rFonts w:ascii="Arial"/>
                <w:sz w:val="21"/>
              </w:rPr>
            </w:pPr>
          </w:p>
          <w:p w14:paraId="3C50ED3A">
            <w:pPr>
              <w:spacing w:line="311" w:lineRule="auto"/>
              <w:rPr>
                <w:rFonts w:ascii="Arial"/>
                <w:sz w:val="21"/>
              </w:rPr>
            </w:pPr>
          </w:p>
          <w:p w14:paraId="5ACACEB6">
            <w:pPr>
              <w:spacing w:line="311" w:lineRule="auto"/>
              <w:rPr>
                <w:rFonts w:ascii="Arial"/>
                <w:sz w:val="21"/>
              </w:rPr>
            </w:pPr>
          </w:p>
          <w:p w14:paraId="65E9EEEA">
            <w:pPr>
              <w:pStyle w:val="51"/>
              <w:spacing w:before="55" w:line="227" w:lineRule="auto"/>
              <w:ind w:left="170"/>
              <w:rPr>
                <w:sz w:val="17"/>
                <w:szCs w:val="17"/>
              </w:rPr>
            </w:pPr>
            <w:r>
              <w:rPr>
                <w:spacing w:val="3"/>
                <w:sz w:val="17"/>
                <w:szCs w:val="17"/>
              </w:rPr>
              <w:t>较高</w:t>
            </w:r>
          </w:p>
        </w:tc>
        <w:tc>
          <w:tcPr>
            <w:tcW w:w="8563" w:type="dxa"/>
            <w:vAlign w:val="top"/>
          </w:tcPr>
          <w:p w14:paraId="1AB18421">
            <w:pPr>
              <w:spacing w:line="335" w:lineRule="auto"/>
              <w:rPr>
                <w:rFonts w:ascii="Arial"/>
                <w:sz w:val="21"/>
              </w:rPr>
            </w:pPr>
          </w:p>
          <w:p w14:paraId="3D193107">
            <w:pPr>
              <w:pStyle w:val="51"/>
              <w:spacing w:before="55" w:line="326" w:lineRule="auto"/>
              <w:ind w:left="37"/>
              <w:jc w:val="both"/>
              <w:rPr>
                <w:sz w:val="17"/>
                <w:szCs w:val="17"/>
              </w:rPr>
            </w:pPr>
            <w:r>
              <w:rPr>
                <w:spacing w:val="8"/>
                <w:sz w:val="17"/>
                <w:szCs w:val="17"/>
              </w:rPr>
              <w:t>酸价(以脂肪计)(</w:t>
            </w:r>
            <w:r>
              <w:rPr>
                <w:sz w:val="17"/>
                <w:szCs w:val="17"/>
              </w:rPr>
              <w:t>KOH</w:t>
            </w:r>
            <w:r>
              <w:rPr>
                <w:spacing w:val="8"/>
                <w:sz w:val="17"/>
                <w:szCs w:val="17"/>
              </w:rPr>
              <w:t>)、过氧化值(以脂肪计)、糖精钠(以糖精计)、</w:t>
            </w:r>
            <w:r>
              <w:rPr>
                <w:spacing w:val="7"/>
                <w:sz w:val="17"/>
                <w:szCs w:val="17"/>
              </w:rPr>
              <w:t>苯甲酸及其钠盐(以苯甲酸计)、山梨酸及</w:t>
            </w:r>
            <w:r>
              <w:rPr>
                <w:spacing w:val="4"/>
                <w:sz w:val="17"/>
                <w:szCs w:val="17"/>
              </w:rPr>
              <w:t>其钾盐(以山梨酸计)、铝的残留量(干样品，以</w:t>
            </w:r>
            <w:r>
              <w:rPr>
                <w:sz w:val="17"/>
                <w:szCs w:val="17"/>
              </w:rPr>
              <w:t>Al</w:t>
            </w:r>
            <w:r>
              <w:rPr>
                <w:spacing w:val="4"/>
                <w:sz w:val="17"/>
                <w:szCs w:val="17"/>
              </w:rPr>
              <w:t>计)、丙酸及其钠盐、钙盐(以丙酸计)、脱氢乙酸及其钠盐(以</w:t>
            </w:r>
            <w:r>
              <w:rPr>
                <w:spacing w:val="7"/>
                <w:sz w:val="17"/>
                <w:szCs w:val="17"/>
              </w:rPr>
              <w:t>脱氢乙酸计)、纳他霉素、合成着色剂(柠檬黄、</w:t>
            </w:r>
            <w:r>
              <w:rPr>
                <w:spacing w:val="-34"/>
                <w:sz w:val="17"/>
                <w:szCs w:val="17"/>
              </w:rPr>
              <w:t xml:space="preserve"> </w:t>
            </w:r>
            <w:r>
              <w:rPr>
                <w:spacing w:val="7"/>
                <w:sz w:val="17"/>
                <w:szCs w:val="17"/>
              </w:rPr>
              <w:t>日落黄、胭脂红、苋菜红、亮蓝、赤藓红、诱惑红</w:t>
            </w:r>
            <w:r>
              <w:rPr>
                <w:spacing w:val="6"/>
                <w:sz w:val="17"/>
                <w:szCs w:val="17"/>
              </w:rPr>
              <w:t>)、防腐剂</w:t>
            </w:r>
            <w:r>
              <w:rPr>
                <w:spacing w:val="8"/>
                <w:sz w:val="17"/>
                <w:szCs w:val="17"/>
              </w:rPr>
              <w:t>混合使用时各自用量占其最大使用量的比例之和、菌</w:t>
            </w:r>
            <w:r>
              <w:rPr>
                <w:spacing w:val="7"/>
                <w:sz w:val="17"/>
                <w:szCs w:val="17"/>
              </w:rPr>
              <w:t>落总数、大肠菌群、金黄色葡萄球菌、沙门氏菌、霉菌、富马酸二甲酯</w:t>
            </w:r>
          </w:p>
        </w:tc>
      </w:tr>
      <w:tr w14:paraId="2068AA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48" w:hRule="atLeast"/>
        </w:trPr>
        <w:tc>
          <w:tcPr>
            <w:tcW w:w="459" w:type="dxa"/>
            <w:vMerge w:val="continue"/>
            <w:tcBorders>
              <w:top w:val="nil"/>
              <w:bottom w:val="nil"/>
            </w:tcBorders>
            <w:vAlign w:val="top"/>
          </w:tcPr>
          <w:p w14:paraId="0319F25C">
            <w:pPr>
              <w:rPr>
                <w:rFonts w:ascii="Arial"/>
                <w:sz w:val="21"/>
              </w:rPr>
            </w:pPr>
          </w:p>
        </w:tc>
        <w:tc>
          <w:tcPr>
            <w:tcW w:w="942" w:type="dxa"/>
            <w:vMerge w:val="continue"/>
            <w:tcBorders>
              <w:top w:val="nil"/>
              <w:bottom w:val="nil"/>
            </w:tcBorders>
            <w:vAlign w:val="top"/>
          </w:tcPr>
          <w:p w14:paraId="559CD102">
            <w:pPr>
              <w:rPr>
                <w:rFonts w:ascii="Arial"/>
                <w:sz w:val="21"/>
              </w:rPr>
            </w:pPr>
          </w:p>
        </w:tc>
        <w:tc>
          <w:tcPr>
            <w:tcW w:w="1360" w:type="dxa"/>
            <w:vMerge w:val="continue"/>
            <w:tcBorders>
              <w:top w:val="nil"/>
              <w:bottom w:val="nil"/>
            </w:tcBorders>
            <w:vAlign w:val="top"/>
          </w:tcPr>
          <w:p w14:paraId="0E29A0D4">
            <w:pPr>
              <w:rPr>
                <w:rFonts w:ascii="Arial"/>
                <w:sz w:val="21"/>
              </w:rPr>
            </w:pPr>
          </w:p>
        </w:tc>
        <w:tc>
          <w:tcPr>
            <w:tcW w:w="1581" w:type="dxa"/>
            <w:vAlign w:val="top"/>
          </w:tcPr>
          <w:p w14:paraId="5584C126">
            <w:pPr>
              <w:spacing w:line="276" w:lineRule="auto"/>
              <w:rPr>
                <w:rFonts w:ascii="Arial"/>
                <w:sz w:val="21"/>
              </w:rPr>
            </w:pPr>
          </w:p>
          <w:p w14:paraId="66DF0078">
            <w:pPr>
              <w:spacing w:line="276" w:lineRule="auto"/>
              <w:rPr>
                <w:rFonts w:ascii="Arial"/>
                <w:sz w:val="21"/>
              </w:rPr>
            </w:pPr>
          </w:p>
          <w:p w14:paraId="4AB02226">
            <w:pPr>
              <w:pStyle w:val="51"/>
              <w:spacing w:before="55" w:line="229" w:lineRule="auto"/>
              <w:ind w:left="616"/>
              <w:rPr>
                <w:sz w:val="17"/>
                <w:szCs w:val="17"/>
              </w:rPr>
            </w:pPr>
            <w:r>
              <w:rPr>
                <w:spacing w:val="4"/>
                <w:sz w:val="17"/>
                <w:szCs w:val="17"/>
              </w:rPr>
              <w:t>粽子</w:t>
            </w:r>
          </w:p>
        </w:tc>
        <w:tc>
          <w:tcPr>
            <w:tcW w:w="1586" w:type="dxa"/>
            <w:vAlign w:val="top"/>
          </w:tcPr>
          <w:p w14:paraId="3A548FE5">
            <w:pPr>
              <w:spacing w:line="276" w:lineRule="auto"/>
              <w:rPr>
                <w:rFonts w:ascii="Arial"/>
                <w:sz w:val="21"/>
              </w:rPr>
            </w:pPr>
          </w:p>
          <w:p w14:paraId="2FA9D206">
            <w:pPr>
              <w:spacing w:line="276" w:lineRule="auto"/>
              <w:rPr>
                <w:rFonts w:ascii="Arial"/>
                <w:sz w:val="21"/>
              </w:rPr>
            </w:pPr>
          </w:p>
          <w:p w14:paraId="371C59A0">
            <w:pPr>
              <w:pStyle w:val="51"/>
              <w:spacing w:before="55" w:line="229" w:lineRule="auto"/>
              <w:ind w:left="619"/>
              <w:rPr>
                <w:sz w:val="17"/>
                <w:szCs w:val="17"/>
              </w:rPr>
            </w:pPr>
            <w:r>
              <w:rPr>
                <w:spacing w:val="4"/>
                <w:sz w:val="17"/>
                <w:szCs w:val="17"/>
              </w:rPr>
              <w:t>粽子</w:t>
            </w:r>
          </w:p>
        </w:tc>
        <w:tc>
          <w:tcPr>
            <w:tcW w:w="682" w:type="dxa"/>
            <w:vAlign w:val="top"/>
          </w:tcPr>
          <w:p w14:paraId="19FBA1A8">
            <w:pPr>
              <w:spacing w:line="276" w:lineRule="auto"/>
              <w:rPr>
                <w:rFonts w:ascii="Arial"/>
                <w:sz w:val="21"/>
              </w:rPr>
            </w:pPr>
          </w:p>
          <w:p w14:paraId="1E73418E">
            <w:pPr>
              <w:spacing w:line="277" w:lineRule="auto"/>
              <w:rPr>
                <w:rFonts w:ascii="Arial"/>
                <w:sz w:val="21"/>
              </w:rPr>
            </w:pPr>
          </w:p>
          <w:p w14:paraId="198F6D2F">
            <w:pPr>
              <w:pStyle w:val="51"/>
              <w:spacing w:before="55" w:line="227" w:lineRule="auto"/>
              <w:ind w:left="170"/>
              <w:rPr>
                <w:sz w:val="17"/>
                <w:szCs w:val="17"/>
              </w:rPr>
            </w:pPr>
            <w:r>
              <w:rPr>
                <w:spacing w:val="3"/>
                <w:sz w:val="17"/>
                <w:szCs w:val="17"/>
              </w:rPr>
              <w:t>较高</w:t>
            </w:r>
          </w:p>
        </w:tc>
        <w:tc>
          <w:tcPr>
            <w:tcW w:w="8563" w:type="dxa"/>
            <w:vAlign w:val="top"/>
          </w:tcPr>
          <w:p w14:paraId="67B26BAE">
            <w:pPr>
              <w:spacing w:line="255" w:lineRule="auto"/>
              <w:rPr>
                <w:rFonts w:ascii="Arial"/>
                <w:sz w:val="21"/>
              </w:rPr>
            </w:pPr>
          </w:p>
          <w:p w14:paraId="79C178E1">
            <w:pPr>
              <w:pStyle w:val="51"/>
              <w:spacing w:before="56" w:line="326" w:lineRule="auto"/>
              <w:ind w:left="37" w:right="26" w:firstLine="2"/>
              <w:jc w:val="both"/>
              <w:rPr>
                <w:sz w:val="17"/>
                <w:szCs w:val="17"/>
              </w:rPr>
            </w:pPr>
            <w:r>
              <w:rPr>
                <w:spacing w:val="8"/>
                <w:sz w:val="17"/>
                <w:szCs w:val="17"/>
              </w:rPr>
              <w:t>过氧化值(以脂肪计)、甜蜜素(以环己基氨基磺酸计)、山梨酸及其钾盐(以山梨酸计)、脱氢乙酸及其钠盐(以</w:t>
            </w:r>
            <w:r>
              <w:rPr>
                <w:spacing w:val="9"/>
                <w:sz w:val="17"/>
                <w:szCs w:val="17"/>
              </w:rPr>
              <w:t>脱氢乙酸计)、糖精钠(以糖精计)、安赛蜜、菌落总数</w:t>
            </w:r>
            <w:r>
              <w:rPr>
                <w:spacing w:val="8"/>
                <w:sz w:val="17"/>
                <w:szCs w:val="17"/>
              </w:rPr>
              <w:t>、大肠菌群、金黄色葡萄球菌、沙门氏菌、霉菌、商业</w:t>
            </w:r>
            <w:r>
              <w:rPr>
                <w:spacing w:val="4"/>
                <w:sz w:val="17"/>
                <w:szCs w:val="17"/>
              </w:rPr>
              <w:t>无菌</w:t>
            </w:r>
          </w:p>
        </w:tc>
      </w:tr>
      <w:tr w14:paraId="3F8CE0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16" w:hRule="atLeast"/>
        </w:trPr>
        <w:tc>
          <w:tcPr>
            <w:tcW w:w="459" w:type="dxa"/>
            <w:vMerge w:val="continue"/>
            <w:tcBorders>
              <w:top w:val="nil"/>
            </w:tcBorders>
            <w:vAlign w:val="top"/>
          </w:tcPr>
          <w:p w14:paraId="05F7E216">
            <w:pPr>
              <w:rPr>
                <w:rFonts w:ascii="Arial"/>
                <w:sz w:val="21"/>
              </w:rPr>
            </w:pPr>
          </w:p>
        </w:tc>
        <w:tc>
          <w:tcPr>
            <w:tcW w:w="942" w:type="dxa"/>
            <w:vMerge w:val="continue"/>
            <w:tcBorders>
              <w:top w:val="nil"/>
            </w:tcBorders>
            <w:vAlign w:val="top"/>
          </w:tcPr>
          <w:p w14:paraId="4C2361AA">
            <w:pPr>
              <w:rPr>
                <w:rFonts w:ascii="Arial"/>
                <w:sz w:val="21"/>
              </w:rPr>
            </w:pPr>
          </w:p>
        </w:tc>
        <w:tc>
          <w:tcPr>
            <w:tcW w:w="1360" w:type="dxa"/>
            <w:vMerge w:val="continue"/>
            <w:tcBorders>
              <w:top w:val="nil"/>
            </w:tcBorders>
            <w:vAlign w:val="top"/>
          </w:tcPr>
          <w:p w14:paraId="41CBA4BD">
            <w:pPr>
              <w:rPr>
                <w:rFonts w:ascii="Arial"/>
                <w:sz w:val="21"/>
              </w:rPr>
            </w:pPr>
          </w:p>
        </w:tc>
        <w:tc>
          <w:tcPr>
            <w:tcW w:w="1581" w:type="dxa"/>
            <w:vAlign w:val="top"/>
          </w:tcPr>
          <w:p w14:paraId="60A8BE91">
            <w:pPr>
              <w:spacing w:line="245" w:lineRule="auto"/>
              <w:rPr>
                <w:rFonts w:ascii="Arial"/>
                <w:sz w:val="21"/>
              </w:rPr>
            </w:pPr>
          </w:p>
          <w:p w14:paraId="02353AAE">
            <w:pPr>
              <w:spacing w:line="246" w:lineRule="auto"/>
              <w:rPr>
                <w:rFonts w:ascii="Arial"/>
                <w:sz w:val="21"/>
              </w:rPr>
            </w:pPr>
          </w:p>
          <w:p w14:paraId="1C352FB2">
            <w:pPr>
              <w:spacing w:line="246" w:lineRule="auto"/>
              <w:rPr>
                <w:rFonts w:ascii="Arial"/>
                <w:sz w:val="21"/>
              </w:rPr>
            </w:pPr>
          </w:p>
          <w:p w14:paraId="2E0E9C46">
            <w:pPr>
              <w:spacing w:line="246" w:lineRule="auto"/>
              <w:rPr>
                <w:rFonts w:ascii="Arial"/>
                <w:sz w:val="21"/>
              </w:rPr>
            </w:pPr>
          </w:p>
          <w:p w14:paraId="23F374F0">
            <w:pPr>
              <w:pStyle w:val="51"/>
              <w:spacing w:before="55" w:line="229" w:lineRule="auto"/>
              <w:ind w:left="618"/>
              <w:rPr>
                <w:sz w:val="17"/>
                <w:szCs w:val="17"/>
              </w:rPr>
            </w:pPr>
            <w:r>
              <w:rPr>
                <w:spacing w:val="4"/>
                <w:sz w:val="17"/>
                <w:szCs w:val="17"/>
              </w:rPr>
              <w:t>糕点</w:t>
            </w:r>
          </w:p>
        </w:tc>
        <w:tc>
          <w:tcPr>
            <w:tcW w:w="1586" w:type="dxa"/>
            <w:vAlign w:val="top"/>
          </w:tcPr>
          <w:p w14:paraId="28E1EEB8">
            <w:pPr>
              <w:spacing w:line="245" w:lineRule="auto"/>
              <w:rPr>
                <w:rFonts w:ascii="Arial"/>
                <w:sz w:val="21"/>
              </w:rPr>
            </w:pPr>
          </w:p>
          <w:p w14:paraId="0264088A">
            <w:pPr>
              <w:spacing w:line="246" w:lineRule="auto"/>
              <w:rPr>
                <w:rFonts w:ascii="Arial"/>
                <w:sz w:val="21"/>
              </w:rPr>
            </w:pPr>
          </w:p>
          <w:p w14:paraId="2C6590A2">
            <w:pPr>
              <w:spacing w:line="246" w:lineRule="auto"/>
              <w:rPr>
                <w:rFonts w:ascii="Arial"/>
                <w:sz w:val="21"/>
              </w:rPr>
            </w:pPr>
          </w:p>
          <w:p w14:paraId="0514BF6A">
            <w:pPr>
              <w:spacing w:line="246" w:lineRule="auto"/>
              <w:rPr>
                <w:rFonts w:ascii="Arial"/>
                <w:sz w:val="21"/>
              </w:rPr>
            </w:pPr>
          </w:p>
          <w:p w14:paraId="52CDFAC8">
            <w:pPr>
              <w:pStyle w:val="51"/>
              <w:spacing w:before="55" w:line="229" w:lineRule="auto"/>
              <w:ind w:left="620"/>
              <w:rPr>
                <w:sz w:val="17"/>
                <w:szCs w:val="17"/>
              </w:rPr>
            </w:pPr>
            <w:r>
              <w:rPr>
                <w:spacing w:val="4"/>
                <w:sz w:val="17"/>
                <w:szCs w:val="17"/>
              </w:rPr>
              <w:t>糕点</w:t>
            </w:r>
          </w:p>
        </w:tc>
        <w:tc>
          <w:tcPr>
            <w:tcW w:w="682" w:type="dxa"/>
            <w:vAlign w:val="top"/>
          </w:tcPr>
          <w:p w14:paraId="03997A31">
            <w:pPr>
              <w:spacing w:line="245" w:lineRule="auto"/>
              <w:rPr>
                <w:rFonts w:ascii="Arial"/>
                <w:sz w:val="21"/>
              </w:rPr>
            </w:pPr>
          </w:p>
          <w:p w14:paraId="1718B009">
            <w:pPr>
              <w:spacing w:line="246" w:lineRule="auto"/>
              <w:rPr>
                <w:rFonts w:ascii="Arial"/>
                <w:sz w:val="21"/>
              </w:rPr>
            </w:pPr>
          </w:p>
          <w:p w14:paraId="0A2EA8B8">
            <w:pPr>
              <w:spacing w:line="246" w:lineRule="auto"/>
              <w:rPr>
                <w:rFonts w:ascii="Arial"/>
                <w:sz w:val="21"/>
              </w:rPr>
            </w:pPr>
          </w:p>
          <w:p w14:paraId="14C77004">
            <w:pPr>
              <w:spacing w:line="246" w:lineRule="auto"/>
              <w:rPr>
                <w:rFonts w:ascii="Arial"/>
                <w:sz w:val="21"/>
              </w:rPr>
            </w:pPr>
          </w:p>
          <w:p w14:paraId="5AD9D4CE">
            <w:pPr>
              <w:pStyle w:val="51"/>
              <w:spacing w:before="55" w:line="227" w:lineRule="auto"/>
              <w:ind w:left="170"/>
              <w:rPr>
                <w:sz w:val="17"/>
                <w:szCs w:val="17"/>
              </w:rPr>
            </w:pPr>
            <w:r>
              <w:rPr>
                <w:spacing w:val="3"/>
                <w:sz w:val="17"/>
                <w:szCs w:val="17"/>
              </w:rPr>
              <w:t>较高</w:t>
            </w:r>
          </w:p>
        </w:tc>
        <w:tc>
          <w:tcPr>
            <w:tcW w:w="8563" w:type="dxa"/>
            <w:vAlign w:val="top"/>
          </w:tcPr>
          <w:p w14:paraId="63A9DC8E">
            <w:pPr>
              <w:spacing w:line="385" w:lineRule="auto"/>
              <w:rPr>
                <w:rFonts w:ascii="Arial"/>
                <w:sz w:val="21"/>
              </w:rPr>
            </w:pPr>
          </w:p>
          <w:p w14:paraId="32BF1F50">
            <w:pPr>
              <w:pStyle w:val="51"/>
              <w:spacing w:before="56" w:line="326" w:lineRule="auto"/>
              <w:ind w:left="37"/>
              <w:jc w:val="both"/>
              <w:rPr>
                <w:sz w:val="17"/>
                <w:szCs w:val="17"/>
              </w:rPr>
            </w:pPr>
            <w:r>
              <w:rPr>
                <w:spacing w:val="8"/>
                <w:sz w:val="17"/>
                <w:szCs w:val="17"/>
              </w:rPr>
              <w:t>酸价(以脂肪计)(</w:t>
            </w:r>
            <w:r>
              <w:rPr>
                <w:sz w:val="17"/>
                <w:szCs w:val="17"/>
              </w:rPr>
              <w:t>KOH</w:t>
            </w:r>
            <w:r>
              <w:rPr>
                <w:spacing w:val="8"/>
                <w:sz w:val="17"/>
                <w:szCs w:val="17"/>
              </w:rPr>
              <w:t>)、过氧化值(以脂肪计)、铅(以</w:t>
            </w:r>
            <w:r>
              <w:rPr>
                <w:sz w:val="17"/>
                <w:szCs w:val="17"/>
              </w:rPr>
              <w:t>Pb</w:t>
            </w:r>
            <w:r>
              <w:rPr>
                <w:spacing w:val="8"/>
                <w:sz w:val="17"/>
                <w:szCs w:val="17"/>
              </w:rPr>
              <w:t>计)、苯甲酸及其钠盐(以苯甲</w:t>
            </w:r>
            <w:r>
              <w:rPr>
                <w:spacing w:val="7"/>
                <w:sz w:val="17"/>
                <w:szCs w:val="17"/>
              </w:rPr>
              <w:t>酸计)、山梨酸及其钾盐(以山梨酸计)、糖精钠(以糖精计)、甜蜜素(以环己基氨基磺酸计)、安赛蜜、铝的残留量(干样品，以</w:t>
            </w:r>
            <w:r>
              <w:rPr>
                <w:sz w:val="17"/>
                <w:szCs w:val="17"/>
              </w:rPr>
              <w:t>Al</w:t>
            </w:r>
            <w:r>
              <w:rPr>
                <w:spacing w:val="7"/>
                <w:sz w:val="17"/>
                <w:szCs w:val="17"/>
              </w:rPr>
              <w:t>计)、</w:t>
            </w:r>
            <w:r>
              <w:rPr>
                <w:spacing w:val="9"/>
                <w:sz w:val="17"/>
                <w:szCs w:val="17"/>
              </w:rPr>
              <w:t>丙酸及其钠盐、钙盐(以丙酸计)、脱氢乙酸及其钠盐(以脱氢乙酸计)、纳他霉素、三氯蔗</w:t>
            </w:r>
            <w:r>
              <w:rPr>
                <w:spacing w:val="8"/>
                <w:sz w:val="17"/>
                <w:szCs w:val="17"/>
              </w:rPr>
              <w:t>糖、丙二醇、</w:t>
            </w:r>
            <w:r>
              <w:rPr>
                <w:spacing w:val="-46"/>
                <w:sz w:val="17"/>
                <w:szCs w:val="17"/>
              </w:rPr>
              <w:t xml:space="preserve"> </w:t>
            </w:r>
            <w:r>
              <w:rPr>
                <w:spacing w:val="8"/>
                <w:sz w:val="17"/>
                <w:szCs w:val="17"/>
              </w:rPr>
              <w:t>合成</w:t>
            </w:r>
            <w:r>
              <w:rPr>
                <w:spacing w:val="10"/>
                <w:sz w:val="17"/>
                <w:szCs w:val="17"/>
              </w:rPr>
              <w:t>着色剂(柠檬黄、日落黄、胭脂红、苋菜红、亮蓝、赤藓红、诱惑红)、防腐剂混合使用时</w:t>
            </w:r>
            <w:r>
              <w:rPr>
                <w:spacing w:val="9"/>
                <w:sz w:val="17"/>
                <w:szCs w:val="17"/>
              </w:rPr>
              <w:t>各自用量占其最大使用量的比例之和、菌落总数、大肠菌群、金黄色葡萄球菌、沙门氏菌、霉菌、富马酸二甲酯</w:t>
            </w:r>
          </w:p>
        </w:tc>
      </w:tr>
    </w:tbl>
    <w:p w14:paraId="16BDBBA3">
      <w:pPr>
        <w:rPr>
          <w:rFonts w:ascii="Arial"/>
          <w:sz w:val="21"/>
        </w:rPr>
      </w:pPr>
    </w:p>
    <w:p w14:paraId="186D348D">
      <w:pPr>
        <w:rPr>
          <w:rFonts w:ascii="Arial" w:hAnsi="Arial" w:eastAsia="Arial" w:cs="Arial"/>
          <w:sz w:val="21"/>
          <w:szCs w:val="21"/>
        </w:rPr>
        <w:sectPr>
          <w:pgSz w:w="16838" w:h="11906"/>
          <w:pgMar w:top="1011" w:right="829" w:bottom="400" w:left="366" w:header="567" w:footer="567" w:gutter="0"/>
          <w:pgNumType w:fmt="decimal"/>
          <w:cols w:space="720" w:num="1"/>
        </w:sectPr>
      </w:pPr>
    </w:p>
    <w:p w14:paraId="52B5C86A">
      <w:pPr>
        <w:spacing w:before="18"/>
      </w:pPr>
    </w:p>
    <w:p w14:paraId="61BEFC2F">
      <w:pPr>
        <w:spacing w:before="18"/>
      </w:pPr>
    </w:p>
    <w:tbl>
      <w:tblPr>
        <w:tblStyle w:val="50"/>
        <w:tblW w:w="15173" w:type="dxa"/>
        <w:tblInd w:w="46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59"/>
        <w:gridCol w:w="942"/>
        <w:gridCol w:w="1360"/>
        <w:gridCol w:w="1581"/>
        <w:gridCol w:w="1586"/>
        <w:gridCol w:w="682"/>
        <w:gridCol w:w="8563"/>
      </w:tblGrid>
      <w:tr w14:paraId="15B2ED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459" w:type="dxa"/>
            <w:vAlign w:val="top"/>
          </w:tcPr>
          <w:p w14:paraId="14CE17E6">
            <w:pPr>
              <w:spacing w:before="241" w:line="234" w:lineRule="auto"/>
              <w:ind w:left="52"/>
              <w:rPr>
                <w:rFonts w:ascii="黑体" w:hAnsi="黑体" w:eastAsia="黑体" w:cs="黑体"/>
                <w:sz w:val="17"/>
                <w:szCs w:val="17"/>
              </w:rPr>
            </w:pPr>
            <w:r>
              <w:rPr>
                <w:rFonts w:ascii="黑体" w:hAnsi="黑体" w:eastAsia="黑体" w:cs="黑体"/>
                <w:spacing w:val="6"/>
                <w:sz w:val="17"/>
                <w:szCs w:val="17"/>
              </w:rPr>
              <w:t>序号</w:t>
            </w:r>
          </w:p>
        </w:tc>
        <w:tc>
          <w:tcPr>
            <w:tcW w:w="942" w:type="dxa"/>
            <w:vAlign w:val="top"/>
          </w:tcPr>
          <w:p w14:paraId="7611B0E3">
            <w:pPr>
              <w:spacing w:before="90" w:line="232" w:lineRule="auto"/>
              <w:ind w:left="111"/>
              <w:rPr>
                <w:rFonts w:ascii="黑体" w:hAnsi="黑体" w:eastAsia="黑体" w:cs="黑体"/>
                <w:sz w:val="17"/>
                <w:szCs w:val="17"/>
              </w:rPr>
            </w:pPr>
            <w:r>
              <w:rPr>
                <w:rFonts w:ascii="黑体" w:hAnsi="黑体" w:eastAsia="黑体" w:cs="黑体"/>
                <w:spacing w:val="8"/>
                <w:sz w:val="17"/>
                <w:szCs w:val="17"/>
              </w:rPr>
              <w:t>食品大类</w:t>
            </w:r>
          </w:p>
          <w:p w14:paraId="4E82998A">
            <w:pPr>
              <w:spacing w:before="86" w:line="227" w:lineRule="auto"/>
              <w:ind w:left="237"/>
              <w:rPr>
                <w:rFonts w:ascii="黑体" w:hAnsi="黑体" w:eastAsia="黑体" w:cs="黑体"/>
                <w:sz w:val="17"/>
                <w:szCs w:val="17"/>
              </w:rPr>
            </w:pPr>
            <w:r>
              <w:rPr>
                <w:rFonts w:ascii="黑体" w:hAnsi="黑体" w:eastAsia="黑体" w:cs="黑体"/>
                <w:spacing w:val="-4"/>
                <w:sz w:val="17"/>
                <w:szCs w:val="17"/>
              </w:rPr>
              <w:t>(一级)</w:t>
            </w:r>
          </w:p>
        </w:tc>
        <w:tc>
          <w:tcPr>
            <w:tcW w:w="1360" w:type="dxa"/>
            <w:vAlign w:val="top"/>
          </w:tcPr>
          <w:p w14:paraId="5A899D05">
            <w:pPr>
              <w:spacing w:before="90" w:line="232" w:lineRule="auto"/>
              <w:ind w:left="321"/>
              <w:rPr>
                <w:rFonts w:ascii="黑体" w:hAnsi="黑体" w:eastAsia="黑体" w:cs="黑体"/>
                <w:sz w:val="17"/>
                <w:szCs w:val="17"/>
              </w:rPr>
            </w:pPr>
            <w:r>
              <w:rPr>
                <w:rFonts w:ascii="黑体" w:hAnsi="黑体" w:eastAsia="黑体" w:cs="黑体"/>
                <w:spacing w:val="8"/>
                <w:sz w:val="17"/>
                <w:szCs w:val="17"/>
              </w:rPr>
              <w:t>食品亚类</w:t>
            </w:r>
          </w:p>
          <w:p w14:paraId="255CA034">
            <w:pPr>
              <w:spacing w:before="86" w:line="227" w:lineRule="auto"/>
              <w:ind w:left="444"/>
              <w:rPr>
                <w:rFonts w:ascii="黑体" w:hAnsi="黑体" w:eastAsia="黑体" w:cs="黑体"/>
                <w:sz w:val="17"/>
                <w:szCs w:val="17"/>
              </w:rPr>
            </w:pPr>
            <w:r>
              <w:rPr>
                <w:rFonts w:ascii="黑体" w:hAnsi="黑体" w:eastAsia="黑体" w:cs="黑体"/>
                <w:spacing w:val="-3"/>
                <w:sz w:val="17"/>
                <w:szCs w:val="17"/>
              </w:rPr>
              <w:t>(二级)</w:t>
            </w:r>
          </w:p>
        </w:tc>
        <w:tc>
          <w:tcPr>
            <w:tcW w:w="1581" w:type="dxa"/>
            <w:vAlign w:val="top"/>
          </w:tcPr>
          <w:p w14:paraId="7DF1D1E1">
            <w:pPr>
              <w:spacing w:before="90" w:line="232" w:lineRule="auto"/>
              <w:ind w:left="433"/>
              <w:rPr>
                <w:rFonts w:ascii="黑体" w:hAnsi="黑体" w:eastAsia="黑体" w:cs="黑体"/>
                <w:sz w:val="17"/>
                <w:szCs w:val="17"/>
              </w:rPr>
            </w:pPr>
            <w:r>
              <w:rPr>
                <w:rFonts w:ascii="黑体" w:hAnsi="黑体" w:eastAsia="黑体" w:cs="黑体"/>
                <w:spacing w:val="8"/>
                <w:sz w:val="17"/>
                <w:szCs w:val="17"/>
              </w:rPr>
              <w:t>食品品种</w:t>
            </w:r>
          </w:p>
          <w:p w14:paraId="4829A295">
            <w:pPr>
              <w:spacing w:before="86" w:line="227" w:lineRule="auto"/>
              <w:ind w:left="558"/>
              <w:rPr>
                <w:rFonts w:ascii="黑体" w:hAnsi="黑体" w:eastAsia="黑体" w:cs="黑体"/>
                <w:sz w:val="17"/>
                <w:szCs w:val="17"/>
              </w:rPr>
            </w:pPr>
            <w:r>
              <w:rPr>
                <w:rFonts w:ascii="黑体" w:hAnsi="黑体" w:eastAsia="黑体" w:cs="黑体"/>
                <w:spacing w:val="-4"/>
                <w:sz w:val="17"/>
                <w:szCs w:val="17"/>
              </w:rPr>
              <w:t>(三级)</w:t>
            </w:r>
          </w:p>
        </w:tc>
        <w:tc>
          <w:tcPr>
            <w:tcW w:w="1586" w:type="dxa"/>
            <w:vAlign w:val="top"/>
          </w:tcPr>
          <w:p w14:paraId="08C81563">
            <w:pPr>
              <w:spacing w:before="90" w:line="232" w:lineRule="auto"/>
              <w:ind w:left="436"/>
              <w:rPr>
                <w:rFonts w:ascii="黑体" w:hAnsi="黑体" w:eastAsia="黑体" w:cs="黑体"/>
                <w:sz w:val="17"/>
                <w:szCs w:val="17"/>
              </w:rPr>
            </w:pPr>
            <w:r>
              <w:rPr>
                <w:rFonts w:ascii="黑体" w:hAnsi="黑体" w:eastAsia="黑体" w:cs="黑体"/>
                <w:spacing w:val="8"/>
                <w:sz w:val="17"/>
                <w:szCs w:val="17"/>
              </w:rPr>
              <w:t>食品细类</w:t>
            </w:r>
          </w:p>
          <w:p w14:paraId="05A4229D">
            <w:pPr>
              <w:spacing w:before="86" w:line="227" w:lineRule="auto"/>
              <w:ind w:left="561"/>
              <w:rPr>
                <w:rFonts w:ascii="黑体" w:hAnsi="黑体" w:eastAsia="黑体" w:cs="黑体"/>
                <w:sz w:val="17"/>
                <w:szCs w:val="17"/>
              </w:rPr>
            </w:pPr>
            <w:r>
              <w:rPr>
                <w:rFonts w:ascii="黑体" w:hAnsi="黑体" w:eastAsia="黑体" w:cs="黑体"/>
                <w:spacing w:val="-4"/>
                <w:sz w:val="17"/>
                <w:szCs w:val="17"/>
              </w:rPr>
              <w:t>(四级)</w:t>
            </w:r>
          </w:p>
        </w:tc>
        <w:tc>
          <w:tcPr>
            <w:tcW w:w="682" w:type="dxa"/>
            <w:vAlign w:val="top"/>
          </w:tcPr>
          <w:p w14:paraId="4D7EB786">
            <w:pPr>
              <w:spacing w:before="89" w:line="233" w:lineRule="auto"/>
              <w:ind w:left="166"/>
              <w:rPr>
                <w:rFonts w:ascii="黑体" w:hAnsi="黑体" w:eastAsia="黑体" w:cs="黑体"/>
                <w:sz w:val="17"/>
                <w:szCs w:val="17"/>
              </w:rPr>
            </w:pPr>
            <w:r>
              <w:rPr>
                <w:rFonts w:ascii="黑体" w:hAnsi="黑体" w:eastAsia="黑体" w:cs="黑体"/>
                <w:spacing w:val="6"/>
                <w:sz w:val="17"/>
                <w:szCs w:val="17"/>
              </w:rPr>
              <w:t>风险</w:t>
            </w:r>
          </w:p>
          <w:p w14:paraId="63DE85E5">
            <w:pPr>
              <w:spacing w:before="85" w:line="227" w:lineRule="auto"/>
              <w:ind w:left="163"/>
              <w:rPr>
                <w:rFonts w:ascii="黑体" w:hAnsi="黑体" w:eastAsia="黑体" w:cs="黑体"/>
                <w:sz w:val="17"/>
                <w:szCs w:val="17"/>
              </w:rPr>
            </w:pPr>
            <w:r>
              <w:rPr>
                <w:rFonts w:ascii="黑体" w:hAnsi="黑体" w:eastAsia="黑体" w:cs="黑体"/>
                <w:spacing w:val="7"/>
                <w:sz w:val="17"/>
                <w:szCs w:val="17"/>
              </w:rPr>
              <w:t>等级</w:t>
            </w:r>
          </w:p>
        </w:tc>
        <w:tc>
          <w:tcPr>
            <w:tcW w:w="8563" w:type="dxa"/>
            <w:vAlign w:val="top"/>
          </w:tcPr>
          <w:p w14:paraId="62CC2615">
            <w:pPr>
              <w:spacing w:before="241" w:line="232" w:lineRule="auto"/>
              <w:ind w:left="3744"/>
              <w:rPr>
                <w:rFonts w:ascii="黑体" w:hAnsi="黑体" w:eastAsia="黑体" w:cs="黑体"/>
                <w:sz w:val="17"/>
                <w:szCs w:val="17"/>
              </w:rPr>
            </w:pPr>
            <w:r>
              <w:rPr>
                <w:rFonts w:ascii="黑体" w:hAnsi="黑体" w:eastAsia="黑体" w:cs="黑体"/>
                <w:spacing w:val="8"/>
                <w:sz w:val="17"/>
                <w:szCs w:val="17"/>
              </w:rPr>
              <w:t>监督抽检项目</w:t>
            </w:r>
          </w:p>
        </w:tc>
      </w:tr>
      <w:tr w14:paraId="49F23E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4" w:hRule="atLeast"/>
        </w:trPr>
        <w:tc>
          <w:tcPr>
            <w:tcW w:w="459" w:type="dxa"/>
            <w:vMerge w:val="restart"/>
            <w:tcBorders>
              <w:bottom w:val="nil"/>
            </w:tcBorders>
            <w:vAlign w:val="top"/>
          </w:tcPr>
          <w:p w14:paraId="2076CB97">
            <w:pPr>
              <w:spacing w:line="249" w:lineRule="auto"/>
              <w:rPr>
                <w:rFonts w:ascii="Arial"/>
                <w:sz w:val="21"/>
              </w:rPr>
            </w:pPr>
          </w:p>
          <w:p w14:paraId="3F90496E">
            <w:pPr>
              <w:spacing w:line="249" w:lineRule="auto"/>
              <w:rPr>
                <w:rFonts w:ascii="Arial"/>
                <w:sz w:val="21"/>
              </w:rPr>
            </w:pPr>
          </w:p>
          <w:p w14:paraId="5F48FD65">
            <w:pPr>
              <w:spacing w:line="249" w:lineRule="auto"/>
              <w:rPr>
                <w:rFonts w:ascii="Arial"/>
                <w:sz w:val="21"/>
              </w:rPr>
            </w:pPr>
          </w:p>
          <w:p w14:paraId="2F3545AB">
            <w:pPr>
              <w:spacing w:line="249" w:lineRule="auto"/>
              <w:rPr>
                <w:rFonts w:ascii="Arial"/>
                <w:sz w:val="21"/>
              </w:rPr>
            </w:pPr>
          </w:p>
          <w:p w14:paraId="7064F521">
            <w:pPr>
              <w:spacing w:line="250" w:lineRule="auto"/>
              <w:rPr>
                <w:rFonts w:ascii="Arial"/>
                <w:sz w:val="21"/>
              </w:rPr>
            </w:pPr>
          </w:p>
          <w:p w14:paraId="2CDFB25D">
            <w:pPr>
              <w:spacing w:line="250" w:lineRule="auto"/>
              <w:rPr>
                <w:rFonts w:ascii="Arial"/>
                <w:sz w:val="21"/>
              </w:rPr>
            </w:pPr>
          </w:p>
          <w:p w14:paraId="5DA4D280">
            <w:pPr>
              <w:spacing w:line="250" w:lineRule="auto"/>
              <w:rPr>
                <w:rFonts w:ascii="Arial"/>
                <w:sz w:val="21"/>
              </w:rPr>
            </w:pPr>
          </w:p>
          <w:p w14:paraId="775ACD1F">
            <w:pPr>
              <w:spacing w:line="250" w:lineRule="auto"/>
              <w:rPr>
                <w:rFonts w:ascii="Arial"/>
                <w:sz w:val="21"/>
              </w:rPr>
            </w:pPr>
          </w:p>
          <w:p w14:paraId="5D1578CE">
            <w:pPr>
              <w:pStyle w:val="51"/>
              <w:spacing w:before="55" w:line="227" w:lineRule="exact"/>
              <w:ind w:left="145"/>
              <w:rPr>
                <w:sz w:val="17"/>
                <w:szCs w:val="17"/>
              </w:rPr>
            </w:pPr>
            <w:r>
              <w:rPr>
                <w:position w:val="1"/>
                <w:sz w:val="17"/>
                <w:szCs w:val="17"/>
              </w:rPr>
              <w:t>25</w:t>
            </w:r>
          </w:p>
        </w:tc>
        <w:tc>
          <w:tcPr>
            <w:tcW w:w="942" w:type="dxa"/>
            <w:vMerge w:val="restart"/>
            <w:tcBorders>
              <w:bottom w:val="nil"/>
            </w:tcBorders>
            <w:vAlign w:val="top"/>
          </w:tcPr>
          <w:p w14:paraId="56D7221E">
            <w:pPr>
              <w:spacing w:line="249" w:lineRule="auto"/>
              <w:rPr>
                <w:rFonts w:ascii="Arial"/>
                <w:sz w:val="21"/>
              </w:rPr>
            </w:pPr>
          </w:p>
          <w:p w14:paraId="4281AB29">
            <w:pPr>
              <w:spacing w:line="249" w:lineRule="auto"/>
              <w:rPr>
                <w:rFonts w:ascii="Arial"/>
                <w:sz w:val="21"/>
              </w:rPr>
            </w:pPr>
          </w:p>
          <w:p w14:paraId="107A5251">
            <w:pPr>
              <w:spacing w:line="249" w:lineRule="auto"/>
              <w:rPr>
                <w:rFonts w:ascii="Arial"/>
                <w:sz w:val="21"/>
              </w:rPr>
            </w:pPr>
          </w:p>
          <w:p w14:paraId="7E827B90">
            <w:pPr>
              <w:spacing w:line="249" w:lineRule="auto"/>
              <w:rPr>
                <w:rFonts w:ascii="Arial"/>
                <w:sz w:val="21"/>
              </w:rPr>
            </w:pPr>
          </w:p>
          <w:p w14:paraId="7BC9F68E">
            <w:pPr>
              <w:spacing w:line="250" w:lineRule="auto"/>
              <w:rPr>
                <w:rFonts w:ascii="Arial"/>
                <w:sz w:val="21"/>
              </w:rPr>
            </w:pPr>
          </w:p>
          <w:p w14:paraId="13EF64C0">
            <w:pPr>
              <w:spacing w:line="250" w:lineRule="auto"/>
              <w:rPr>
                <w:rFonts w:ascii="Arial"/>
                <w:sz w:val="21"/>
              </w:rPr>
            </w:pPr>
          </w:p>
          <w:p w14:paraId="516FD4DF">
            <w:pPr>
              <w:spacing w:line="250" w:lineRule="auto"/>
              <w:rPr>
                <w:rFonts w:ascii="Arial"/>
                <w:sz w:val="21"/>
              </w:rPr>
            </w:pPr>
          </w:p>
          <w:p w14:paraId="40DD247B">
            <w:pPr>
              <w:spacing w:line="250" w:lineRule="auto"/>
              <w:rPr>
                <w:rFonts w:ascii="Arial"/>
                <w:sz w:val="21"/>
              </w:rPr>
            </w:pPr>
          </w:p>
          <w:p w14:paraId="547E6576">
            <w:pPr>
              <w:pStyle w:val="51"/>
              <w:spacing w:before="55" w:line="227" w:lineRule="auto"/>
              <w:ind w:left="208"/>
              <w:rPr>
                <w:sz w:val="17"/>
                <w:szCs w:val="17"/>
              </w:rPr>
            </w:pPr>
            <w:r>
              <w:rPr>
                <w:spacing w:val="6"/>
                <w:sz w:val="17"/>
                <w:szCs w:val="17"/>
              </w:rPr>
              <w:t>豆制品</w:t>
            </w:r>
          </w:p>
        </w:tc>
        <w:tc>
          <w:tcPr>
            <w:tcW w:w="1360" w:type="dxa"/>
            <w:vMerge w:val="restart"/>
            <w:tcBorders>
              <w:bottom w:val="nil"/>
            </w:tcBorders>
            <w:vAlign w:val="top"/>
          </w:tcPr>
          <w:p w14:paraId="774E021E">
            <w:pPr>
              <w:spacing w:line="249" w:lineRule="auto"/>
              <w:rPr>
                <w:rFonts w:ascii="Arial"/>
                <w:sz w:val="21"/>
              </w:rPr>
            </w:pPr>
          </w:p>
          <w:p w14:paraId="26DB6167">
            <w:pPr>
              <w:spacing w:line="249" w:lineRule="auto"/>
              <w:rPr>
                <w:rFonts w:ascii="Arial"/>
                <w:sz w:val="21"/>
              </w:rPr>
            </w:pPr>
          </w:p>
          <w:p w14:paraId="2953E6A7">
            <w:pPr>
              <w:spacing w:line="249" w:lineRule="auto"/>
              <w:rPr>
                <w:rFonts w:ascii="Arial"/>
                <w:sz w:val="21"/>
              </w:rPr>
            </w:pPr>
          </w:p>
          <w:p w14:paraId="0F8455FA">
            <w:pPr>
              <w:spacing w:line="249" w:lineRule="auto"/>
              <w:rPr>
                <w:rFonts w:ascii="Arial"/>
                <w:sz w:val="21"/>
              </w:rPr>
            </w:pPr>
          </w:p>
          <w:p w14:paraId="67D88046">
            <w:pPr>
              <w:spacing w:line="250" w:lineRule="auto"/>
              <w:rPr>
                <w:rFonts w:ascii="Arial"/>
                <w:sz w:val="21"/>
              </w:rPr>
            </w:pPr>
          </w:p>
          <w:p w14:paraId="77040632">
            <w:pPr>
              <w:spacing w:line="250" w:lineRule="auto"/>
              <w:rPr>
                <w:rFonts w:ascii="Arial"/>
                <w:sz w:val="21"/>
              </w:rPr>
            </w:pPr>
          </w:p>
          <w:p w14:paraId="75ECC718">
            <w:pPr>
              <w:spacing w:line="250" w:lineRule="auto"/>
              <w:rPr>
                <w:rFonts w:ascii="Arial"/>
                <w:sz w:val="21"/>
              </w:rPr>
            </w:pPr>
          </w:p>
          <w:p w14:paraId="2D7C8F4D">
            <w:pPr>
              <w:spacing w:line="250" w:lineRule="auto"/>
              <w:rPr>
                <w:rFonts w:ascii="Arial"/>
                <w:sz w:val="21"/>
              </w:rPr>
            </w:pPr>
          </w:p>
          <w:p w14:paraId="4BB66EC0">
            <w:pPr>
              <w:pStyle w:val="51"/>
              <w:spacing w:before="55" w:line="227" w:lineRule="auto"/>
              <w:ind w:left="415"/>
              <w:rPr>
                <w:sz w:val="17"/>
                <w:szCs w:val="17"/>
              </w:rPr>
            </w:pPr>
            <w:r>
              <w:rPr>
                <w:spacing w:val="6"/>
                <w:sz w:val="17"/>
                <w:szCs w:val="17"/>
              </w:rPr>
              <w:t>豆制品</w:t>
            </w:r>
          </w:p>
        </w:tc>
        <w:tc>
          <w:tcPr>
            <w:tcW w:w="1581" w:type="dxa"/>
            <w:vAlign w:val="top"/>
          </w:tcPr>
          <w:p w14:paraId="2338A365">
            <w:pPr>
              <w:spacing w:line="369" w:lineRule="auto"/>
              <w:rPr>
                <w:rFonts w:ascii="Arial"/>
                <w:sz w:val="21"/>
              </w:rPr>
            </w:pPr>
          </w:p>
          <w:p w14:paraId="7B5717DE">
            <w:pPr>
              <w:pStyle w:val="51"/>
              <w:spacing w:before="55" w:line="226" w:lineRule="auto"/>
              <w:ind w:left="263"/>
              <w:rPr>
                <w:sz w:val="17"/>
                <w:szCs w:val="17"/>
              </w:rPr>
            </w:pPr>
            <w:r>
              <w:rPr>
                <w:spacing w:val="7"/>
                <w:sz w:val="17"/>
                <w:szCs w:val="17"/>
              </w:rPr>
              <w:t>发酵性豆制品</w:t>
            </w:r>
          </w:p>
        </w:tc>
        <w:tc>
          <w:tcPr>
            <w:tcW w:w="1586" w:type="dxa"/>
            <w:vAlign w:val="top"/>
          </w:tcPr>
          <w:p w14:paraId="54BC7236">
            <w:pPr>
              <w:spacing w:line="370" w:lineRule="auto"/>
              <w:rPr>
                <w:rFonts w:ascii="Arial"/>
                <w:sz w:val="21"/>
              </w:rPr>
            </w:pPr>
          </w:p>
          <w:p w14:paraId="7A187F9D">
            <w:pPr>
              <w:pStyle w:val="51"/>
              <w:spacing w:before="55" w:line="229" w:lineRule="auto"/>
              <w:ind w:left="39"/>
              <w:rPr>
                <w:sz w:val="17"/>
                <w:szCs w:val="17"/>
              </w:rPr>
            </w:pPr>
            <w:r>
              <w:rPr>
                <w:spacing w:val="-2"/>
                <w:sz w:val="17"/>
                <w:szCs w:val="17"/>
              </w:rPr>
              <w:t>腐乳、豆豉、纳豆等</w:t>
            </w:r>
          </w:p>
        </w:tc>
        <w:tc>
          <w:tcPr>
            <w:tcW w:w="682" w:type="dxa"/>
            <w:vAlign w:val="top"/>
          </w:tcPr>
          <w:p w14:paraId="111EF8A5">
            <w:pPr>
              <w:spacing w:line="369" w:lineRule="auto"/>
              <w:rPr>
                <w:rFonts w:ascii="Arial"/>
                <w:sz w:val="21"/>
              </w:rPr>
            </w:pPr>
          </w:p>
          <w:p w14:paraId="5E12A69A">
            <w:pPr>
              <w:pStyle w:val="51"/>
              <w:spacing w:before="56" w:line="227" w:lineRule="auto"/>
              <w:ind w:left="170"/>
              <w:rPr>
                <w:sz w:val="17"/>
                <w:szCs w:val="17"/>
              </w:rPr>
            </w:pPr>
            <w:r>
              <w:rPr>
                <w:spacing w:val="3"/>
                <w:sz w:val="17"/>
                <w:szCs w:val="17"/>
              </w:rPr>
              <w:t>较高</w:t>
            </w:r>
          </w:p>
        </w:tc>
        <w:tc>
          <w:tcPr>
            <w:tcW w:w="8563" w:type="dxa"/>
            <w:vAlign w:val="top"/>
          </w:tcPr>
          <w:p w14:paraId="38F47D22">
            <w:pPr>
              <w:pStyle w:val="51"/>
              <w:spacing w:before="125" w:line="307" w:lineRule="auto"/>
              <w:ind w:left="37" w:right="26"/>
              <w:jc w:val="both"/>
              <w:rPr>
                <w:sz w:val="17"/>
                <w:szCs w:val="17"/>
              </w:rPr>
            </w:pPr>
            <w:r>
              <w:rPr>
                <w:spacing w:val="7"/>
                <w:sz w:val="17"/>
                <w:szCs w:val="17"/>
              </w:rPr>
              <w:t>铅(以</w:t>
            </w:r>
            <w:r>
              <w:rPr>
                <w:sz w:val="17"/>
                <w:szCs w:val="17"/>
              </w:rPr>
              <w:t>Pb</w:t>
            </w:r>
            <w:r>
              <w:rPr>
                <w:spacing w:val="7"/>
                <w:sz w:val="17"/>
                <w:szCs w:val="17"/>
              </w:rPr>
              <w:t>计)、黄曲霉毒素B</w:t>
            </w:r>
            <w:r>
              <w:rPr>
                <w:spacing w:val="7"/>
                <w:position w:val="-2"/>
                <w:sz w:val="8"/>
                <w:szCs w:val="8"/>
              </w:rPr>
              <w:t>1</w:t>
            </w:r>
            <w:r>
              <w:rPr>
                <w:spacing w:val="-13"/>
                <w:position w:val="-2"/>
                <w:sz w:val="8"/>
                <w:szCs w:val="8"/>
              </w:rPr>
              <w:t xml:space="preserve"> </w:t>
            </w:r>
            <w:r>
              <w:rPr>
                <w:spacing w:val="7"/>
                <w:sz w:val="17"/>
                <w:szCs w:val="17"/>
              </w:rPr>
              <w:t>、苯甲酸及其钠盐(以苯甲酸计)、山梨酸及其钾盐(以山梨酸计)、脱</w:t>
            </w:r>
            <w:r>
              <w:rPr>
                <w:spacing w:val="6"/>
                <w:sz w:val="17"/>
                <w:szCs w:val="17"/>
              </w:rPr>
              <w:t>氢乙酸及其钠</w:t>
            </w:r>
            <w:r>
              <w:rPr>
                <w:spacing w:val="10"/>
                <w:sz w:val="17"/>
                <w:szCs w:val="17"/>
              </w:rPr>
              <w:t>盐(以脱氢乙酸计)、糖精钠(以糖精计)、甜蜜素(以环己基氨基磺酸计)、铝的</w:t>
            </w:r>
            <w:r>
              <w:rPr>
                <w:spacing w:val="9"/>
                <w:sz w:val="17"/>
                <w:szCs w:val="17"/>
              </w:rPr>
              <w:t>残留量(干样品，以</w:t>
            </w:r>
            <w:r>
              <w:rPr>
                <w:sz w:val="17"/>
                <w:szCs w:val="17"/>
              </w:rPr>
              <w:t>Al</w:t>
            </w:r>
            <w:r>
              <w:rPr>
                <w:spacing w:val="9"/>
                <w:sz w:val="17"/>
                <w:szCs w:val="17"/>
              </w:rPr>
              <w:t>计)、大</w:t>
            </w:r>
            <w:r>
              <w:rPr>
                <w:spacing w:val="6"/>
                <w:sz w:val="17"/>
                <w:szCs w:val="17"/>
              </w:rPr>
              <w:t>肠菌群</w:t>
            </w:r>
          </w:p>
        </w:tc>
      </w:tr>
      <w:tr w14:paraId="7CF1DE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459" w:type="dxa"/>
            <w:vMerge w:val="continue"/>
            <w:tcBorders>
              <w:top w:val="nil"/>
              <w:bottom w:val="nil"/>
            </w:tcBorders>
            <w:vAlign w:val="top"/>
          </w:tcPr>
          <w:p w14:paraId="430EFFB5">
            <w:pPr>
              <w:rPr>
                <w:rFonts w:ascii="Arial"/>
                <w:sz w:val="21"/>
              </w:rPr>
            </w:pPr>
          </w:p>
        </w:tc>
        <w:tc>
          <w:tcPr>
            <w:tcW w:w="942" w:type="dxa"/>
            <w:vMerge w:val="continue"/>
            <w:tcBorders>
              <w:top w:val="nil"/>
              <w:bottom w:val="nil"/>
            </w:tcBorders>
            <w:vAlign w:val="top"/>
          </w:tcPr>
          <w:p w14:paraId="5FB4F9E5">
            <w:pPr>
              <w:rPr>
                <w:rFonts w:ascii="Arial"/>
                <w:sz w:val="21"/>
              </w:rPr>
            </w:pPr>
          </w:p>
        </w:tc>
        <w:tc>
          <w:tcPr>
            <w:tcW w:w="1360" w:type="dxa"/>
            <w:vMerge w:val="continue"/>
            <w:tcBorders>
              <w:top w:val="nil"/>
              <w:bottom w:val="nil"/>
            </w:tcBorders>
            <w:vAlign w:val="top"/>
          </w:tcPr>
          <w:p w14:paraId="1154A9D0">
            <w:pPr>
              <w:rPr>
                <w:rFonts w:ascii="Arial"/>
                <w:sz w:val="21"/>
              </w:rPr>
            </w:pPr>
          </w:p>
        </w:tc>
        <w:tc>
          <w:tcPr>
            <w:tcW w:w="1581" w:type="dxa"/>
            <w:vMerge w:val="restart"/>
            <w:tcBorders>
              <w:bottom w:val="nil"/>
            </w:tcBorders>
            <w:vAlign w:val="top"/>
          </w:tcPr>
          <w:p w14:paraId="764ADD40">
            <w:pPr>
              <w:spacing w:line="244" w:lineRule="auto"/>
              <w:rPr>
                <w:rFonts w:ascii="Arial"/>
                <w:sz w:val="21"/>
              </w:rPr>
            </w:pPr>
          </w:p>
          <w:p w14:paraId="019DC563">
            <w:pPr>
              <w:spacing w:line="244" w:lineRule="auto"/>
              <w:rPr>
                <w:rFonts w:ascii="Arial"/>
                <w:sz w:val="21"/>
              </w:rPr>
            </w:pPr>
          </w:p>
          <w:p w14:paraId="34A87757">
            <w:pPr>
              <w:spacing w:line="244" w:lineRule="auto"/>
              <w:rPr>
                <w:rFonts w:ascii="Arial"/>
                <w:sz w:val="21"/>
              </w:rPr>
            </w:pPr>
          </w:p>
          <w:p w14:paraId="55BC5B70">
            <w:pPr>
              <w:spacing w:line="245" w:lineRule="auto"/>
              <w:rPr>
                <w:rFonts w:ascii="Arial"/>
                <w:sz w:val="21"/>
              </w:rPr>
            </w:pPr>
          </w:p>
          <w:p w14:paraId="41AE0DB1">
            <w:pPr>
              <w:pStyle w:val="51"/>
              <w:spacing w:before="55" w:line="226" w:lineRule="auto"/>
              <w:ind w:left="174"/>
              <w:rPr>
                <w:sz w:val="17"/>
                <w:szCs w:val="17"/>
              </w:rPr>
            </w:pPr>
            <w:r>
              <w:rPr>
                <w:spacing w:val="7"/>
                <w:sz w:val="17"/>
                <w:szCs w:val="17"/>
              </w:rPr>
              <w:t>非发酵性豆制品</w:t>
            </w:r>
          </w:p>
        </w:tc>
        <w:tc>
          <w:tcPr>
            <w:tcW w:w="1586" w:type="dxa"/>
            <w:vAlign w:val="top"/>
          </w:tcPr>
          <w:p w14:paraId="7F3F22B6">
            <w:pPr>
              <w:pStyle w:val="51"/>
              <w:spacing w:before="148" w:line="227" w:lineRule="auto"/>
              <w:ind w:left="39"/>
              <w:rPr>
                <w:sz w:val="17"/>
                <w:szCs w:val="17"/>
              </w:rPr>
            </w:pPr>
            <w:r>
              <w:rPr>
                <w:spacing w:val="-2"/>
                <w:sz w:val="17"/>
                <w:szCs w:val="17"/>
              </w:rPr>
              <w:t>腐竹、油皮及其再制</w:t>
            </w:r>
          </w:p>
          <w:p w14:paraId="04D36A58">
            <w:pPr>
              <w:pStyle w:val="51"/>
              <w:spacing w:before="90" w:line="241" w:lineRule="auto"/>
              <w:ind w:left="731"/>
              <w:rPr>
                <w:sz w:val="17"/>
                <w:szCs w:val="17"/>
              </w:rPr>
            </w:pPr>
            <w:r>
              <w:rPr>
                <w:sz w:val="17"/>
                <w:szCs w:val="17"/>
              </w:rPr>
              <w:t>品</w:t>
            </w:r>
          </w:p>
        </w:tc>
        <w:tc>
          <w:tcPr>
            <w:tcW w:w="682" w:type="dxa"/>
            <w:vAlign w:val="top"/>
          </w:tcPr>
          <w:p w14:paraId="016C55D8">
            <w:pPr>
              <w:rPr>
                <w:rFonts w:ascii="Arial"/>
                <w:sz w:val="21"/>
              </w:rPr>
            </w:pPr>
          </w:p>
          <w:p w14:paraId="73A6F716">
            <w:pPr>
              <w:pStyle w:val="51"/>
              <w:spacing w:before="56" w:line="227" w:lineRule="auto"/>
              <w:ind w:left="170"/>
              <w:rPr>
                <w:sz w:val="17"/>
                <w:szCs w:val="17"/>
              </w:rPr>
            </w:pPr>
            <w:r>
              <w:rPr>
                <w:spacing w:val="3"/>
                <w:sz w:val="17"/>
                <w:szCs w:val="17"/>
              </w:rPr>
              <w:t>较高</w:t>
            </w:r>
          </w:p>
        </w:tc>
        <w:tc>
          <w:tcPr>
            <w:tcW w:w="8563" w:type="dxa"/>
            <w:vAlign w:val="top"/>
          </w:tcPr>
          <w:p w14:paraId="7411B5DE">
            <w:pPr>
              <w:pStyle w:val="51"/>
              <w:spacing w:before="147" w:line="308" w:lineRule="auto"/>
              <w:ind w:left="37" w:right="26" w:firstLine="2"/>
              <w:rPr>
                <w:sz w:val="17"/>
                <w:szCs w:val="17"/>
              </w:rPr>
            </w:pPr>
            <w:r>
              <w:rPr>
                <w:spacing w:val="8"/>
                <w:sz w:val="17"/>
                <w:szCs w:val="17"/>
              </w:rPr>
              <w:t>蛋白质、铅(以</w:t>
            </w:r>
            <w:r>
              <w:rPr>
                <w:sz w:val="17"/>
                <w:szCs w:val="17"/>
              </w:rPr>
              <w:t>Pb</w:t>
            </w:r>
            <w:r>
              <w:rPr>
                <w:spacing w:val="8"/>
                <w:sz w:val="17"/>
                <w:szCs w:val="17"/>
              </w:rPr>
              <w:t>计)、苯甲酸及其钠盐(以苯甲酸计)、山梨酸及其钾盐(以山梨酸计)、脱氢乙酸及其钠盐(以</w:t>
            </w:r>
            <w:r>
              <w:rPr>
                <w:spacing w:val="9"/>
                <w:sz w:val="17"/>
                <w:szCs w:val="17"/>
              </w:rPr>
              <w:t>脱氢乙酸计)、二氧化硫残留量、铝的残留量(干样品，以</w:t>
            </w:r>
            <w:r>
              <w:rPr>
                <w:sz w:val="17"/>
                <w:szCs w:val="17"/>
              </w:rPr>
              <w:t>Al</w:t>
            </w:r>
            <w:r>
              <w:rPr>
                <w:spacing w:val="9"/>
                <w:sz w:val="17"/>
                <w:szCs w:val="17"/>
              </w:rPr>
              <w:t>计)、合成着色剂(柠檬黄、日落黄)</w:t>
            </w:r>
          </w:p>
        </w:tc>
      </w:tr>
      <w:tr w14:paraId="7B2AA1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74" w:hRule="atLeast"/>
        </w:trPr>
        <w:tc>
          <w:tcPr>
            <w:tcW w:w="459" w:type="dxa"/>
            <w:vMerge w:val="continue"/>
            <w:tcBorders>
              <w:top w:val="nil"/>
              <w:bottom w:val="nil"/>
            </w:tcBorders>
            <w:vAlign w:val="top"/>
          </w:tcPr>
          <w:p w14:paraId="29693881">
            <w:pPr>
              <w:rPr>
                <w:rFonts w:ascii="Arial"/>
                <w:sz w:val="21"/>
              </w:rPr>
            </w:pPr>
          </w:p>
        </w:tc>
        <w:tc>
          <w:tcPr>
            <w:tcW w:w="942" w:type="dxa"/>
            <w:vMerge w:val="continue"/>
            <w:tcBorders>
              <w:top w:val="nil"/>
              <w:bottom w:val="nil"/>
            </w:tcBorders>
            <w:vAlign w:val="top"/>
          </w:tcPr>
          <w:p w14:paraId="35E41297">
            <w:pPr>
              <w:rPr>
                <w:rFonts w:ascii="Arial"/>
                <w:sz w:val="21"/>
              </w:rPr>
            </w:pPr>
          </w:p>
        </w:tc>
        <w:tc>
          <w:tcPr>
            <w:tcW w:w="1360" w:type="dxa"/>
            <w:vMerge w:val="continue"/>
            <w:tcBorders>
              <w:top w:val="nil"/>
              <w:bottom w:val="nil"/>
            </w:tcBorders>
            <w:vAlign w:val="top"/>
          </w:tcPr>
          <w:p w14:paraId="2A4C5AF4">
            <w:pPr>
              <w:rPr>
                <w:rFonts w:ascii="Arial"/>
                <w:sz w:val="21"/>
              </w:rPr>
            </w:pPr>
          </w:p>
        </w:tc>
        <w:tc>
          <w:tcPr>
            <w:tcW w:w="1581" w:type="dxa"/>
            <w:vMerge w:val="continue"/>
            <w:tcBorders>
              <w:top w:val="nil"/>
            </w:tcBorders>
            <w:vAlign w:val="top"/>
          </w:tcPr>
          <w:p w14:paraId="090E668C">
            <w:pPr>
              <w:rPr>
                <w:rFonts w:ascii="Arial"/>
                <w:sz w:val="21"/>
              </w:rPr>
            </w:pPr>
          </w:p>
        </w:tc>
        <w:tc>
          <w:tcPr>
            <w:tcW w:w="1586" w:type="dxa"/>
            <w:vAlign w:val="top"/>
          </w:tcPr>
          <w:p w14:paraId="41E645B7">
            <w:pPr>
              <w:spacing w:line="307" w:lineRule="auto"/>
              <w:rPr>
                <w:rFonts w:ascii="Arial"/>
                <w:sz w:val="21"/>
              </w:rPr>
            </w:pPr>
          </w:p>
          <w:p w14:paraId="00108239">
            <w:pPr>
              <w:spacing w:line="307" w:lineRule="auto"/>
              <w:rPr>
                <w:rFonts w:ascii="Arial"/>
                <w:sz w:val="21"/>
              </w:rPr>
            </w:pPr>
          </w:p>
          <w:p w14:paraId="798247E4">
            <w:pPr>
              <w:pStyle w:val="51"/>
              <w:spacing w:before="55" w:line="229" w:lineRule="auto"/>
              <w:ind w:left="35"/>
              <w:rPr>
                <w:sz w:val="17"/>
                <w:szCs w:val="17"/>
              </w:rPr>
            </w:pPr>
            <w:r>
              <w:rPr>
                <w:spacing w:val="-2"/>
                <w:sz w:val="17"/>
                <w:szCs w:val="17"/>
              </w:rPr>
              <w:t>豆干、豆腐、豆皮等</w:t>
            </w:r>
          </w:p>
        </w:tc>
        <w:tc>
          <w:tcPr>
            <w:tcW w:w="682" w:type="dxa"/>
            <w:vAlign w:val="top"/>
          </w:tcPr>
          <w:p w14:paraId="5F4813DF">
            <w:pPr>
              <w:spacing w:line="307" w:lineRule="auto"/>
              <w:rPr>
                <w:rFonts w:ascii="Arial"/>
                <w:sz w:val="21"/>
              </w:rPr>
            </w:pPr>
          </w:p>
          <w:p w14:paraId="2E15B196">
            <w:pPr>
              <w:spacing w:line="308" w:lineRule="auto"/>
              <w:rPr>
                <w:rFonts w:ascii="Arial"/>
                <w:sz w:val="21"/>
              </w:rPr>
            </w:pPr>
          </w:p>
          <w:p w14:paraId="04592A5B">
            <w:pPr>
              <w:pStyle w:val="51"/>
              <w:spacing w:before="55" w:line="227" w:lineRule="auto"/>
              <w:ind w:left="170"/>
              <w:rPr>
                <w:sz w:val="17"/>
                <w:szCs w:val="17"/>
              </w:rPr>
            </w:pPr>
            <w:r>
              <w:rPr>
                <w:spacing w:val="3"/>
                <w:sz w:val="17"/>
                <w:szCs w:val="17"/>
              </w:rPr>
              <w:t>较高</w:t>
            </w:r>
          </w:p>
        </w:tc>
        <w:tc>
          <w:tcPr>
            <w:tcW w:w="8563" w:type="dxa"/>
            <w:vAlign w:val="top"/>
          </w:tcPr>
          <w:p w14:paraId="1995865A">
            <w:pPr>
              <w:pStyle w:val="51"/>
              <w:spacing w:before="222" w:line="326" w:lineRule="auto"/>
              <w:ind w:left="37" w:right="26"/>
              <w:rPr>
                <w:sz w:val="17"/>
                <w:szCs w:val="17"/>
              </w:rPr>
            </w:pPr>
            <w:r>
              <w:rPr>
                <w:spacing w:val="8"/>
                <w:sz w:val="17"/>
                <w:szCs w:val="17"/>
              </w:rPr>
              <w:t>铅(以</w:t>
            </w:r>
            <w:r>
              <w:rPr>
                <w:sz w:val="17"/>
                <w:szCs w:val="17"/>
              </w:rPr>
              <w:t>Pb</w:t>
            </w:r>
            <w:r>
              <w:rPr>
                <w:spacing w:val="8"/>
                <w:sz w:val="17"/>
                <w:szCs w:val="17"/>
              </w:rPr>
              <w:t>计)、苯甲酸及其钠盐(以苯甲酸计)、山梨酸及其钾盐(以山梨酸计)、脱氢乙酸及其钠盐(以脱氢乙酸</w:t>
            </w:r>
            <w:r>
              <w:rPr>
                <w:spacing w:val="10"/>
                <w:sz w:val="17"/>
                <w:szCs w:val="17"/>
              </w:rPr>
              <w:t>计)、丙酸及其钠盐、钙盐(以丙酸计)、防腐剂混合使用时各自用量占其最大使用量的比例之和、糖精钠(以</w:t>
            </w:r>
            <w:r>
              <w:rPr>
                <w:spacing w:val="9"/>
                <w:sz w:val="17"/>
                <w:szCs w:val="17"/>
              </w:rPr>
              <w:t>糖精计)、三氯蔗糖、甜蜜素(以环己基氨</w:t>
            </w:r>
            <w:r>
              <w:rPr>
                <w:spacing w:val="8"/>
                <w:sz w:val="17"/>
                <w:szCs w:val="17"/>
              </w:rPr>
              <w:t>基磺酸计)、铝的残留量(干样品，</w:t>
            </w:r>
            <w:r>
              <w:rPr>
                <w:spacing w:val="-30"/>
                <w:sz w:val="17"/>
                <w:szCs w:val="17"/>
              </w:rPr>
              <w:t xml:space="preserve"> </w:t>
            </w:r>
            <w:r>
              <w:rPr>
                <w:spacing w:val="8"/>
                <w:sz w:val="17"/>
                <w:szCs w:val="17"/>
              </w:rPr>
              <w:t>以</w:t>
            </w:r>
            <w:r>
              <w:rPr>
                <w:sz w:val="17"/>
                <w:szCs w:val="17"/>
              </w:rPr>
              <w:t>Al</w:t>
            </w:r>
            <w:r>
              <w:rPr>
                <w:spacing w:val="8"/>
                <w:sz w:val="17"/>
                <w:szCs w:val="17"/>
              </w:rPr>
              <w:t>计)、合成着色剂(柠檬黄、日落黄)、大肠菌群、金黄色葡萄球菌</w:t>
            </w:r>
          </w:p>
        </w:tc>
      </w:tr>
      <w:tr w14:paraId="491D36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61" w:hRule="atLeast"/>
        </w:trPr>
        <w:tc>
          <w:tcPr>
            <w:tcW w:w="459" w:type="dxa"/>
            <w:vMerge w:val="continue"/>
            <w:tcBorders>
              <w:top w:val="nil"/>
            </w:tcBorders>
            <w:vAlign w:val="top"/>
          </w:tcPr>
          <w:p w14:paraId="3EA13C34">
            <w:pPr>
              <w:rPr>
                <w:rFonts w:ascii="Arial"/>
                <w:sz w:val="21"/>
              </w:rPr>
            </w:pPr>
          </w:p>
        </w:tc>
        <w:tc>
          <w:tcPr>
            <w:tcW w:w="942" w:type="dxa"/>
            <w:vMerge w:val="continue"/>
            <w:tcBorders>
              <w:top w:val="nil"/>
            </w:tcBorders>
            <w:vAlign w:val="top"/>
          </w:tcPr>
          <w:p w14:paraId="10BA9CAB">
            <w:pPr>
              <w:rPr>
                <w:rFonts w:ascii="Arial"/>
                <w:sz w:val="21"/>
              </w:rPr>
            </w:pPr>
          </w:p>
        </w:tc>
        <w:tc>
          <w:tcPr>
            <w:tcW w:w="1360" w:type="dxa"/>
            <w:vMerge w:val="continue"/>
            <w:tcBorders>
              <w:top w:val="nil"/>
            </w:tcBorders>
            <w:vAlign w:val="top"/>
          </w:tcPr>
          <w:p w14:paraId="04704939">
            <w:pPr>
              <w:rPr>
                <w:rFonts w:ascii="Arial"/>
                <w:sz w:val="21"/>
              </w:rPr>
            </w:pPr>
          </w:p>
        </w:tc>
        <w:tc>
          <w:tcPr>
            <w:tcW w:w="1581" w:type="dxa"/>
            <w:vAlign w:val="top"/>
          </w:tcPr>
          <w:p w14:paraId="09959B23">
            <w:pPr>
              <w:spacing w:line="409" w:lineRule="auto"/>
              <w:rPr>
                <w:rFonts w:ascii="Arial"/>
                <w:sz w:val="21"/>
              </w:rPr>
            </w:pPr>
          </w:p>
          <w:p w14:paraId="470E7CC3">
            <w:pPr>
              <w:pStyle w:val="51"/>
              <w:spacing w:before="55" w:line="227" w:lineRule="auto"/>
              <w:ind w:left="350"/>
              <w:rPr>
                <w:sz w:val="17"/>
                <w:szCs w:val="17"/>
              </w:rPr>
            </w:pPr>
            <w:r>
              <w:rPr>
                <w:spacing w:val="7"/>
                <w:sz w:val="17"/>
                <w:szCs w:val="17"/>
              </w:rPr>
              <w:t>其他豆制品</w:t>
            </w:r>
          </w:p>
        </w:tc>
        <w:tc>
          <w:tcPr>
            <w:tcW w:w="1586" w:type="dxa"/>
            <w:vAlign w:val="top"/>
          </w:tcPr>
          <w:p w14:paraId="760579FD">
            <w:pPr>
              <w:spacing w:line="409" w:lineRule="auto"/>
              <w:rPr>
                <w:rFonts w:ascii="Arial"/>
                <w:sz w:val="21"/>
              </w:rPr>
            </w:pPr>
          </w:p>
          <w:p w14:paraId="0BF04143">
            <w:pPr>
              <w:pStyle w:val="51"/>
              <w:spacing w:before="55" w:line="227" w:lineRule="auto"/>
              <w:ind w:left="83"/>
              <w:rPr>
                <w:sz w:val="17"/>
                <w:szCs w:val="17"/>
              </w:rPr>
            </w:pPr>
            <w:r>
              <w:rPr>
                <w:spacing w:val="8"/>
                <w:sz w:val="17"/>
                <w:szCs w:val="17"/>
              </w:rPr>
              <w:t>大豆蛋白类制品等</w:t>
            </w:r>
          </w:p>
        </w:tc>
        <w:tc>
          <w:tcPr>
            <w:tcW w:w="682" w:type="dxa"/>
            <w:vAlign w:val="top"/>
          </w:tcPr>
          <w:p w14:paraId="06D339EF">
            <w:pPr>
              <w:spacing w:line="409" w:lineRule="auto"/>
              <w:rPr>
                <w:rFonts w:ascii="Arial"/>
                <w:sz w:val="21"/>
              </w:rPr>
            </w:pPr>
          </w:p>
          <w:p w14:paraId="412B1456">
            <w:pPr>
              <w:pStyle w:val="51"/>
              <w:spacing w:before="55" w:line="227" w:lineRule="auto"/>
              <w:ind w:left="170"/>
              <w:rPr>
                <w:sz w:val="17"/>
                <w:szCs w:val="17"/>
              </w:rPr>
            </w:pPr>
            <w:r>
              <w:rPr>
                <w:spacing w:val="3"/>
                <w:sz w:val="17"/>
                <w:szCs w:val="17"/>
              </w:rPr>
              <w:t>较高</w:t>
            </w:r>
          </w:p>
        </w:tc>
        <w:tc>
          <w:tcPr>
            <w:tcW w:w="8563" w:type="dxa"/>
            <w:vAlign w:val="top"/>
          </w:tcPr>
          <w:p w14:paraId="0985CACD">
            <w:pPr>
              <w:pStyle w:val="51"/>
              <w:spacing w:before="166" w:line="320" w:lineRule="auto"/>
              <w:ind w:left="37" w:right="26"/>
              <w:jc w:val="both"/>
              <w:rPr>
                <w:sz w:val="17"/>
                <w:szCs w:val="17"/>
              </w:rPr>
            </w:pPr>
            <w:r>
              <w:rPr>
                <w:spacing w:val="8"/>
                <w:sz w:val="17"/>
                <w:szCs w:val="17"/>
              </w:rPr>
              <w:t>铅(以</w:t>
            </w:r>
            <w:r>
              <w:rPr>
                <w:sz w:val="17"/>
                <w:szCs w:val="17"/>
              </w:rPr>
              <w:t>Pb</w:t>
            </w:r>
            <w:r>
              <w:rPr>
                <w:spacing w:val="8"/>
                <w:sz w:val="17"/>
                <w:szCs w:val="17"/>
              </w:rPr>
              <w:t>计)、苯甲酸及其钠盐(以苯甲酸计)、山梨酸及其钾盐(以山梨酸计)、脱氢乙酸及其钠盐(以脱氢乙酸</w:t>
            </w:r>
            <w:r>
              <w:rPr>
                <w:spacing w:val="9"/>
                <w:sz w:val="17"/>
                <w:szCs w:val="17"/>
              </w:rPr>
              <w:t>计)、糖精钠(以糖精计)、三氯蔗糖、铝的残留量(干样品，</w:t>
            </w:r>
            <w:r>
              <w:rPr>
                <w:spacing w:val="-24"/>
                <w:sz w:val="17"/>
                <w:szCs w:val="17"/>
              </w:rPr>
              <w:t xml:space="preserve"> </w:t>
            </w:r>
            <w:r>
              <w:rPr>
                <w:spacing w:val="9"/>
                <w:sz w:val="17"/>
                <w:szCs w:val="17"/>
              </w:rPr>
              <w:t>以</w:t>
            </w:r>
            <w:r>
              <w:rPr>
                <w:sz w:val="17"/>
                <w:szCs w:val="17"/>
              </w:rPr>
              <w:t>Al</w:t>
            </w:r>
            <w:r>
              <w:rPr>
                <w:spacing w:val="9"/>
                <w:sz w:val="17"/>
                <w:szCs w:val="17"/>
              </w:rPr>
              <w:t>计)、大肠菌群、合成着色剂(柠檬黄、日落</w:t>
            </w:r>
            <w:r>
              <w:rPr>
                <w:spacing w:val="1"/>
                <w:sz w:val="17"/>
                <w:szCs w:val="17"/>
              </w:rPr>
              <w:t>黄)</w:t>
            </w:r>
          </w:p>
        </w:tc>
      </w:tr>
      <w:tr w14:paraId="1313E9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8" w:hRule="atLeast"/>
        </w:trPr>
        <w:tc>
          <w:tcPr>
            <w:tcW w:w="459" w:type="dxa"/>
            <w:vMerge w:val="restart"/>
            <w:tcBorders>
              <w:bottom w:val="nil"/>
            </w:tcBorders>
            <w:vAlign w:val="top"/>
          </w:tcPr>
          <w:p w14:paraId="04E4D982">
            <w:pPr>
              <w:spacing w:line="257" w:lineRule="auto"/>
              <w:rPr>
                <w:rFonts w:ascii="Arial"/>
                <w:sz w:val="21"/>
              </w:rPr>
            </w:pPr>
          </w:p>
          <w:p w14:paraId="1AE5D360">
            <w:pPr>
              <w:spacing w:line="257" w:lineRule="auto"/>
              <w:rPr>
                <w:rFonts w:ascii="Arial"/>
                <w:sz w:val="21"/>
              </w:rPr>
            </w:pPr>
          </w:p>
          <w:p w14:paraId="21E5AA05">
            <w:pPr>
              <w:spacing w:line="258" w:lineRule="auto"/>
              <w:rPr>
                <w:rFonts w:ascii="Arial"/>
                <w:sz w:val="21"/>
              </w:rPr>
            </w:pPr>
          </w:p>
          <w:p w14:paraId="084C85F4">
            <w:pPr>
              <w:spacing w:line="258" w:lineRule="auto"/>
              <w:rPr>
                <w:rFonts w:ascii="Arial"/>
                <w:sz w:val="21"/>
              </w:rPr>
            </w:pPr>
          </w:p>
          <w:p w14:paraId="733EF577">
            <w:pPr>
              <w:spacing w:line="258" w:lineRule="auto"/>
              <w:rPr>
                <w:rFonts w:ascii="Arial"/>
                <w:sz w:val="21"/>
              </w:rPr>
            </w:pPr>
          </w:p>
          <w:p w14:paraId="656E12FE">
            <w:pPr>
              <w:pStyle w:val="51"/>
              <w:spacing w:before="56" w:line="227" w:lineRule="exact"/>
              <w:ind w:left="145"/>
              <w:rPr>
                <w:sz w:val="17"/>
                <w:szCs w:val="17"/>
              </w:rPr>
            </w:pPr>
            <w:r>
              <w:rPr>
                <w:position w:val="1"/>
                <w:sz w:val="17"/>
                <w:szCs w:val="17"/>
              </w:rPr>
              <w:t>26</w:t>
            </w:r>
          </w:p>
        </w:tc>
        <w:tc>
          <w:tcPr>
            <w:tcW w:w="942" w:type="dxa"/>
            <w:vMerge w:val="restart"/>
            <w:tcBorders>
              <w:bottom w:val="nil"/>
            </w:tcBorders>
            <w:vAlign w:val="top"/>
          </w:tcPr>
          <w:p w14:paraId="37E12049">
            <w:pPr>
              <w:spacing w:line="257" w:lineRule="auto"/>
              <w:rPr>
                <w:rFonts w:ascii="Arial"/>
                <w:sz w:val="21"/>
              </w:rPr>
            </w:pPr>
          </w:p>
          <w:p w14:paraId="33F6FC39">
            <w:pPr>
              <w:spacing w:line="258" w:lineRule="auto"/>
              <w:rPr>
                <w:rFonts w:ascii="Arial"/>
                <w:sz w:val="21"/>
              </w:rPr>
            </w:pPr>
          </w:p>
          <w:p w14:paraId="4443EF47">
            <w:pPr>
              <w:spacing w:line="258" w:lineRule="auto"/>
              <w:rPr>
                <w:rFonts w:ascii="Arial"/>
                <w:sz w:val="21"/>
              </w:rPr>
            </w:pPr>
          </w:p>
          <w:p w14:paraId="0420658A">
            <w:pPr>
              <w:spacing w:line="258" w:lineRule="auto"/>
              <w:rPr>
                <w:rFonts w:ascii="Arial"/>
                <w:sz w:val="21"/>
              </w:rPr>
            </w:pPr>
          </w:p>
          <w:p w14:paraId="744A6975">
            <w:pPr>
              <w:spacing w:line="258" w:lineRule="auto"/>
              <w:rPr>
                <w:rFonts w:ascii="Arial"/>
                <w:sz w:val="21"/>
              </w:rPr>
            </w:pPr>
          </w:p>
          <w:p w14:paraId="4F7D134F">
            <w:pPr>
              <w:pStyle w:val="51"/>
              <w:spacing w:before="55" w:line="227" w:lineRule="auto"/>
              <w:ind w:left="208"/>
              <w:rPr>
                <w:sz w:val="17"/>
                <w:szCs w:val="17"/>
              </w:rPr>
            </w:pPr>
            <w:r>
              <w:rPr>
                <w:spacing w:val="5"/>
                <w:sz w:val="17"/>
                <w:szCs w:val="17"/>
              </w:rPr>
              <w:t>蜂产品</w:t>
            </w:r>
          </w:p>
        </w:tc>
        <w:tc>
          <w:tcPr>
            <w:tcW w:w="1360" w:type="dxa"/>
            <w:vMerge w:val="restart"/>
            <w:tcBorders>
              <w:bottom w:val="nil"/>
            </w:tcBorders>
            <w:vAlign w:val="top"/>
          </w:tcPr>
          <w:p w14:paraId="2F81552B">
            <w:pPr>
              <w:spacing w:line="257" w:lineRule="auto"/>
              <w:rPr>
                <w:rFonts w:ascii="Arial"/>
                <w:sz w:val="21"/>
              </w:rPr>
            </w:pPr>
          </w:p>
          <w:p w14:paraId="2FD3F144">
            <w:pPr>
              <w:spacing w:line="258" w:lineRule="auto"/>
              <w:rPr>
                <w:rFonts w:ascii="Arial"/>
                <w:sz w:val="21"/>
              </w:rPr>
            </w:pPr>
          </w:p>
          <w:p w14:paraId="65CCCD43">
            <w:pPr>
              <w:spacing w:line="258" w:lineRule="auto"/>
              <w:rPr>
                <w:rFonts w:ascii="Arial"/>
                <w:sz w:val="21"/>
              </w:rPr>
            </w:pPr>
          </w:p>
          <w:p w14:paraId="00F364D6">
            <w:pPr>
              <w:spacing w:line="258" w:lineRule="auto"/>
              <w:rPr>
                <w:rFonts w:ascii="Arial"/>
                <w:sz w:val="21"/>
              </w:rPr>
            </w:pPr>
          </w:p>
          <w:p w14:paraId="4A0B9D7E">
            <w:pPr>
              <w:spacing w:line="258" w:lineRule="auto"/>
              <w:rPr>
                <w:rFonts w:ascii="Arial"/>
                <w:sz w:val="21"/>
              </w:rPr>
            </w:pPr>
          </w:p>
          <w:p w14:paraId="48E49439">
            <w:pPr>
              <w:pStyle w:val="51"/>
              <w:spacing w:before="55" w:line="227" w:lineRule="auto"/>
              <w:ind w:left="416"/>
              <w:rPr>
                <w:sz w:val="17"/>
                <w:szCs w:val="17"/>
              </w:rPr>
            </w:pPr>
            <w:r>
              <w:rPr>
                <w:spacing w:val="5"/>
                <w:sz w:val="17"/>
                <w:szCs w:val="17"/>
              </w:rPr>
              <w:t>蜂产品</w:t>
            </w:r>
          </w:p>
        </w:tc>
        <w:tc>
          <w:tcPr>
            <w:tcW w:w="1581" w:type="dxa"/>
            <w:vAlign w:val="top"/>
          </w:tcPr>
          <w:p w14:paraId="3270F879">
            <w:pPr>
              <w:spacing w:line="280" w:lineRule="auto"/>
              <w:rPr>
                <w:rFonts w:ascii="Arial"/>
                <w:sz w:val="21"/>
              </w:rPr>
            </w:pPr>
          </w:p>
          <w:p w14:paraId="451F50E5">
            <w:pPr>
              <w:pStyle w:val="51"/>
              <w:spacing w:before="55" w:line="227" w:lineRule="auto"/>
              <w:ind w:left="618"/>
              <w:rPr>
                <w:sz w:val="17"/>
                <w:szCs w:val="17"/>
              </w:rPr>
            </w:pPr>
            <w:r>
              <w:rPr>
                <w:spacing w:val="3"/>
                <w:sz w:val="17"/>
                <w:szCs w:val="17"/>
              </w:rPr>
              <w:t>蜂蜜</w:t>
            </w:r>
          </w:p>
        </w:tc>
        <w:tc>
          <w:tcPr>
            <w:tcW w:w="1586" w:type="dxa"/>
            <w:vAlign w:val="top"/>
          </w:tcPr>
          <w:p w14:paraId="5F78B171">
            <w:pPr>
              <w:spacing w:line="280" w:lineRule="auto"/>
              <w:rPr>
                <w:rFonts w:ascii="Arial"/>
                <w:sz w:val="21"/>
              </w:rPr>
            </w:pPr>
          </w:p>
          <w:p w14:paraId="342A1014">
            <w:pPr>
              <w:pStyle w:val="51"/>
              <w:spacing w:before="55" w:line="227" w:lineRule="auto"/>
              <w:ind w:left="621"/>
              <w:rPr>
                <w:sz w:val="17"/>
                <w:szCs w:val="17"/>
              </w:rPr>
            </w:pPr>
            <w:r>
              <w:rPr>
                <w:spacing w:val="3"/>
                <w:sz w:val="17"/>
                <w:szCs w:val="17"/>
              </w:rPr>
              <w:t>蜂蜜</w:t>
            </w:r>
          </w:p>
        </w:tc>
        <w:tc>
          <w:tcPr>
            <w:tcW w:w="682" w:type="dxa"/>
            <w:vAlign w:val="top"/>
          </w:tcPr>
          <w:p w14:paraId="775067CB">
            <w:pPr>
              <w:spacing w:line="279" w:lineRule="auto"/>
              <w:rPr>
                <w:rFonts w:ascii="Arial"/>
                <w:sz w:val="21"/>
              </w:rPr>
            </w:pPr>
          </w:p>
          <w:p w14:paraId="70F9DF21">
            <w:pPr>
              <w:pStyle w:val="51"/>
              <w:spacing w:before="56" w:line="230" w:lineRule="auto"/>
              <w:ind w:left="267"/>
              <w:rPr>
                <w:sz w:val="17"/>
                <w:szCs w:val="17"/>
              </w:rPr>
            </w:pPr>
            <w:r>
              <w:rPr>
                <w:sz w:val="17"/>
                <w:szCs w:val="17"/>
              </w:rPr>
              <w:t>高</w:t>
            </w:r>
          </w:p>
        </w:tc>
        <w:tc>
          <w:tcPr>
            <w:tcW w:w="8563" w:type="dxa"/>
            <w:vAlign w:val="top"/>
          </w:tcPr>
          <w:p w14:paraId="1768DE6B">
            <w:pPr>
              <w:pStyle w:val="51"/>
              <w:spacing w:before="187" w:line="326" w:lineRule="auto"/>
              <w:ind w:left="37" w:firstLine="1"/>
              <w:rPr>
                <w:sz w:val="17"/>
                <w:szCs w:val="17"/>
              </w:rPr>
            </w:pPr>
            <w:r>
              <w:rPr>
                <w:spacing w:val="7"/>
                <w:sz w:val="17"/>
                <w:szCs w:val="17"/>
              </w:rPr>
              <w:t>果糖和葡萄糖、蔗糖、山梨酸及其钾盐(以山梨酸计)、氯霉素、</w:t>
            </w:r>
            <w:r>
              <w:rPr>
                <w:spacing w:val="6"/>
                <w:sz w:val="17"/>
                <w:szCs w:val="17"/>
              </w:rPr>
              <w:t>呋喃西林代谢物、呋喃唑酮代谢物、</w:t>
            </w:r>
            <w:r>
              <w:rPr>
                <w:spacing w:val="-51"/>
                <w:sz w:val="17"/>
                <w:szCs w:val="17"/>
              </w:rPr>
              <w:t xml:space="preserve"> </w:t>
            </w:r>
            <w:r>
              <w:rPr>
                <w:spacing w:val="6"/>
                <w:sz w:val="17"/>
                <w:szCs w:val="17"/>
              </w:rPr>
              <w:t>甲硝唑、</w:t>
            </w:r>
            <w:r>
              <w:rPr>
                <w:spacing w:val="9"/>
                <w:sz w:val="17"/>
                <w:szCs w:val="17"/>
              </w:rPr>
              <w:t>双甲脒、诺氟沙星、氧氟沙星、菌落总数、霉菌计数、嗜渗酵母计数、氟胺氰菊酯</w:t>
            </w:r>
          </w:p>
        </w:tc>
      </w:tr>
      <w:tr w14:paraId="3C27FF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5" w:hRule="atLeast"/>
        </w:trPr>
        <w:tc>
          <w:tcPr>
            <w:tcW w:w="459" w:type="dxa"/>
            <w:vMerge w:val="continue"/>
            <w:tcBorders>
              <w:top w:val="nil"/>
              <w:bottom w:val="nil"/>
            </w:tcBorders>
            <w:vAlign w:val="top"/>
          </w:tcPr>
          <w:p w14:paraId="6407B38C">
            <w:pPr>
              <w:rPr>
                <w:rFonts w:ascii="Arial"/>
                <w:sz w:val="21"/>
              </w:rPr>
            </w:pPr>
          </w:p>
        </w:tc>
        <w:tc>
          <w:tcPr>
            <w:tcW w:w="942" w:type="dxa"/>
            <w:vMerge w:val="continue"/>
            <w:tcBorders>
              <w:top w:val="nil"/>
              <w:bottom w:val="nil"/>
            </w:tcBorders>
            <w:vAlign w:val="top"/>
          </w:tcPr>
          <w:p w14:paraId="2C23C7F7">
            <w:pPr>
              <w:rPr>
                <w:rFonts w:ascii="Arial"/>
                <w:sz w:val="21"/>
              </w:rPr>
            </w:pPr>
          </w:p>
        </w:tc>
        <w:tc>
          <w:tcPr>
            <w:tcW w:w="1360" w:type="dxa"/>
            <w:vMerge w:val="continue"/>
            <w:tcBorders>
              <w:top w:val="nil"/>
              <w:bottom w:val="nil"/>
            </w:tcBorders>
            <w:vAlign w:val="top"/>
          </w:tcPr>
          <w:p w14:paraId="37AF9632">
            <w:pPr>
              <w:rPr>
                <w:rFonts w:ascii="Arial"/>
                <w:sz w:val="21"/>
              </w:rPr>
            </w:pPr>
          </w:p>
        </w:tc>
        <w:tc>
          <w:tcPr>
            <w:tcW w:w="1581" w:type="dxa"/>
            <w:vAlign w:val="top"/>
          </w:tcPr>
          <w:p w14:paraId="482567D4">
            <w:pPr>
              <w:pStyle w:val="51"/>
              <w:spacing w:before="186" w:line="227" w:lineRule="auto"/>
              <w:ind w:left="124"/>
              <w:rPr>
                <w:sz w:val="17"/>
                <w:szCs w:val="17"/>
              </w:rPr>
            </w:pPr>
            <w:r>
              <w:rPr>
                <w:spacing w:val="7"/>
                <w:sz w:val="17"/>
                <w:szCs w:val="17"/>
              </w:rPr>
              <w:t>蜂王浆(含蜂王浆</w:t>
            </w:r>
          </w:p>
          <w:p w14:paraId="228B91D0">
            <w:pPr>
              <w:pStyle w:val="51"/>
              <w:spacing w:before="90" w:line="229" w:lineRule="auto"/>
              <w:ind w:left="486"/>
              <w:rPr>
                <w:sz w:val="17"/>
                <w:szCs w:val="17"/>
              </w:rPr>
            </w:pPr>
            <w:r>
              <w:rPr>
                <w:spacing w:val="5"/>
                <w:sz w:val="17"/>
                <w:szCs w:val="17"/>
              </w:rPr>
              <w:t>冻干品)</w:t>
            </w:r>
          </w:p>
        </w:tc>
        <w:tc>
          <w:tcPr>
            <w:tcW w:w="1586" w:type="dxa"/>
            <w:vAlign w:val="top"/>
          </w:tcPr>
          <w:p w14:paraId="40047C4C">
            <w:pPr>
              <w:pStyle w:val="51"/>
              <w:spacing w:before="186" w:line="227" w:lineRule="auto"/>
              <w:ind w:left="36"/>
              <w:rPr>
                <w:sz w:val="17"/>
                <w:szCs w:val="17"/>
              </w:rPr>
            </w:pPr>
            <w:r>
              <w:rPr>
                <w:spacing w:val="8"/>
                <w:sz w:val="17"/>
                <w:szCs w:val="17"/>
              </w:rPr>
              <w:t>蜂王浆(含蜂王浆冻</w:t>
            </w:r>
          </w:p>
          <w:p w14:paraId="534D0CFA">
            <w:pPr>
              <w:pStyle w:val="51"/>
              <w:spacing w:before="90" w:line="229" w:lineRule="auto"/>
              <w:ind w:left="581"/>
              <w:rPr>
                <w:sz w:val="17"/>
                <w:szCs w:val="17"/>
              </w:rPr>
            </w:pPr>
            <w:r>
              <w:rPr>
                <w:spacing w:val="2"/>
                <w:sz w:val="17"/>
                <w:szCs w:val="17"/>
              </w:rPr>
              <w:t>干品)</w:t>
            </w:r>
          </w:p>
        </w:tc>
        <w:tc>
          <w:tcPr>
            <w:tcW w:w="682" w:type="dxa"/>
            <w:vAlign w:val="top"/>
          </w:tcPr>
          <w:p w14:paraId="4B666DF6">
            <w:pPr>
              <w:spacing w:line="278" w:lineRule="auto"/>
              <w:rPr>
                <w:rFonts w:ascii="Arial"/>
                <w:sz w:val="21"/>
              </w:rPr>
            </w:pPr>
          </w:p>
          <w:p w14:paraId="5424C4BB">
            <w:pPr>
              <w:pStyle w:val="51"/>
              <w:spacing w:before="55" w:line="230" w:lineRule="auto"/>
              <w:ind w:left="173"/>
              <w:rPr>
                <w:sz w:val="17"/>
                <w:szCs w:val="17"/>
              </w:rPr>
            </w:pPr>
            <w:r>
              <w:rPr>
                <w:spacing w:val="2"/>
                <w:sz w:val="17"/>
                <w:szCs w:val="17"/>
              </w:rPr>
              <w:t>一般</w:t>
            </w:r>
          </w:p>
        </w:tc>
        <w:tc>
          <w:tcPr>
            <w:tcW w:w="8563" w:type="dxa"/>
            <w:vAlign w:val="top"/>
          </w:tcPr>
          <w:p w14:paraId="4932EB83">
            <w:pPr>
              <w:spacing w:line="277" w:lineRule="auto"/>
              <w:rPr>
                <w:rFonts w:ascii="Arial"/>
                <w:sz w:val="21"/>
              </w:rPr>
            </w:pPr>
          </w:p>
          <w:p w14:paraId="73C9B234">
            <w:pPr>
              <w:pStyle w:val="51"/>
              <w:spacing w:before="56" w:line="227" w:lineRule="auto"/>
              <w:ind w:left="45"/>
              <w:rPr>
                <w:sz w:val="17"/>
                <w:szCs w:val="17"/>
              </w:rPr>
            </w:pPr>
            <w:r>
              <w:rPr>
                <w:spacing w:val="3"/>
                <w:sz w:val="17"/>
                <w:szCs w:val="17"/>
              </w:rPr>
              <w:t>10-羟基-2-癸烯酸、酸度、 蛋白质、</w:t>
            </w:r>
            <w:r>
              <w:rPr>
                <w:spacing w:val="-39"/>
                <w:sz w:val="17"/>
                <w:szCs w:val="17"/>
              </w:rPr>
              <w:t xml:space="preserve"> </w:t>
            </w:r>
            <w:r>
              <w:rPr>
                <w:spacing w:val="3"/>
                <w:sz w:val="17"/>
                <w:szCs w:val="17"/>
              </w:rPr>
              <w:t>呋喃西林</w:t>
            </w:r>
            <w:r>
              <w:rPr>
                <w:spacing w:val="2"/>
                <w:sz w:val="17"/>
                <w:szCs w:val="17"/>
              </w:rPr>
              <w:t>代谢物</w:t>
            </w:r>
          </w:p>
        </w:tc>
      </w:tr>
      <w:tr w14:paraId="760129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459" w:type="dxa"/>
            <w:vMerge w:val="continue"/>
            <w:tcBorders>
              <w:top w:val="nil"/>
              <w:bottom w:val="nil"/>
            </w:tcBorders>
            <w:vAlign w:val="top"/>
          </w:tcPr>
          <w:p w14:paraId="161632E7">
            <w:pPr>
              <w:rPr>
                <w:rFonts w:ascii="Arial"/>
                <w:sz w:val="21"/>
              </w:rPr>
            </w:pPr>
          </w:p>
        </w:tc>
        <w:tc>
          <w:tcPr>
            <w:tcW w:w="942" w:type="dxa"/>
            <w:vMerge w:val="continue"/>
            <w:tcBorders>
              <w:top w:val="nil"/>
              <w:bottom w:val="nil"/>
            </w:tcBorders>
            <w:vAlign w:val="top"/>
          </w:tcPr>
          <w:p w14:paraId="0BAAA7C4">
            <w:pPr>
              <w:rPr>
                <w:rFonts w:ascii="Arial"/>
                <w:sz w:val="21"/>
              </w:rPr>
            </w:pPr>
          </w:p>
        </w:tc>
        <w:tc>
          <w:tcPr>
            <w:tcW w:w="1360" w:type="dxa"/>
            <w:vMerge w:val="continue"/>
            <w:tcBorders>
              <w:top w:val="nil"/>
              <w:bottom w:val="nil"/>
            </w:tcBorders>
            <w:vAlign w:val="top"/>
          </w:tcPr>
          <w:p w14:paraId="2A623D85">
            <w:pPr>
              <w:rPr>
                <w:rFonts w:ascii="Arial"/>
                <w:sz w:val="21"/>
              </w:rPr>
            </w:pPr>
          </w:p>
        </w:tc>
        <w:tc>
          <w:tcPr>
            <w:tcW w:w="1581" w:type="dxa"/>
            <w:vAlign w:val="top"/>
          </w:tcPr>
          <w:p w14:paraId="17F59F7A">
            <w:pPr>
              <w:pStyle w:val="51"/>
              <w:spacing w:before="226" w:line="226" w:lineRule="auto"/>
              <w:ind w:left="529"/>
              <w:rPr>
                <w:sz w:val="17"/>
                <w:szCs w:val="17"/>
              </w:rPr>
            </w:pPr>
            <w:r>
              <w:rPr>
                <w:spacing w:val="5"/>
                <w:sz w:val="17"/>
                <w:szCs w:val="17"/>
              </w:rPr>
              <w:t>蜂花粉</w:t>
            </w:r>
          </w:p>
        </w:tc>
        <w:tc>
          <w:tcPr>
            <w:tcW w:w="1586" w:type="dxa"/>
            <w:vAlign w:val="top"/>
          </w:tcPr>
          <w:p w14:paraId="75811CD4">
            <w:pPr>
              <w:pStyle w:val="51"/>
              <w:spacing w:before="226" w:line="226" w:lineRule="auto"/>
              <w:ind w:left="532"/>
              <w:rPr>
                <w:sz w:val="17"/>
                <w:szCs w:val="17"/>
              </w:rPr>
            </w:pPr>
            <w:r>
              <w:rPr>
                <w:spacing w:val="5"/>
                <w:sz w:val="17"/>
                <w:szCs w:val="17"/>
              </w:rPr>
              <w:t>蜂花粉</w:t>
            </w:r>
          </w:p>
        </w:tc>
        <w:tc>
          <w:tcPr>
            <w:tcW w:w="682" w:type="dxa"/>
            <w:vAlign w:val="top"/>
          </w:tcPr>
          <w:p w14:paraId="52D7662D">
            <w:pPr>
              <w:pStyle w:val="51"/>
              <w:spacing w:before="226" w:line="230" w:lineRule="auto"/>
              <w:ind w:left="173"/>
              <w:rPr>
                <w:sz w:val="17"/>
                <w:szCs w:val="17"/>
              </w:rPr>
            </w:pPr>
            <w:r>
              <w:rPr>
                <w:spacing w:val="2"/>
                <w:sz w:val="17"/>
                <w:szCs w:val="17"/>
              </w:rPr>
              <w:t>一般</w:t>
            </w:r>
          </w:p>
        </w:tc>
        <w:tc>
          <w:tcPr>
            <w:tcW w:w="8563" w:type="dxa"/>
            <w:vAlign w:val="top"/>
          </w:tcPr>
          <w:p w14:paraId="0988D838">
            <w:pPr>
              <w:pStyle w:val="51"/>
              <w:spacing w:before="226" w:line="228" w:lineRule="auto"/>
              <w:ind w:left="37"/>
              <w:rPr>
                <w:sz w:val="17"/>
                <w:szCs w:val="17"/>
              </w:rPr>
            </w:pPr>
            <w:r>
              <w:rPr>
                <w:spacing w:val="8"/>
                <w:sz w:val="17"/>
                <w:szCs w:val="17"/>
              </w:rPr>
              <w:t>铅(以</w:t>
            </w:r>
            <w:r>
              <w:rPr>
                <w:sz w:val="17"/>
                <w:szCs w:val="17"/>
              </w:rPr>
              <w:t>Pb</w:t>
            </w:r>
            <w:r>
              <w:rPr>
                <w:spacing w:val="8"/>
                <w:sz w:val="17"/>
                <w:szCs w:val="17"/>
              </w:rPr>
              <w:t>计)、菌落总数、大肠菌群、霉菌</w:t>
            </w:r>
          </w:p>
        </w:tc>
      </w:tr>
      <w:tr w14:paraId="75B2C1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4" w:hRule="atLeast"/>
        </w:trPr>
        <w:tc>
          <w:tcPr>
            <w:tcW w:w="459" w:type="dxa"/>
            <w:vMerge w:val="continue"/>
            <w:tcBorders>
              <w:top w:val="nil"/>
            </w:tcBorders>
            <w:vAlign w:val="top"/>
          </w:tcPr>
          <w:p w14:paraId="722B151B">
            <w:pPr>
              <w:rPr>
                <w:rFonts w:ascii="Arial"/>
                <w:sz w:val="21"/>
              </w:rPr>
            </w:pPr>
          </w:p>
        </w:tc>
        <w:tc>
          <w:tcPr>
            <w:tcW w:w="942" w:type="dxa"/>
            <w:vMerge w:val="continue"/>
            <w:tcBorders>
              <w:top w:val="nil"/>
            </w:tcBorders>
            <w:vAlign w:val="top"/>
          </w:tcPr>
          <w:p w14:paraId="05D19668">
            <w:pPr>
              <w:rPr>
                <w:rFonts w:ascii="Arial"/>
                <w:sz w:val="21"/>
              </w:rPr>
            </w:pPr>
          </w:p>
        </w:tc>
        <w:tc>
          <w:tcPr>
            <w:tcW w:w="1360" w:type="dxa"/>
            <w:vMerge w:val="continue"/>
            <w:tcBorders>
              <w:top w:val="nil"/>
            </w:tcBorders>
            <w:vAlign w:val="top"/>
          </w:tcPr>
          <w:p w14:paraId="6DB6C651">
            <w:pPr>
              <w:rPr>
                <w:rFonts w:ascii="Arial"/>
                <w:sz w:val="21"/>
              </w:rPr>
            </w:pPr>
          </w:p>
        </w:tc>
        <w:tc>
          <w:tcPr>
            <w:tcW w:w="1581" w:type="dxa"/>
            <w:vAlign w:val="top"/>
          </w:tcPr>
          <w:p w14:paraId="16E3EEBA">
            <w:pPr>
              <w:pStyle w:val="51"/>
              <w:spacing w:before="260" w:line="227" w:lineRule="auto"/>
              <w:ind w:left="349"/>
              <w:rPr>
                <w:sz w:val="17"/>
                <w:szCs w:val="17"/>
              </w:rPr>
            </w:pPr>
            <w:r>
              <w:rPr>
                <w:spacing w:val="7"/>
                <w:sz w:val="17"/>
                <w:szCs w:val="17"/>
              </w:rPr>
              <w:t>蜂产品制品</w:t>
            </w:r>
          </w:p>
        </w:tc>
        <w:tc>
          <w:tcPr>
            <w:tcW w:w="1586" w:type="dxa"/>
            <w:vAlign w:val="top"/>
          </w:tcPr>
          <w:p w14:paraId="62116F29">
            <w:pPr>
              <w:pStyle w:val="51"/>
              <w:spacing w:before="260" w:line="227" w:lineRule="auto"/>
              <w:ind w:left="352"/>
              <w:rPr>
                <w:sz w:val="17"/>
                <w:szCs w:val="17"/>
              </w:rPr>
            </w:pPr>
            <w:r>
              <w:rPr>
                <w:spacing w:val="7"/>
                <w:sz w:val="17"/>
                <w:szCs w:val="17"/>
              </w:rPr>
              <w:t>蜂产品制品</w:t>
            </w:r>
          </w:p>
        </w:tc>
        <w:tc>
          <w:tcPr>
            <w:tcW w:w="682" w:type="dxa"/>
            <w:vAlign w:val="top"/>
          </w:tcPr>
          <w:p w14:paraId="484D49E2">
            <w:pPr>
              <w:pStyle w:val="51"/>
              <w:spacing w:before="260" w:line="230" w:lineRule="auto"/>
              <w:ind w:left="173"/>
              <w:rPr>
                <w:sz w:val="17"/>
                <w:szCs w:val="17"/>
              </w:rPr>
            </w:pPr>
            <w:r>
              <w:rPr>
                <w:spacing w:val="2"/>
                <w:sz w:val="17"/>
                <w:szCs w:val="17"/>
              </w:rPr>
              <w:t>一般</w:t>
            </w:r>
          </w:p>
        </w:tc>
        <w:tc>
          <w:tcPr>
            <w:tcW w:w="8563" w:type="dxa"/>
            <w:vAlign w:val="top"/>
          </w:tcPr>
          <w:p w14:paraId="76FD0D67">
            <w:pPr>
              <w:pStyle w:val="51"/>
              <w:spacing w:before="259" w:line="228" w:lineRule="auto"/>
              <w:ind w:left="53"/>
              <w:rPr>
                <w:sz w:val="17"/>
                <w:szCs w:val="17"/>
              </w:rPr>
            </w:pPr>
            <w:r>
              <w:rPr>
                <w:spacing w:val="8"/>
                <w:sz w:val="17"/>
                <w:szCs w:val="17"/>
              </w:rPr>
              <w:t>山梨酸及其钾盐(以山梨酸计)、菌落总数、合成着色剂(柠檬黄、日落黄)</w:t>
            </w:r>
          </w:p>
        </w:tc>
      </w:tr>
    </w:tbl>
    <w:p w14:paraId="7ED69014">
      <w:pPr>
        <w:rPr>
          <w:rFonts w:ascii="Arial"/>
          <w:sz w:val="21"/>
        </w:rPr>
      </w:pPr>
    </w:p>
    <w:p w14:paraId="3B6C3B95">
      <w:pPr>
        <w:rPr>
          <w:rFonts w:ascii="Arial" w:hAnsi="Arial" w:eastAsia="Arial" w:cs="Arial"/>
          <w:sz w:val="21"/>
          <w:szCs w:val="21"/>
        </w:rPr>
        <w:sectPr>
          <w:pgSz w:w="16838" w:h="11906"/>
          <w:pgMar w:top="1011" w:right="829" w:bottom="400" w:left="363" w:header="567" w:footer="567" w:gutter="0"/>
          <w:pgNumType w:fmt="decimal"/>
          <w:cols w:space="720" w:num="1"/>
        </w:sectPr>
      </w:pPr>
    </w:p>
    <w:p w14:paraId="3CF2507F">
      <w:pPr>
        <w:spacing w:before="18"/>
      </w:pPr>
    </w:p>
    <w:p w14:paraId="26E65A92">
      <w:pPr>
        <w:spacing w:before="18"/>
      </w:pPr>
    </w:p>
    <w:tbl>
      <w:tblPr>
        <w:tblStyle w:val="50"/>
        <w:tblW w:w="15173" w:type="dxa"/>
        <w:tblInd w:w="46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59"/>
        <w:gridCol w:w="942"/>
        <w:gridCol w:w="1360"/>
        <w:gridCol w:w="1581"/>
        <w:gridCol w:w="1586"/>
        <w:gridCol w:w="682"/>
        <w:gridCol w:w="8563"/>
      </w:tblGrid>
      <w:tr w14:paraId="0BB578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09" w:hRule="atLeast"/>
        </w:trPr>
        <w:tc>
          <w:tcPr>
            <w:tcW w:w="459" w:type="dxa"/>
            <w:vAlign w:val="top"/>
          </w:tcPr>
          <w:p w14:paraId="2F398B66">
            <w:pPr>
              <w:spacing w:before="241" w:line="234" w:lineRule="auto"/>
              <w:ind w:left="52"/>
              <w:rPr>
                <w:rFonts w:ascii="黑体" w:hAnsi="黑体" w:eastAsia="黑体" w:cs="黑体"/>
                <w:sz w:val="17"/>
                <w:szCs w:val="17"/>
              </w:rPr>
            </w:pPr>
            <w:r>
              <w:rPr>
                <w:rFonts w:ascii="黑体" w:hAnsi="黑体" w:eastAsia="黑体" w:cs="黑体"/>
                <w:spacing w:val="6"/>
                <w:sz w:val="17"/>
                <w:szCs w:val="17"/>
              </w:rPr>
              <w:t>序号</w:t>
            </w:r>
          </w:p>
        </w:tc>
        <w:tc>
          <w:tcPr>
            <w:tcW w:w="942" w:type="dxa"/>
            <w:vAlign w:val="top"/>
          </w:tcPr>
          <w:p w14:paraId="6A0B0A00">
            <w:pPr>
              <w:spacing w:before="90" w:line="232" w:lineRule="auto"/>
              <w:ind w:left="111"/>
              <w:rPr>
                <w:rFonts w:ascii="黑体" w:hAnsi="黑体" w:eastAsia="黑体" w:cs="黑体"/>
                <w:sz w:val="17"/>
                <w:szCs w:val="17"/>
              </w:rPr>
            </w:pPr>
            <w:r>
              <w:rPr>
                <w:rFonts w:ascii="黑体" w:hAnsi="黑体" w:eastAsia="黑体" w:cs="黑体"/>
                <w:spacing w:val="8"/>
                <w:sz w:val="17"/>
                <w:szCs w:val="17"/>
              </w:rPr>
              <w:t>食品大类</w:t>
            </w:r>
          </w:p>
          <w:p w14:paraId="0C68DE76">
            <w:pPr>
              <w:spacing w:before="86" w:line="227" w:lineRule="auto"/>
              <w:ind w:left="237"/>
              <w:rPr>
                <w:rFonts w:ascii="黑体" w:hAnsi="黑体" w:eastAsia="黑体" w:cs="黑体"/>
                <w:sz w:val="17"/>
                <w:szCs w:val="17"/>
              </w:rPr>
            </w:pPr>
            <w:r>
              <w:rPr>
                <w:rFonts w:ascii="黑体" w:hAnsi="黑体" w:eastAsia="黑体" w:cs="黑体"/>
                <w:spacing w:val="-4"/>
                <w:sz w:val="17"/>
                <w:szCs w:val="17"/>
              </w:rPr>
              <w:t>(一级)</w:t>
            </w:r>
          </w:p>
        </w:tc>
        <w:tc>
          <w:tcPr>
            <w:tcW w:w="1360" w:type="dxa"/>
            <w:vAlign w:val="top"/>
          </w:tcPr>
          <w:p w14:paraId="07E6D5AB">
            <w:pPr>
              <w:spacing w:before="90" w:line="232" w:lineRule="auto"/>
              <w:ind w:left="321"/>
              <w:rPr>
                <w:rFonts w:ascii="黑体" w:hAnsi="黑体" w:eastAsia="黑体" w:cs="黑体"/>
                <w:sz w:val="17"/>
                <w:szCs w:val="17"/>
              </w:rPr>
            </w:pPr>
            <w:r>
              <w:rPr>
                <w:rFonts w:ascii="黑体" w:hAnsi="黑体" w:eastAsia="黑体" w:cs="黑体"/>
                <w:spacing w:val="8"/>
                <w:sz w:val="17"/>
                <w:szCs w:val="17"/>
              </w:rPr>
              <w:t>食品亚类</w:t>
            </w:r>
          </w:p>
          <w:p w14:paraId="2EC6A14F">
            <w:pPr>
              <w:spacing w:before="86" w:line="227" w:lineRule="auto"/>
              <w:ind w:left="444"/>
              <w:rPr>
                <w:rFonts w:ascii="黑体" w:hAnsi="黑体" w:eastAsia="黑体" w:cs="黑体"/>
                <w:sz w:val="17"/>
                <w:szCs w:val="17"/>
              </w:rPr>
            </w:pPr>
            <w:r>
              <w:rPr>
                <w:rFonts w:ascii="黑体" w:hAnsi="黑体" w:eastAsia="黑体" w:cs="黑体"/>
                <w:spacing w:val="-3"/>
                <w:sz w:val="17"/>
                <w:szCs w:val="17"/>
              </w:rPr>
              <w:t>(二级)</w:t>
            </w:r>
          </w:p>
        </w:tc>
        <w:tc>
          <w:tcPr>
            <w:tcW w:w="1581" w:type="dxa"/>
            <w:vAlign w:val="top"/>
          </w:tcPr>
          <w:p w14:paraId="01FF6979">
            <w:pPr>
              <w:spacing w:before="90" w:line="232" w:lineRule="auto"/>
              <w:ind w:left="433"/>
              <w:rPr>
                <w:rFonts w:ascii="黑体" w:hAnsi="黑体" w:eastAsia="黑体" w:cs="黑体"/>
                <w:sz w:val="17"/>
                <w:szCs w:val="17"/>
              </w:rPr>
            </w:pPr>
            <w:r>
              <w:rPr>
                <w:rFonts w:ascii="黑体" w:hAnsi="黑体" w:eastAsia="黑体" w:cs="黑体"/>
                <w:spacing w:val="8"/>
                <w:sz w:val="17"/>
                <w:szCs w:val="17"/>
              </w:rPr>
              <w:t>食品品种</w:t>
            </w:r>
          </w:p>
          <w:p w14:paraId="7AD7B631">
            <w:pPr>
              <w:spacing w:before="86" w:line="227" w:lineRule="auto"/>
              <w:ind w:left="558"/>
              <w:rPr>
                <w:rFonts w:ascii="黑体" w:hAnsi="黑体" w:eastAsia="黑体" w:cs="黑体"/>
                <w:sz w:val="17"/>
                <w:szCs w:val="17"/>
              </w:rPr>
            </w:pPr>
            <w:r>
              <w:rPr>
                <w:rFonts w:ascii="黑体" w:hAnsi="黑体" w:eastAsia="黑体" w:cs="黑体"/>
                <w:spacing w:val="-4"/>
                <w:sz w:val="17"/>
                <w:szCs w:val="17"/>
              </w:rPr>
              <w:t>(三级)</w:t>
            </w:r>
          </w:p>
        </w:tc>
        <w:tc>
          <w:tcPr>
            <w:tcW w:w="1586" w:type="dxa"/>
            <w:vAlign w:val="top"/>
          </w:tcPr>
          <w:p w14:paraId="082591AD">
            <w:pPr>
              <w:spacing w:before="90" w:line="232" w:lineRule="auto"/>
              <w:ind w:left="436"/>
              <w:rPr>
                <w:rFonts w:ascii="黑体" w:hAnsi="黑体" w:eastAsia="黑体" w:cs="黑体"/>
                <w:sz w:val="17"/>
                <w:szCs w:val="17"/>
              </w:rPr>
            </w:pPr>
            <w:r>
              <w:rPr>
                <w:rFonts w:ascii="黑体" w:hAnsi="黑体" w:eastAsia="黑体" w:cs="黑体"/>
                <w:spacing w:val="8"/>
                <w:sz w:val="17"/>
                <w:szCs w:val="17"/>
              </w:rPr>
              <w:t>食品细类</w:t>
            </w:r>
          </w:p>
          <w:p w14:paraId="507CF41A">
            <w:pPr>
              <w:spacing w:before="86" w:line="227" w:lineRule="auto"/>
              <w:ind w:left="561"/>
              <w:rPr>
                <w:rFonts w:ascii="黑体" w:hAnsi="黑体" w:eastAsia="黑体" w:cs="黑体"/>
                <w:sz w:val="17"/>
                <w:szCs w:val="17"/>
              </w:rPr>
            </w:pPr>
            <w:r>
              <w:rPr>
                <w:rFonts w:ascii="黑体" w:hAnsi="黑体" w:eastAsia="黑体" w:cs="黑体"/>
                <w:spacing w:val="-4"/>
                <w:sz w:val="17"/>
                <w:szCs w:val="17"/>
              </w:rPr>
              <w:t>(四级)</w:t>
            </w:r>
          </w:p>
        </w:tc>
        <w:tc>
          <w:tcPr>
            <w:tcW w:w="682" w:type="dxa"/>
            <w:vAlign w:val="top"/>
          </w:tcPr>
          <w:p w14:paraId="54614645">
            <w:pPr>
              <w:spacing w:before="89" w:line="233" w:lineRule="auto"/>
              <w:ind w:left="166"/>
              <w:rPr>
                <w:rFonts w:ascii="黑体" w:hAnsi="黑体" w:eastAsia="黑体" w:cs="黑体"/>
                <w:sz w:val="17"/>
                <w:szCs w:val="17"/>
              </w:rPr>
            </w:pPr>
            <w:r>
              <w:rPr>
                <w:rFonts w:ascii="黑体" w:hAnsi="黑体" w:eastAsia="黑体" w:cs="黑体"/>
                <w:spacing w:val="6"/>
                <w:sz w:val="17"/>
                <w:szCs w:val="17"/>
              </w:rPr>
              <w:t>风险</w:t>
            </w:r>
          </w:p>
          <w:p w14:paraId="3DD1B281">
            <w:pPr>
              <w:spacing w:before="85" w:line="227" w:lineRule="auto"/>
              <w:ind w:left="163"/>
              <w:rPr>
                <w:rFonts w:ascii="黑体" w:hAnsi="黑体" w:eastAsia="黑体" w:cs="黑体"/>
                <w:sz w:val="17"/>
                <w:szCs w:val="17"/>
              </w:rPr>
            </w:pPr>
            <w:r>
              <w:rPr>
                <w:rFonts w:ascii="黑体" w:hAnsi="黑体" w:eastAsia="黑体" w:cs="黑体"/>
                <w:spacing w:val="7"/>
                <w:sz w:val="17"/>
                <w:szCs w:val="17"/>
              </w:rPr>
              <w:t>等级</w:t>
            </w:r>
          </w:p>
        </w:tc>
        <w:tc>
          <w:tcPr>
            <w:tcW w:w="8563" w:type="dxa"/>
            <w:vAlign w:val="top"/>
          </w:tcPr>
          <w:p w14:paraId="30BFA1B3">
            <w:pPr>
              <w:spacing w:before="241" w:line="232" w:lineRule="auto"/>
              <w:ind w:left="3744"/>
              <w:rPr>
                <w:rFonts w:ascii="黑体" w:hAnsi="黑体" w:eastAsia="黑体" w:cs="黑体"/>
                <w:sz w:val="17"/>
                <w:szCs w:val="17"/>
              </w:rPr>
            </w:pPr>
            <w:r>
              <w:rPr>
                <w:rFonts w:ascii="黑体" w:hAnsi="黑体" w:eastAsia="黑体" w:cs="黑体"/>
                <w:spacing w:val="8"/>
                <w:sz w:val="17"/>
                <w:szCs w:val="17"/>
              </w:rPr>
              <w:t>监督抽检项目</w:t>
            </w:r>
          </w:p>
        </w:tc>
      </w:tr>
      <w:tr w14:paraId="4286EA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04" w:hRule="atLeast"/>
        </w:trPr>
        <w:tc>
          <w:tcPr>
            <w:tcW w:w="459" w:type="dxa"/>
            <w:vAlign w:val="top"/>
          </w:tcPr>
          <w:p w14:paraId="10A67520">
            <w:pPr>
              <w:spacing w:line="268" w:lineRule="auto"/>
              <w:rPr>
                <w:rFonts w:ascii="Arial"/>
                <w:sz w:val="21"/>
              </w:rPr>
            </w:pPr>
          </w:p>
          <w:p w14:paraId="2BACA4D4">
            <w:pPr>
              <w:spacing w:line="269" w:lineRule="auto"/>
              <w:rPr>
                <w:rFonts w:ascii="Arial"/>
                <w:sz w:val="21"/>
              </w:rPr>
            </w:pPr>
          </w:p>
          <w:p w14:paraId="53BD37A6">
            <w:pPr>
              <w:spacing w:line="269" w:lineRule="auto"/>
              <w:rPr>
                <w:rFonts w:ascii="Arial"/>
                <w:sz w:val="21"/>
              </w:rPr>
            </w:pPr>
          </w:p>
          <w:p w14:paraId="67E78D80">
            <w:pPr>
              <w:spacing w:line="269" w:lineRule="auto"/>
              <w:rPr>
                <w:rFonts w:ascii="Arial"/>
                <w:sz w:val="21"/>
              </w:rPr>
            </w:pPr>
          </w:p>
          <w:p w14:paraId="06B4CE6F">
            <w:pPr>
              <w:pStyle w:val="51"/>
              <w:spacing w:before="56" w:line="227" w:lineRule="exact"/>
              <w:ind w:left="145"/>
              <w:rPr>
                <w:sz w:val="17"/>
                <w:szCs w:val="17"/>
              </w:rPr>
            </w:pPr>
            <w:r>
              <w:rPr>
                <w:position w:val="1"/>
                <w:sz w:val="17"/>
                <w:szCs w:val="17"/>
              </w:rPr>
              <w:t>27</w:t>
            </w:r>
          </w:p>
        </w:tc>
        <w:tc>
          <w:tcPr>
            <w:tcW w:w="942" w:type="dxa"/>
            <w:vAlign w:val="top"/>
          </w:tcPr>
          <w:p w14:paraId="5F3159EF">
            <w:pPr>
              <w:spacing w:line="268" w:lineRule="auto"/>
              <w:rPr>
                <w:rFonts w:ascii="Arial"/>
                <w:sz w:val="21"/>
              </w:rPr>
            </w:pPr>
          </w:p>
          <w:p w14:paraId="2E1D0B80">
            <w:pPr>
              <w:spacing w:line="269" w:lineRule="auto"/>
              <w:rPr>
                <w:rFonts w:ascii="Arial"/>
                <w:sz w:val="21"/>
              </w:rPr>
            </w:pPr>
          </w:p>
          <w:p w14:paraId="28BB8145">
            <w:pPr>
              <w:spacing w:line="269" w:lineRule="auto"/>
              <w:rPr>
                <w:rFonts w:ascii="Arial"/>
                <w:sz w:val="21"/>
              </w:rPr>
            </w:pPr>
          </w:p>
          <w:p w14:paraId="224CB709">
            <w:pPr>
              <w:spacing w:line="269" w:lineRule="auto"/>
              <w:rPr>
                <w:rFonts w:ascii="Arial"/>
                <w:sz w:val="21"/>
              </w:rPr>
            </w:pPr>
          </w:p>
          <w:p w14:paraId="47C3065B">
            <w:pPr>
              <w:pStyle w:val="51"/>
              <w:spacing w:before="55" w:line="227" w:lineRule="auto"/>
              <w:ind w:left="117"/>
              <w:rPr>
                <w:sz w:val="17"/>
                <w:szCs w:val="17"/>
              </w:rPr>
            </w:pPr>
            <w:r>
              <w:rPr>
                <w:spacing w:val="6"/>
                <w:sz w:val="17"/>
                <w:szCs w:val="17"/>
              </w:rPr>
              <w:t>保健食品</w:t>
            </w:r>
          </w:p>
        </w:tc>
        <w:tc>
          <w:tcPr>
            <w:tcW w:w="1360" w:type="dxa"/>
            <w:vAlign w:val="top"/>
          </w:tcPr>
          <w:p w14:paraId="5A926F8A">
            <w:pPr>
              <w:spacing w:line="268" w:lineRule="auto"/>
              <w:rPr>
                <w:rFonts w:ascii="Arial"/>
                <w:sz w:val="21"/>
              </w:rPr>
            </w:pPr>
          </w:p>
          <w:p w14:paraId="44F79427">
            <w:pPr>
              <w:spacing w:line="269" w:lineRule="auto"/>
              <w:rPr>
                <w:rFonts w:ascii="Arial"/>
                <w:sz w:val="21"/>
              </w:rPr>
            </w:pPr>
          </w:p>
          <w:p w14:paraId="544CDCF0">
            <w:pPr>
              <w:spacing w:line="269" w:lineRule="auto"/>
              <w:rPr>
                <w:rFonts w:ascii="Arial"/>
                <w:sz w:val="21"/>
              </w:rPr>
            </w:pPr>
          </w:p>
          <w:p w14:paraId="1B2CB7E1">
            <w:pPr>
              <w:spacing w:line="269" w:lineRule="auto"/>
              <w:rPr>
                <w:rFonts w:ascii="Arial"/>
                <w:sz w:val="21"/>
              </w:rPr>
            </w:pPr>
          </w:p>
          <w:p w14:paraId="58CDDE5F">
            <w:pPr>
              <w:pStyle w:val="51"/>
              <w:spacing w:before="55" w:line="227" w:lineRule="auto"/>
              <w:ind w:left="327"/>
              <w:rPr>
                <w:sz w:val="17"/>
                <w:szCs w:val="17"/>
              </w:rPr>
            </w:pPr>
            <w:r>
              <w:rPr>
                <w:spacing w:val="6"/>
                <w:sz w:val="17"/>
                <w:szCs w:val="17"/>
              </w:rPr>
              <w:t>保健食品</w:t>
            </w:r>
          </w:p>
        </w:tc>
        <w:tc>
          <w:tcPr>
            <w:tcW w:w="1581" w:type="dxa"/>
            <w:vAlign w:val="top"/>
          </w:tcPr>
          <w:p w14:paraId="0EB03BC8">
            <w:pPr>
              <w:spacing w:line="268" w:lineRule="auto"/>
              <w:rPr>
                <w:rFonts w:ascii="Arial"/>
                <w:sz w:val="21"/>
              </w:rPr>
            </w:pPr>
          </w:p>
          <w:p w14:paraId="320BCBA4">
            <w:pPr>
              <w:spacing w:line="269" w:lineRule="auto"/>
              <w:rPr>
                <w:rFonts w:ascii="Arial"/>
                <w:sz w:val="21"/>
              </w:rPr>
            </w:pPr>
          </w:p>
          <w:p w14:paraId="0D090ABA">
            <w:pPr>
              <w:spacing w:line="269" w:lineRule="auto"/>
              <w:rPr>
                <w:rFonts w:ascii="Arial"/>
                <w:sz w:val="21"/>
              </w:rPr>
            </w:pPr>
          </w:p>
          <w:p w14:paraId="52DC781F">
            <w:pPr>
              <w:spacing w:line="269" w:lineRule="auto"/>
              <w:rPr>
                <w:rFonts w:ascii="Arial"/>
                <w:sz w:val="21"/>
              </w:rPr>
            </w:pPr>
          </w:p>
          <w:p w14:paraId="422C09CA">
            <w:pPr>
              <w:pStyle w:val="51"/>
              <w:spacing w:before="55" w:line="227" w:lineRule="auto"/>
              <w:ind w:left="438"/>
              <w:rPr>
                <w:sz w:val="17"/>
                <w:szCs w:val="17"/>
              </w:rPr>
            </w:pPr>
            <w:r>
              <w:rPr>
                <w:spacing w:val="6"/>
                <w:sz w:val="17"/>
                <w:szCs w:val="17"/>
              </w:rPr>
              <w:t>保健食品</w:t>
            </w:r>
          </w:p>
        </w:tc>
        <w:tc>
          <w:tcPr>
            <w:tcW w:w="1586" w:type="dxa"/>
            <w:vAlign w:val="top"/>
          </w:tcPr>
          <w:p w14:paraId="26D61A28">
            <w:pPr>
              <w:spacing w:line="268" w:lineRule="auto"/>
              <w:rPr>
                <w:rFonts w:ascii="Arial"/>
                <w:sz w:val="21"/>
              </w:rPr>
            </w:pPr>
          </w:p>
          <w:p w14:paraId="2E09038C">
            <w:pPr>
              <w:spacing w:line="269" w:lineRule="auto"/>
              <w:rPr>
                <w:rFonts w:ascii="Arial"/>
                <w:sz w:val="21"/>
              </w:rPr>
            </w:pPr>
          </w:p>
          <w:p w14:paraId="60F6EDF6">
            <w:pPr>
              <w:spacing w:line="269" w:lineRule="auto"/>
              <w:rPr>
                <w:rFonts w:ascii="Arial"/>
                <w:sz w:val="21"/>
              </w:rPr>
            </w:pPr>
          </w:p>
          <w:p w14:paraId="285C04D3">
            <w:pPr>
              <w:spacing w:line="269" w:lineRule="auto"/>
              <w:rPr>
                <w:rFonts w:ascii="Arial"/>
                <w:sz w:val="21"/>
              </w:rPr>
            </w:pPr>
          </w:p>
          <w:p w14:paraId="0D37B2A3">
            <w:pPr>
              <w:pStyle w:val="51"/>
              <w:spacing w:before="55" w:line="227" w:lineRule="auto"/>
              <w:ind w:left="441"/>
              <w:rPr>
                <w:sz w:val="17"/>
                <w:szCs w:val="17"/>
              </w:rPr>
            </w:pPr>
            <w:r>
              <w:rPr>
                <w:spacing w:val="6"/>
                <w:sz w:val="17"/>
                <w:szCs w:val="17"/>
              </w:rPr>
              <w:t>保健食品</w:t>
            </w:r>
          </w:p>
        </w:tc>
        <w:tc>
          <w:tcPr>
            <w:tcW w:w="682" w:type="dxa"/>
            <w:vAlign w:val="top"/>
          </w:tcPr>
          <w:p w14:paraId="14315F84">
            <w:pPr>
              <w:spacing w:line="268" w:lineRule="auto"/>
              <w:rPr>
                <w:rFonts w:ascii="Arial"/>
                <w:sz w:val="21"/>
              </w:rPr>
            </w:pPr>
          </w:p>
          <w:p w14:paraId="20133AEC">
            <w:pPr>
              <w:spacing w:line="269" w:lineRule="auto"/>
              <w:rPr>
                <w:rFonts w:ascii="Arial"/>
                <w:sz w:val="21"/>
              </w:rPr>
            </w:pPr>
          </w:p>
          <w:p w14:paraId="0B573395">
            <w:pPr>
              <w:spacing w:line="269" w:lineRule="auto"/>
              <w:rPr>
                <w:rFonts w:ascii="Arial"/>
                <w:sz w:val="21"/>
              </w:rPr>
            </w:pPr>
          </w:p>
          <w:p w14:paraId="731DAEBF">
            <w:pPr>
              <w:spacing w:line="269" w:lineRule="auto"/>
              <w:rPr>
                <w:rFonts w:ascii="Arial"/>
                <w:sz w:val="21"/>
              </w:rPr>
            </w:pPr>
          </w:p>
          <w:p w14:paraId="309C9939">
            <w:pPr>
              <w:pStyle w:val="51"/>
              <w:spacing w:before="56" w:line="227" w:lineRule="auto"/>
              <w:ind w:left="170"/>
              <w:rPr>
                <w:sz w:val="17"/>
                <w:szCs w:val="17"/>
              </w:rPr>
            </w:pPr>
            <w:r>
              <w:rPr>
                <w:spacing w:val="3"/>
                <w:sz w:val="17"/>
                <w:szCs w:val="17"/>
              </w:rPr>
              <w:t>较高</w:t>
            </w:r>
          </w:p>
        </w:tc>
        <w:tc>
          <w:tcPr>
            <w:tcW w:w="8563" w:type="dxa"/>
            <w:vAlign w:val="top"/>
          </w:tcPr>
          <w:p w14:paraId="14F488BD">
            <w:pPr>
              <w:pStyle w:val="51"/>
              <w:spacing w:before="88" w:line="313" w:lineRule="auto"/>
              <w:ind w:left="36" w:firstLine="7"/>
              <w:jc w:val="both"/>
              <w:rPr>
                <w:sz w:val="17"/>
                <w:szCs w:val="17"/>
              </w:rPr>
            </w:pPr>
            <w:r>
              <w:rPr>
                <w:spacing w:val="7"/>
                <w:sz w:val="17"/>
                <w:szCs w:val="17"/>
              </w:rPr>
              <w:t>氨基酸、10-羟基-2-癸烯酸、蛋白质、二十二碳六烯酸、二十碳五烯酸、泛酸、钙、还原糖、肌醇</w:t>
            </w:r>
            <w:r>
              <w:rPr>
                <w:spacing w:val="6"/>
                <w:sz w:val="17"/>
                <w:szCs w:val="17"/>
              </w:rPr>
              <w:t>、赖氨酸、</w:t>
            </w:r>
            <w:r>
              <w:rPr>
                <w:spacing w:val="4"/>
                <w:sz w:val="17"/>
                <w:szCs w:val="17"/>
              </w:rPr>
              <w:t>绿原酸、铁、维生素A、维生素B</w:t>
            </w:r>
            <w:r>
              <w:rPr>
                <w:spacing w:val="4"/>
                <w:position w:val="-2"/>
                <w:sz w:val="8"/>
                <w:szCs w:val="8"/>
              </w:rPr>
              <w:t>1</w:t>
            </w:r>
            <w:r>
              <w:rPr>
                <w:spacing w:val="-1"/>
                <w:position w:val="-2"/>
                <w:sz w:val="8"/>
                <w:szCs w:val="8"/>
              </w:rPr>
              <w:t xml:space="preserve"> </w:t>
            </w:r>
            <w:r>
              <w:rPr>
                <w:spacing w:val="4"/>
                <w:sz w:val="17"/>
                <w:szCs w:val="17"/>
              </w:rPr>
              <w:t>、维生素B</w:t>
            </w:r>
            <w:r>
              <w:rPr>
                <w:spacing w:val="4"/>
                <w:position w:val="-2"/>
                <w:sz w:val="8"/>
                <w:szCs w:val="8"/>
              </w:rPr>
              <w:t>12</w:t>
            </w:r>
            <w:r>
              <w:rPr>
                <w:spacing w:val="-11"/>
                <w:position w:val="-2"/>
                <w:sz w:val="8"/>
                <w:szCs w:val="8"/>
              </w:rPr>
              <w:t xml:space="preserve"> </w:t>
            </w:r>
            <w:r>
              <w:rPr>
                <w:spacing w:val="4"/>
                <w:sz w:val="17"/>
                <w:szCs w:val="17"/>
              </w:rPr>
              <w:t>、维生素B</w:t>
            </w:r>
            <w:r>
              <w:rPr>
                <w:spacing w:val="4"/>
                <w:position w:val="-2"/>
                <w:sz w:val="8"/>
                <w:szCs w:val="8"/>
              </w:rPr>
              <w:t>2</w:t>
            </w:r>
            <w:r>
              <w:rPr>
                <w:spacing w:val="-14"/>
                <w:position w:val="-2"/>
                <w:sz w:val="8"/>
                <w:szCs w:val="8"/>
              </w:rPr>
              <w:t xml:space="preserve"> </w:t>
            </w:r>
            <w:r>
              <w:rPr>
                <w:spacing w:val="4"/>
                <w:sz w:val="17"/>
                <w:szCs w:val="17"/>
              </w:rPr>
              <w:t>、维生素B</w:t>
            </w:r>
            <w:r>
              <w:rPr>
                <w:spacing w:val="4"/>
                <w:position w:val="-2"/>
                <w:sz w:val="8"/>
                <w:szCs w:val="8"/>
              </w:rPr>
              <w:t>6</w:t>
            </w:r>
            <w:r>
              <w:rPr>
                <w:spacing w:val="-13"/>
                <w:position w:val="-2"/>
                <w:sz w:val="8"/>
                <w:szCs w:val="8"/>
              </w:rPr>
              <w:t xml:space="preserve"> </w:t>
            </w:r>
            <w:r>
              <w:rPr>
                <w:spacing w:val="4"/>
                <w:sz w:val="17"/>
                <w:szCs w:val="17"/>
              </w:rPr>
              <w:t>、维生素C、维生素D、维生素D</w:t>
            </w:r>
            <w:r>
              <w:rPr>
                <w:spacing w:val="4"/>
                <w:position w:val="-2"/>
                <w:sz w:val="8"/>
                <w:szCs w:val="8"/>
              </w:rPr>
              <w:t>3</w:t>
            </w:r>
            <w:r>
              <w:rPr>
                <w:spacing w:val="-14"/>
                <w:position w:val="-2"/>
                <w:sz w:val="8"/>
                <w:szCs w:val="8"/>
              </w:rPr>
              <w:t xml:space="preserve"> </w:t>
            </w:r>
            <w:r>
              <w:rPr>
                <w:spacing w:val="4"/>
                <w:sz w:val="17"/>
                <w:szCs w:val="17"/>
              </w:rPr>
              <w:t>、维生素E、</w:t>
            </w:r>
            <w:r>
              <w:rPr>
                <w:spacing w:val="9"/>
                <w:sz w:val="17"/>
                <w:szCs w:val="17"/>
              </w:rPr>
              <w:t>硒、锌、烟酰胺、叶酸、免疫球蛋白</w:t>
            </w:r>
            <w:r>
              <w:rPr>
                <w:sz w:val="17"/>
                <w:szCs w:val="17"/>
              </w:rPr>
              <w:t>IgG</w:t>
            </w:r>
            <w:r>
              <w:rPr>
                <w:spacing w:val="9"/>
                <w:sz w:val="17"/>
                <w:szCs w:val="17"/>
              </w:rPr>
              <w:t>、总黄酮、总皂苷、</w:t>
            </w:r>
            <w:r>
              <w:rPr>
                <w:spacing w:val="8"/>
                <w:sz w:val="17"/>
                <w:szCs w:val="17"/>
              </w:rPr>
              <w:t>总蒽醌、吡啶甲酸铬、芦荟苷、总三萜、嗜酸乳杆菌、双歧杆菌、水分、可溶性固形物、酸价、过氧化</w:t>
            </w:r>
            <w:r>
              <w:rPr>
                <w:spacing w:val="7"/>
                <w:sz w:val="17"/>
                <w:szCs w:val="17"/>
              </w:rPr>
              <w:t>值、崩解时限、灰分、铅(</w:t>
            </w:r>
            <w:r>
              <w:rPr>
                <w:sz w:val="17"/>
                <w:szCs w:val="17"/>
              </w:rPr>
              <w:t>Pb</w:t>
            </w:r>
            <w:r>
              <w:rPr>
                <w:spacing w:val="7"/>
                <w:sz w:val="17"/>
                <w:szCs w:val="17"/>
              </w:rPr>
              <w:t>)、总砷(</w:t>
            </w:r>
            <w:r>
              <w:rPr>
                <w:sz w:val="17"/>
                <w:szCs w:val="17"/>
              </w:rPr>
              <w:t>As</w:t>
            </w:r>
            <w:r>
              <w:rPr>
                <w:spacing w:val="7"/>
                <w:sz w:val="17"/>
                <w:szCs w:val="17"/>
              </w:rPr>
              <w:t>)、总汞(</w:t>
            </w:r>
            <w:r>
              <w:rPr>
                <w:sz w:val="17"/>
                <w:szCs w:val="17"/>
              </w:rPr>
              <w:t>Hg</w:t>
            </w:r>
            <w:r>
              <w:rPr>
                <w:spacing w:val="7"/>
                <w:sz w:val="17"/>
                <w:szCs w:val="17"/>
              </w:rPr>
              <w:t>)、</w:t>
            </w:r>
            <w:r>
              <w:rPr>
                <w:spacing w:val="10"/>
                <w:sz w:val="17"/>
                <w:szCs w:val="17"/>
              </w:rPr>
              <w:t>硬胶囊壳中的铬、菌落总数、大肠菌群、霉菌和酵母、金黄色葡萄球菌、沙门氏菌、褪黑素、甘草酸，咖啡</w:t>
            </w:r>
            <w:r>
              <w:rPr>
                <w:spacing w:val="8"/>
                <w:sz w:val="17"/>
                <w:szCs w:val="17"/>
              </w:rPr>
              <w:t>因，淫羊藿苷，</w:t>
            </w:r>
            <w:r>
              <w:rPr>
                <w:spacing w:val="-39"/>
                <w:sz w:val="17"/>
                <w:szCs w:val="17"/>
              </w:rPr>
              <w:t xml:space="preserve"> </w:t>
            </w:r>
            <w:r>
              <w:rPr>
                <w:spacing w:val="8"/>
                <w:sz w:val="17"/>
                <w:szCs w:val="17"/>
              </w:rPr>
              <w:t>葛根素，</w:t>
            </w:r>
            <w:r>
              <w:rPr>
                <w:spacing w:val="-51"/>
                <w:sz w:val="17"/>
                <w:szCs w:val="17"/>
              </w:rPr>
              <w:t xml:space="preserve"> </w:t>
            </w:r>
            <w:r>
              <w:rPr>
                <w:spacing w:val="8"/>
                <w:sz w:val="17"/>
                <w:szCs w:val="17"/>
              </w:rPr>
              <w:t>辅酶Q10,番茄红素、那红地那非、红地那非、伐地那非、羟基豪莫西地那非、西地</w:t>
            </w:r>
            <w:r>
              <w:rPr>
                <w:spacing w:val="10"/>
                <w:sz w:val="17"/>
                <w:szCs w:val="17"/>
              </w:rPr>
              <w:t>那非、豪莫西地那非、氨基他达拉非、他达拉非、硫代艾地那非、伪伐地那非、那莫西地那非、去甲基他达</w:t>
            </w:r>
            <w:r>
              <w:rPr>
                <w:spacing w:val="2"/>
                <w:sz w:val="17"/>
                <w:szCs w:val="17"/>
              </w:rPr>
              <w:t>拉非、育亨宾、西布曲明、</w:t>
            </w:r>
            <w:r>
              <w:rPr>
                <w:spacing w:val="44"/>
                <w:sz w:val="17"/>
                <w:szCs w:val="17"/>
              </w:rPr>
              <w:t xml:space="preserve"> </w:t>
            </w:r>
            <w:r>
              <w:rPr>
                <w:spacing w:val="2"/>
                <w:sz w:val="17"/>
                <w:szCs w:val="17"/>
              </w:rPr>
              <w:t>N-单去甲基西布曲明、 N.N-双去甲基西布曲明</w:t>
            </w:r>
          </w:p>
        </w:tc>
      </w:tr>
      <w:tr w14:paraId="4CA5BC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04" w:hRule="atLeast"/>
        </w:trPr>
        <w:tc>
          <w:tcPr>
            <w:tcW w:w="459" w:type="dxa"/>
            <w:vMerge w:val="restart"/>
            <w:tcBorders>
              <w:bottom w:val="nil"/>
            </w:tcBorders>
            <w:vAlign w:val="top"/>
          </w:tcPr>
          <w:p w14:paraId="37D083AA">
            <w:pPr>
              <w:spacing w:line="248" w:lineRule="auto"/>
              <w:rPr>
                <w:rFonts w:ascii="Arial"/>
                <w:sz w:val="21"/>
              </w:rPr>
            </w:pPr>
          </w:p>
          <w:p w14:paraId="06DAAFC5">
            <w:pPr>
              <w:spacing w:line="248" w:lineRule="auto"/>
              <w:rPr>
                <w:rFonts w:ascii="Arial"/>
                <w:sz w:val="21"/>
              </w:rPr>
            </w:pPr>
          </w:p>
          <w:p w14:paraId="290D3C6A">
            <w:pPr>
              <w:spacing w:line="248" w:lineRule="auto"/>
              <w:rPr>
                <w:rFonts w:ascii="Arial"/>
                <w:sz w:val="21"/>
              </w:rPr>
            </w:pPr>
          </w:p>
          <w:p w14:paraId="616E3102">
            <w:pPr>
              <w:spacing w:line="248" w:lineRule="auto"/>
              <w:rPr>
                <w:rFonts w:ascii="Arial"/>
                <w:sz w:val="21"/>
              </w:rPr>
            </w:pPr>
          </w:p>
          <w:p w14:paraId="41712516">
            <w:pPr>
              <w:spacing w:line="248" w:lineRule="auto"/>
              <w:rPr>
                <w:rFonts w:ascii="Arial"/>
                <w:sz w:val="21"/>
              </w:rPr>
            </w:pPr>
          </w:p>
          <w:p w14:paraId="796E713B">
            <w:pPr>
              <w:spacing w:line="248" w:lineRule="auto"/>
              <w:rPr>
                <w:rFonts w:ascii="Arial"/>
                <w:sz w:val="21"/>
              </w:rPr>
            </w:pPr>
          </w:p>
          <w:p w14:paraId="57B8DD38">
            <w:pPr>
              <w:spacing w:line="248" w:lineRule="auto"/>
              <w:rPr>
                <w:rFonts w:ascii="Arial"/>
                <w:sz w:val="21"/>
              </w:rPr>
            </w:pPr>
          </w:p>
          <w:p w14:paraId="09B55539">
            <w:pPr>
              <w:spacing w:line="248" w:lineRule="auto"/>
              <w:rPr>
                <w:rFonts w:ascii="Arial"/>
                <w:sz w:val="21"/>
              </w:rPr>
            </w:pPr>
          </w:p>
          <w:p w14:paraId="05B11102">
            <w:pPr>
              <w:spacing w:line="249" w:lineRule="auto"/>
              <w:rPr>
                <w:rFonts w:ascii="Arial"/>
                <w:sz w:val="21"/>
              </w:rPr>
            </w:pPr>
          </w:p>
          <w:p w14:paraId="30B4C60F">
            <w:pPr>
              <w:spacing w:line="249" w:lineRule="auto"/>
              <w:rPr>
                <w:rFonts w:ascii="Arial"/>
                <w:sz w:val="21"/>
              </w:rPr>
            </w:pPr>
          </w:p>
          <w:p w14:paraId="49FD7CBB">
            <w:pPr>
              <w:spacing w:line="249" w:lineRule="auto"/>
              <w:rPr>
                <w:rFonts w:ascii="Arial"/>
                <w:sz w:val="21"/>
              </w:rPr>
            </w:pPr>
          </w:p>
          <w:p w14:paraId="244350FE">
            <w:pPr>
              <w:pStyle w:val="51"/>
              <w:spacing w:before="55" w:line="228" w:lineRule="exact"/>
              <w:ind w:left="145"/>
              <w:rPr>
                <w:sz w:val="17"/>
                <w:szCs w:val="17"/>
              </w:rPr>
            </w:pPr>
            <w:r>
              <w:rPr>
                <w:position w:val="1"/>
                <w:sz w:val="17"/>
                <w:szCs w:val="17"/>
              </w:rPr>
              <w:t>28</w:t>
            </w:r>
          </w:p>
        </w:tc>
        <w:tc>
          <w:tcPr>
            <w:tcW w:w="942" w:type="dxa"/>
            <w:vMerge w:val="restart"/>
            <w:tcBorders>
              <w:bottom w:val="nil"/>
            </w:tcBorders>
            <w:vAlign w:val="top"/>
          </w:tcPr>
          <w:p w14:paraId="5FF9752C">
            <w:pPr>
              <w:spacing w:line="258" w:lineRule="auto"/>
              <w:rPr>
                <w:rFonts w:ascii="Arial"/>
                <w:sz w:val="21"/>
              </w:rPr>
            </w:pPr>
          </w:p>
          <w:p w14:paraId="55B5E39B">
            <w:pPr>
              <w:spacing w:line="258" w:lineRule="auto"/>
              <w:rPr>
                <w:rFonts w:ascii="Arial"/>
                <w:sz w:val="21"/>
              </w:rPr>
            </w:pPr>
          </w:p>
          <w:p w14:paraId="35DD156C">
            <w:pPr>
              <w:spacing w:line="258" w:lineRule="auto"/>
              <w:rPr>
                <w:rFonts w:ascii="Arial"/>
                <w:sz w:val="21"/>
              </w:rPr>
            </w:pPr>
          </w:p>
          <w:p w14:paraId="658BFFB1">
            <w:pPr>
              <w:spacing w:line="258" w:lineRule="auto"/>
              <w:rPr>
                <w:rFonts w:ascii="Arial"/>
                <w:sz w:val="21"/>
              </w:rPr>
            </w:pPr>
          </w:p>
          <w:p w14:paraId="6C88A0B9">
            <w:pPr>
              <w:spacing w:line="258" w:lineRule="auto"/>
              <w:rPr>
                <w:rFonts w:ascii="Arial"/>
                <w:sz w:val="21"/>
              </w:rPr>
            </w:pPr>
          </w:p>
          <w:p w14:paraId="5BEAD3A8">
            <w:pPr>
              <w:spacing w:line="258" w:lineRule="auto"/>
              <w:rPr>
                <w:rFonts w:ascii="Arial"/>
                <w:sz w:val="21"/>
              </w:rPr>
            </w:pPr>
          </w:p>
          <w:p w14:paraId="2FF0E70C">
            <w:pPr>
              <w:spacing w:line="258" w:lineRule="auto"/>
              <w:rPr>
                <w:rFonts w:ascii="Arial"/>
                <w:sz w:val="21"/>
              </w:rPr>
            </w:pPr>
          </w:p>
          <w:p w14:paraId="05FA4563">
            <w:pPr>
              <w:spacing w:line="258" w:lineRule="auto"/>
              <w:rPr>
                <w:rFonts w:ascii="Arial"/>
                <w:sz w:val="21"/>
              </w:rPr>
            </w:pPr>
          </w:p>
          <w:p w14:paraId="6CB10E9D">
            <w:pPr>
              <w:spacing w:line="258" w:lineRule="auto"/>
              <w:rPr>
                <w:rFonts w:ascii="Arial"/>
                <w:sz w:val="21"/>
              </w:rPr>
            </w:pPr>
          </w:p>
          <w:p w14:paraId="4A2ACD48">
            <w:pPr>
              <w:spacing w:line="259" w:lineRule="auto"/>
              <w:rPr>
                <w:rFonts w:ascii="Arial"/>
                <w:sz w:val="21"/>
              </w:rPr>
            </w:pPr>
          </w:p>
          <w:p w14:paraId="6A2E2FB6">
            <w:pPr>
              <w:pStyle w:val="51"/>
              <w:spacing w:before="55" w:line="330" w:lineRule="auto"/>
              <w:ind w:left="296" w:right="112" w:hanging="180"/>
              <w:rPr>
                <w:sz w:val="17"/>
                <w:szCs w:val="17"/>
              </w:rPr>
            </w:pPr>
            <w:r>
              <w:rPr>
                <w:spacing w:val="7"/>
                <w:sz w:val="17"/>
                <w:szCs w:val="17"/>
              </w:rPr>
              <w:t>特殊膳食</w:t>
            </w:r>
            <w:r>
              <w:rPr>
                <w:spacing w:val="4"/>
                <w:sz w:val="17"/>
                <w:szCs w:val="17"/>
              </w:rPr>
              <w:t>食品</w:t>
            </w:r>
          </w:p>
        </w:tc>
        <w:tc>
          <w:tcPr>
            <w:tcW w:w="1360" w:type="dxa"/>
            <w:vMerge w:val="restart"/>
            <w:tcBorders>
              <w:bottom w:val="nil"/>
            </w:tcBorders>
            <w:vAlign w:val="top"/>
          </w:tcPr>
          <w:p w14:paraId="39999D4F">
            <w:pPr>
              <w:spacing w:line="254" w:lineRule="auto"/>
              <w:rPr>
                <w:rFonts w:ascii="Arial"/>
                <w:sz w:val="21"/>
              </w:rPr>
            </w:pPr>
          </w:p>
          <w:p w14:paraId="00E3B4A5">
            <w:pPr>
              <w:spacing w:line="254" w:lineRule="auto"/>
              <w:rPr>
                <w:rFonts w:ascii="Arial"/>
                <w:sz w:val="21"/>
              </w:rPr>
            </w:pPr>
          </w:p>
          <w:p w14:paraId="0AC26FF2">
            <w:pPr>
              <w:spacing w:line="254" w:lineRule="auto"/>
              <w:rPr>
                <w:rFonts w:ascii="Arial"/>
                <w:sz w:val="21"/>
              </w:rPr>
            </w:pPr>
          </w:p>
          <w:p w14:paraId="334EBDED">
            <w:pPr>
              <w:spacing w:line="254" w:lineRule="auto"/>
              <w:rPr>
                <w:rFonts w:ascii="Arial"/>
                <w:sz w:val="21"/>
              </w:rPr>
            </w:pPr>
          </w:p>
          <w:p w14:paraId="600503D6">
            <w:pPr>
              <w:spacing w:line="255" w:lineRule="auto"/>
              <w:rPr>
                <w:rFonts w:ascii="Arial"/>
                <w:sz w:val="21"/>
              </w:rPr>
            </w:pPr>
          </w:p>
          <w:p w14:paraId="76B8FEEF">
            <w:pPr>
              <w:spacing w:line="255" w:lineRule="auto"/>
              <w:rPr>
                <w:rFonts w:ascii="Arial"/>
                <w:sz w:val="21"/>
              </w:rPr>
            </w:pPr>
          </w:p>
          <w:p w14:paraId="0B669AEE">
            <w:pPr>
              <w:pStyle w:val="51"/>
              <w:spacing w:before="55" w:line="227" w:lineRule="auto"/>
              <w:ind w:left="59"/>
              <w:rPr>
                <w:sz w:val="17"/>
                <w:szCs w:val="17"/>
              </w:rPr>
            </w:pPr>
            <w:r>
              <w:rPr>
                <w:spacing w:val="7"/>
                <w:sz w:val="17"/>
                <w:szCs w:val="17"/>
              </w:rPr>
              <w:t>婴幼儿辅助食品</w:t>
            </w:r>
          </w:p>
        </w:tc>
        <w:tc>
          <w:tcPr>
            <w:tcW w:w="1581" w:type="dxa"/>
            <w:vAlign w:val="top"/>
          </w:tcPr>
          <w:p w14:paraId="74003DB5">
            <w:pPr>
              <w:spacing w:line="313" w:lineRule="auto"/>
              <w:rPr>
                <w:rFonts w:ascii="Arial"/>
                <w:sz w:val="21"/>
              </w:rPr>
            </w:pPr>
          </w:p>
          <w:p w14:paraId="105A1F51">
            <w:pPr>
              <w:spacing w:line="314" w:lineRule="auto"/>
              <w:rPr>
                <w:rFonts w:ascii="Arial"/>
                <w:sz w:val="21"/>
              </w:rPr>
            </w:pPr>
          </w:p>
          <w:p w14:paraId="5ECFC8C6">
            <w:pPr>
              <w:pStyle w:val="51"/>
              <w:spacing w:before="55" w:line="227" w:lineRule="auto"/>
              <w:ind w:left="82"/>
              <w:rPr>
                <w:sz w:val="17"/>
                <w:szCs w:val="17"/>
              </w:rPr>
            </w:pPr>
            <w:r>
              <w:rPr>
                <w:spacing w:val="7"/>
                <w:sz w:val="17"/>
                <w:szCs w:val="17"/>
              </w:rPr>
              <w:t>婴幼儿谷类辅助食</w:t>
            </w:r>
          </w:p>
          <w:p w14:paraId="0A2DE3FE">
            <w:pPr>
              <w:pStyle w:val="51"/>
              <w:spacing w:before="91" w:line="241" w:lineRule="auto"/>
              <w:ind w:left="729"/>
              <w:rPr>
                <w:sz w:val="17"/>
                <w:szCs w:val="17"/>
              </w:rPr>
            </w:pPr>
            <w:r>
              <w:rPr>
                <w:sz w:val="17"/>
                <w:szCs w:val="17"/>
              </w:rPr>
              <w:t>品</w:t>
            </w:r>
          </w:p>
        </w:tc>
        <w:tc>
          <w:tcPr>
            <w:tcW w:w="1586" w:type="dxa"/>
            <w:vAlign w:val="top"/>
          </w:tcPr>
          <w:p w14:paraId="543C1C28">
            <w:pPr>
              <w:pStyle w:val="51"/>
              <w:spacing w:before="86" w:line="309" w:lineRule="auto"/>
              <w:ind w:left="34" w:right="26" w:firstLine="5"/>
              <w:jc w:val="both"/>
              <w:rPr>
                <w:sz w:val="17"/>
                <w:szCs w:val="17"/>
              </w:rPr>
            </w:pPr>
            <w:r>
              <w:rPr>
                <w:spacing w:val="19"/>
                <w:sz w:val="17"/>
                <w:szCs w:val="17"/>
              </w:rPr>
              <w:t>婴幼儿谷物辅助食</w:t>
            </w:r>
            <w:r>
              <w:rPr>
                <w:spacing w:val="-2"/>
                <w:sz w:val="17"/>
                <w:szCs w:val="17"/>
              </w:rPr>
              <w:t>品、婴幼儿高蛋白谷物辅助食品、婴幼儿</w:t>
            </w:r>
            <w:r>
              <w:rPr>
                <w:spacing w:val="20"/>
                <w:sz w:val="17"/>
                <w:szCs w:val="17"/>
              </w:rPr>
              <w:t>生制类谷物辅助食</w:t>
            </w:r>
            <w:r>
              <w:rPr>
                <w:spacing w:val="-2"/>
                <w:sz w:val="17"/>
                <w:szCs w:val="17"/>
              </w:rPr>
              <w:t>品、其他婴幼儿谷物</w:t>
            </w:r>
            <w:r>
              <w:rPr>
                <w:spacing w:val="7"/>
                <w:sz w:val="17"/>
                <w:szCs w:val="17"/>
              </w:rPr>
              <w:t>辅助食品</w:t>
            </w:r>
          </w:p>
        </w:tc>
        <w:tc>
          <w:tcPr>
            <w:tcW w:w="682" w:type="dxa"/>
            <w:vAlign w:val="top"/>
          </w:tcPr>
          <w:p w14:paraId="02759A4D">
            <w:pPr>
              <w:spacing w:line="259" w:lineRule="auto"/>
              <w:rPr>
                <w:rFonts w:ascii="Arial"/>
                <w:sz w:val="21"/>
              </w:rPr>
            </w:pPr>
          </w:p>
          <w:p w14:paraId="100D44FA">
            <w:pPr>
              <w:spacing w:line="259" w:lineRule="auto"/>
              <w:rPr>
                <w:rFonts w:ascii="Arial"/>
                <w:sz w:val="21"/>
              </w:rPr>
            </w:pPr>
          </w:p>
          <w:p w14:paraId="6EEAA38F">
            <w:pPr>
              <w:spacing w:line="260" w:lineRule="auto"/>
              <w:rPr>
                <w:rFonts w:ascii="Arial"/>
                <w:sz w:val="21"/>
              </w:rPr>
            </w:pPr>
          </w:p>
          <w:p w14:paraId="2EC54CE0">
            <w:pPr>
              <w:pStyle w:val="51"/>
              <w:spacing w:before="55" w:line="230" w:lineRule="auto"/>
              <w:ind w:left="267"/>
              <w:rPr>
                <w:sz w:val="17"/>
                <w:szCs w:val="17"/>
              </w:rPr>
            </w:pPr>
            <w:r>
              <w:rPr>
                <w:sz w:val="17"/>
                <w:szCs w:val="17"/>
              </w:rPr>
              <w:t>高</w:t>
            </w:r>
          </w:p>
        </w:tc>
        <w:tc>
          <w:tcPr>
            <w:tcW w:w="8563" w:type="dxa"/>
            <w:vAlign w:val="top"/>
          </w:tcPr>
          <w:p w14:paraId="3380695E">
            <w:pPr>
              <w:pStyle w:val="51"/>
              <w:spacing w:before="239" w:line="323" w:lineRule="auto"/>
              <w:ind w:left="37" w:right="26" w:firstLine="10"/>
              <w:rPr>
                <w:sz w:val="17"/>
                <w:szCs w:val="17"/>
              </w:rPr>
            </w:pPr>
            <w:r>
              <w:rPr>
                <w:spacing w:val="10"/>
                <w:sz w:val="17"/>
                <w:szCs w:val="17"/>
              </w:rPr>
              <w:t>能量、蛋白质、脂肪、亚油酸、月桂酸占总脂肪的比值、肉豆蔻酸占总脂肪的比值、维生素A、维生</w:t>
            </w:r>
            <w:r>
              <w:rPr>
                <w:spacing w:val="9"/>
                <w:sz w:val="17"/>
                <w:szCs w:val="17"/>
              </w:rPr>
              <w:t>素D、维</w:t>
            </w:r>
            <w:r>
              <w:rPr>
                <w:spacing w:val="6"/>
                <w:sz w:val="17"/>
                <w:szCs w:val="17"/>
              </w:rPr>
              <w:t>生素B</w:t>
            </w:r>
            <w:r>
              <w:rPr>
                <w:spacing w:val="6"/>
                <w:position w:val="-2"/>
                <w:sz w:val="8"/>
                <w:szCs w:val="8"/>
              </w:rPr>
              <w:t>1</w:t>
            </w:r>
            <w:r>
              <w:rPr>
                <w:spacing w:val="-5"/>
                <w:position w:val="-2"/>
                <w:sz w:val="8"/>
                <w:szCs w:val="8"/>
              </w:rPr>
              <w:t xml:space="preserve"> </w:t>
            </w:r>
            <w:r>
              <w:rPr>
                <w:spacing w:val="6"/>
                <w:sz w:val="17"/>
                <w:szCs w:val="17"/>
              </w:rPr>
              <w:t>、钙、铁、锌、钠、维生素E、维生素B</w:t>
            </w:r>
            <w:r>
              <w:rPr>
                <w:spacing w:val="6"/>
                <w:position w:val="-2"/>
                <w:sz w:val="8"/>
                <w:szCs w:val="8"/>
              </w:rPr>
              <w:t>2</w:t>
            </w:r>
            <w:r>
              <w:rPr>
                <w:spacing w:val="-14"/>
                <w:position w:val="-2"/>
                <w:sz w:val="8"/>
                <w:szCs w:val="8"/>
              </w:rPr>
              <w:t xml:space="preserve"> </w:t>
            </w:r>
            <w:r>
              <w:rPr>
                <w:spacing w:val="6"/>
                <w:sz w:val="17"/>
                <w:szCs w:val="17"/>
              </w:rPr>
              <w:t>、维生素B</w:t>
            </w:r>
            <w:r>
              <w:rPr>
                <w:spacing w:val="6"/>
                <w:position w:val="-2"/>
                <w:sz w:val="8"/>
                <w:szCs w:val="8"/>
              </w:rPr>
              <w:t>6</w:t>
            </w:r>
            <w:r>
              <w:rPr>
                <w:spacing w:val="-13"/>
                <w:position w:val="-2"/>
                <w:sz w:val="8"/>
                <w:szCs w:val="8"/>
              </w:rPr>
              <w:t xml:space="preserve"> </w:t>
            </w:r>
            <w:r>
              <w:rPr>
                <w:spacing w:val="6"/>
                <w:sz w:val="17"/>
                <w:szCs w:val="17"/>
              </w:rPr>
              <w:t>、维生素B</w:t>
            </w:r>
            <w:r>
              <w:rPr>
                <w:spacing w:val="6"/>
                <w:position w:val="-2"/>
                <w:sz w:val="8"/>
                <w:szCs w:val="8"/>
              </w:rPr>
              <w:t>12</w:t>
            </w:r>
            <w:r>
              <w:rPr>
                <w:spacing w:val="-14"/>
                <w:position w:val="-2"/>
                <w:sz w:val="8"/>
                <w:szCs w:val="8"/>
              </w:rPr>
              <w:t xml:space="preserve"> </w:t>
            </w:r>
            <w:r>
              <w:rPr>
                <w:spacing w:val="6"/>
                <w:sz w:val="17"/>
                <w:szCs w:val="17"/>
              </w:rPr>
              <w:t>、叶酸、泛酸、维生素C、生物素、磷、</w:t>
            </w:r>
            <w:r>
              <w:rPr>
                <w:spacing w:val="9"/>
                <w:sz w:val="17"/>
                <w:szCs w:val="17"/>
              </w:rPr>
              <w:t>碘、钾、水分、不溶性膳食纤维、脲酶活性定性测定、铅(以</w:t>
            </w:r>
            <w:r>
              <w:rPr>
                <w:sz w:val="17"/>
                <w:szCs w:val="17"/>
              </w:rPr>
              <w:t>Pb</w:t>
            </w:r>
            <w:r>
              <w:rPr>
                <w:spacing w:val="9"/>
                <w:sz w:val="17"/>
                <w:szCs w:val="17"/>
              </w:rPr>
              <w:t>计)、无机砷(以</w:t>
            </w:r>
            <w:r>
              <w:rPr>
                <w:sz w:val="17"/>
                <w:szCs w:val="17"/>
              </w:rPr>
              <w:t>As</w:t>
            </w:r>
            <w:r>
              <w:rPr>
                <w:spacing w:val="9"/>
                <w:sz w:val="17"/>
                <w:szCs w:val="17"/>
              </w:rPr>
              <w:t>计)、锡(</w:t>
            </w:r>
            <w:r>
              <w:rPr>
                <w:spacing w:val="8"/>
                <w:sz w:val="17"/>
                <w:szCs w:val="17"/>
              </w:rPr>
              <w:t>以</w:t>
            </w:r>
            <w:r>
              <w:rPr>
                <w:sz w:val="17"/>
                <w:szCs w:val="17"/>
              </w:rPr>
              <w:t>Sn</w:t>
            </w:r>
            <w:r>
              <w:rPr>
                <w:spacing w:val="8"/>
                <w:sz w:val="17"/>
                <w:szCs w:val="17"/>
              </w:rPr>
              <w:t>计)、镉(以</w:t>
            </w:r>
            <w:r>
              <w:rPr>
                <w:sz w:val="17"/>
                <w:szCs w:val="17"/>
              </w:rPr>
              <w:t>Cd</w:t>
            </w:r>
            <w:r>
              <w:rPr>
                <w:spacing w:val="7"/>
                <w:sz w:val="17"/>
                <w:szCs w:val="17"/>
              </w:rPr>
              <w:t>计)、黄曲霉毒素B</w:t>
            </w:r>
            <w:r>
              <w:rPr>
                <w:spacing w:val="7"/>
                <w:position w:val="-2"/>
                <w:sz w:val="8"/>
                <w:szCs w:val="8"/>
              </w:rPr>
              <w:t>1</w:t>
            </w:r>
            <w:r>
              <w:rPr>
                <w:spacing w:val="-1"/>
                <w:position w:val="-2"/>
                <w:sz w:val="8"/>
                <w:szCs w:val="8"/>
              </w:rPr>
              <w:t xml:space="preserve"> </w:t>
            </w:r>
            <w:r>
              <w:rPr>
                <w:spacing w:val="7"/>
                <w:sz w:val="17"/>
                <w:szCs w:val="17"/>
              </w:rPr>
              <w:t>、硝酸盐(以</w:t>
            </w:r>
            <w:r>
              <w:rPr>
                <w:sz w:val="17"/>
                <w:szCs w:val="17"/>
              </w:rPr>
              <w:t>NaNO</w:t>
            </w:r>
            <w:r>
              <w:rPr>
                <w:spacing w:val="7"/>
                <w:position w:val="-2"/>
                <w:sz w:val="8"/>
                <w:szCs w:val="8"/>
              </w:rPr>
              <w:t>3</w:t>
            </w:r>
            <w:r>
              <w:rPr>
                <w:spacing w:val="7"/>
                <w:sz w:val="17"/>
                <w:szCs w:val="17"/>
              </w:rPr>
              <w:t>计)、亚硝酸盐(以</w:t>
            </w:r>
            <w:r>
              <w:rPr>
                <w:sz w:val="17"/>
                <w:szCs w:val="17"/>
              </w:rPr>
              <w:t>NaNO</w:t>
            </w:r>
            <w:r>
              <w:rPr>
                <w:spacing w:val="7"/>
                <w:position w:val="-2"/>
                <w:sz w:val="8"/>
                <w:szCs w:val="8"/>
              </w:rPr>
              <w:t>2</w:t>
            </w:r>
            <w:r>
              <w:rPr>
                <w:spacing w:val="7"/>
                <w:sz w:val="17"/>
                <w:szCs w:val="17"/>
              </w:rPr>
              <w:t>计)、菌落总数、大肠菌群、沙门氏菌、二十二碳</w:t>
            </w:r>
            <w:r>
              <w:rPr>
                <w:spacing w:val="9"/>
                <w:sz w:val="17"/>
                <w:szCs w:val="17"/>
              </w:rPr>
              <w:t>六烯酸、花生四烯酸、金黄色葡萄球菌、烟酸/烟酰胺、镁、商业无菌</w:t>
            </w:r>
          </w:p>
        </w:tc>
      </w:tr>
      <w:tr w14:paraId="53957E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04" w:hRule="atLeast"/>
        </w:trPr>
        <w:tc>
          <w:tcPr>
            <w:tcW w:w="459" w:type="dxa"/>
            <w:vMerge w:val="continue"/>
            <w:tcBorders>
              <w:top w:val="nil"/>
              <w:bottom w:val="nil"/>
            </w:tcBorders>
            <w:vAlign w:val="top"/>
          </w:tcPr>
          <w:p w14:paraId="7F345D5D">
            <w:pPr>
              <w:rPr>
                <w:rFonts w:ascii="Arial"/>
                <w:sz w:val="21"/>
              </w:rPr>
            </w:pPr>
          </w:p>
        </w:tc>
        <w:tc>
          <w:tcPr>
            <w:tcW w:w="942" w:type="dxa"/>
            <w:vMerge w:val="continue"/>
            <w:tcBorders>
              <w:top w:val="nil"/>
              <w:bottom w:val="nil"/>
            </w:tcBorders>
            <w:vAlign w:val="top"/>
          </w:tcPr>
          <w:p w14:paraId="057EA0BB">
            <w:pPr>
              <w:rPr>
                <w:rFonts w:ascii="Arial"/>
                <w:sz w:val="21"/>
              </w:rPr>
            </w:pPr>
          </w:p>
        </w:tc>
        <w:tc>
          <w:tcPr>
            <w:tcW w:w="1360" w:type="dxa"/>
            <w:vMerge w:val="continue"/>
            <w:tcBorders>
              <w:top w:val="nil"/>
            </w:tcBorders>
            <w:vAlign w:val="top"/>
          </w:tcPr>
          <w:p w14:paraId="019D0CC9">
            <w:pPr>
              <w:rPr>
                <w:rFonts w:ascii="Arial"/>
                <w:sz w:val="21"/>
              </w:rPr>
            </w:pPr>
          </w:p>
        </w:tc>
        <w:tc>
          <w:tcPr>
            <w:tcW w:w="1581" w:type="dxa"/>
            <w:vAlign w:val="top"/>
          </w:tcPr>
          <w:p w14:paraId="559F113B">
            <w:pPr>
              <w:rPr>
                <w:rFonts w:ascii="Arial"/>
                <w:sz w:val="21"/>
              </w:rPr>
            </w:pPr>
          </w:p>
          <w:p w14:paraId="78A85DFD">
            <w:pPr>
              <w:rPr>
                <w:rFonts w:ascii="Arial"/>
                <w:sz w:val="21"/>
              </w:rPr>
            </w:pPr>
          </w:p>
          <w:p w14:paraId="79B94090">
            <w:pPr>
              <w:pStyle w:val="51"/>
              <w:spacing w:before="55" w:line="227" w:lineRule="auto"/>
              <w:ind w:left="82"/>
              <w:rPr>
                <w:sz w:val="17"/>
                <w:szCs w:val="17"/>
              </w:rPr>
            </w:pPr>
            <w:r>
              <w:rPr>
                <w:spacing w:val="7"/>
                <w:sz w:val="17"/>
                <w:szCs w:val="17"/>
              </w:rPr>
              <w:t>婴幼儿罐装辅助食</w:t>
            </w:r>
          </w:p>
          <w:p w14:paraId="4DDFFB09">
            <w:pPr>
              <w:pStyle w:val="51"/>
              <w:spacing w:before="91" w:line="241" w:lineRule="auto"/>
              <w:ind w:left="729"/>
              <w:rPr>
                <w:sz w:val="17"/>
                <w:szCs w:val="17"/>
              </w:rPr>
            </w:pPr>
            <w:r>
              <w:rPr>
                <w:sz w:val="17"/>
                <w:szCs w:val="17"/>
              </w:rPr>
              <w:t>品</w:t>
            </w:r>
          </w:p>
        </w:tc>
        <w:tc>
          <w:tcPr>
            <w:tcW w:w="1586" w:type="dxa"/>
            <w:vAlign w:val="top"/>
          </w:tcPr>
          <w:p w14:paraId="01983648">
            <w:pPr>
              <w:pStyle w:val="51"/>
              <w:spacing w:before="89" w:line="227" w:lineRule="auto"/>
              <w:ind w:left="85"/>
              <w:rPr>
                <w:sz w:val="17"/>
                <w:szCs w:val="17"/>
              </w:rPr>
            </w:pPr>
            <w:r>
              <w:rPr>
                <w:spacing w:val="7"/>
                <w:sz w:val="17"/>
                <w:szCs w:val="17"/>
              </w:rPr>
              <w:t>婴幼儿泥(糊)状罐</w:t>
            </w:r>
          </w:p>
          <w:p w14:paraId="633DEB24">
            <w:pPr>
              <w:pStyle w:val="51"/>
              <w:spacing w:before="90" w:line="227" w:lineRule="auto"/>
              <w:ind w:left="38"/>
              <w:rPr>
                <w:sz w:val="17"/>
                <w:szCs w:val="17"/>
              </w:rPr>
            </w:pPr>
            <w:r>
              <w:rPr>
                <w:spacing w:val="-2"/>
                <w:sz w:val="17"/>
                <w:szCs w:val="17"/>
              </w:rPr>
              <w:t>装辅助食品，婴幼儿</w:t>
            </w:r>
          </w:p>
          <w:p w14:paraId="0692E5F9">
            <w:pPr>
              <w:pStyle w:val="51"/>
              <w:spacing w:before="90" w:line="227" w:lineRule="auto"/>
              <w:ind w:left="36"/>
              <w:rPr>
                <w:sz w:val="17"/>
                <w:szCs w:val="17"/>
              </w:rPr>
            </w:pPr>
            <w:r>
              <w:rPr>
                <w:spacing w:val="-2"/>
                <w:sz w:val="17"/>
                <w:szCs w:val="17"/>
              </w:rPr>
              <w:t>颗粒、片(块)状罐装</w:t>
            </w:r>
          </w:p>
          <w:p w14:paraId="22CF7208">
            <w:pPr>
              <w:pStyle w:val="51"/>
              <w:spacing w:before="91" w:line="227" w:lineRule="auto"/>
              <w:ind w:left="34"/>
              <w:rPr>
                <w:sz w:val="17"/>
                <w:szCs w:val="17"/>
              </w:rPr>
            </w:pPr>
            <w:r>
              <w:rPr>
                <w:spacing w:val="-2"/>
                <w:sz w:val="17"/>
                <w:szCs w:val="17"/>
              </w:rPr>
              <w:t>辅助食品，婴幼儿汁</w:t>
            </w:r>
          </w:p>
          <w:p w14:paraId="3AB60300">
            <w:pPr>
              <w:pStyle w:val="51"/>
              <w:spacing w:before="91" w:line="222" w:lineRule="auto"/>
              <w:ind w:left="174"/>
              <w:rPr>
                <w:sz w:val="17"/>
                <w:szCs w:val="17"/>
              </w:rPr>
            </w:pPr>
            <w:r>
              <w:rPr>
                <w:spacing w:val="7"/>
                <w:sz w:val="17"/>
                <w:szCs w:val="17"/>
              </w:rPr>
              <w:t>类罐装辅助食品</w:t>
            </w:r>
          </w:p>
        </w:tc>
        <w:tc>
          <w:tcPr>
            <w:tcW w:w="682" w:type="dxa"/>
            <w:vAlign w:val="top"/>
          </w:tcPr>
          <w:p w14:paraId="6195034B">
            <w:pPr>
              <w:spacing w:line="315" w:lineRule="auto"/>
              <w:rPr>
                <w:rFonts w:ascii="Arial"/>
                <w:sz w:val="21"/>
              </w:rPr>
            </w:pPr>
          </w:p>
          <w:p w14:paraId="0363C9B3">
            <w:pPr>
              <w:spacing w:line="315" w:lineRule="auto"/>
              <w:rPr>
                <w:rFonts w:ascii="Arial"/>
                <w:sz w:val="21"/>
              </w:rPr>
            </w:pPr>
          </w:p>
          <w:p w14:paraId="641F1FD8">
            <w:pPr>
              <w:pStyle w:val="51"/>
              <w:spacing w:before="56" w:line="230" w:lineRule="auto"/>
              <w:ind w:left="267"/>
              <w:rPr>
                <w:sz w:val="17"/>
                <w:szCs w:val="17"/>
              </w:rPr>
            </w:pPr>
            <w:r>
              <w:rPr>
                <w:sz w:val="17"/>
                <w:szCs w:val="17"/>
              </w:rPr>
              <w:t>高</w:t>
            </w:r>
          </w:p>
        </w:tc>
        <w:tc>
          <w:tcPr>
            <w:tcW w:w="8563" w:type="dxa"/>
            <w:vAlign w:val="top"/>
          </w:tcPr>
          <w:p w14:paraId="1E793908">
            <w:pPr>
              <w:spacing w:line="479" w:lineRule="auto"/>
              <w:rPr>
                <w:rFonts w:ascii="Arial"/>
                <w:sz w:val="21"/>
              </w:rPr>
            </w:pPr>
          </w:p>
          <w:p w14:paraId="1647B7EA">
            <w:pPr>
              <w:pStyle w:val="51"/>
              <w:spacing w:before="56" w:line="324" w:lineRule="auto"/>
              <w:ind w:left="39"/>
              <w:rPr>
                <w:sz w:val="17"/>
                <w:szCs w:val="17"/>
              </w:rPr>
            </w:pPr>
            <w:r>
              <w:rPr>
                <w:spacing w:val="8"/>
                <w:sz w:val="17"/>
                <w:szCs w:val="17"/>
              </w:rPr>
              <w:t>蛋白质、脂肪、总钠/钠、铅(以</w:t>
            </w:r>
            <w:r>
              <w:rPr>
                <w:sz w:val="17"/>
                <w:szCs w:val="17"/>
              </w:rPr>
              <w:t>Pb</w:t>
            </w:r>
            <w:r>
              <w:rPr>
                <w:spacing w:val="8"/>
                <w:sz w:val="17"/>
                <w:szCs w:val="17"/>
              </w:rPr>
              <w:t>计)、无机砷(以</w:t>
            </w:r>
            <w:r>
              <w:rPr>
                <w:sz w:val="17"/>
                <w:szCs w:val="17"/>
              </w:rPr>
              <w:t>As</w:t>
            </w:r>
            <w:r>
              <w:rPr>
                <w:spacing w:val="8"/>
                <w:sz w:val="17"/>
                <w:szCs w:val="17"/>
              </w:rPr>
              <w:t>计)、总汞(以</w:t>
            </w:r>
            <w:r>
              <w:rPr>
                <w:sz w:val="17"/>
                <w:szCs w:val="17"/>
              </w:rPr>
              <w:t>Hg</w:t>
            </w:r>
            <w:r>
              <w:rPr>
                <w:spacing w:val="8"/>
                <w:sz w:val="17"/>
                <w:szCs w:val="17"/>
              </w:rPr>
              <w:t>计)、锡(以</w:t>
            </w:r>
            <w:r>
              <w:rPr>
                <w:sz w:val="17"/>
                <w:szCs w:val="17"/>
              </w:rPr>
              <w:t>Sn</w:t>
            </w:r>
            <w:r>
              <w:rPr>
                <w:spacing w:val="8"/>
                <w:sz w:val="17"/>
                <w:szCs w:val="17"/>
              </w:rPr>
              <w:t>计)、硝酸盐(以</w:t>
            </w:r>
            <w:r>
              <w:rPr>
                <w:sz w:val="17"/>
                <w:szCs w:val="17"/>
              </w:rPr>
              <w:t>NaNO</w:t>
            </w:r>
            <w:r>
              <w:rPr>
                <w:spacing w:val="8"/>
                <w:position w:val="-2"/>
                <w:sz w:val="8"/>
                <w:szCs w:val="8"/>
              </w:rPr>
              <w:t>3</w:t>
            </w:r>
            <w:r>
              <w:rPr>
                <w:spacing w:val="8"/>
                <w:sz w:val="17"/>
                <w:szCs w:val="17"/>
              </w:rPr>
              <w:t>计)、亚硝酸盐(以</w:t>
            </w:r>
            <w:r>
              <w:rPr>
                <w:sz w:val="17"/>
                <w:szCs w:val="17"/>
              </w:rPr>
              <w:t>NaNO</w:t>
            </w:r>
            <w:r>
              <w:rPr>
                <w:spacing w:val="8"/>
                <w:position w:val="-2"/>
                <w:sz w:val="8"/>
                <w:szCs w:val="8"/>
              </w:rPr>
              <w:t>2</w:t>
            </w:r>
            <w:r>
              <w:rPr>
                <w:spacing w:val="8"/>
                <w:sz w:val="17"/>
                <w:szCs w:val="17"/>
              </w:rPr>
              <w:t>计)、商业无菌、霉菌、组胺</w:t>
            </w:r>
          </w:p>
        </w:tc>
      </w:tr>
      <w:tr w14:paraId="4C89F6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trPr>
        <w:tc>
          <w:tcPr>
            <w:tcW w:w="459" w:type="dxa"/>
            <w:vMerge w:val="continue"/>
            <w:tcBorders>
              <w:top w:val="nil"/>
              <w:bottom w:val="nil"/>
            </w:tcBorders>
            <w:vAlign w:val="top"/>
          </w:tcPr>
          <w:p w14:paraId="3351B91C">
            <w:pPr>
              <w:rPr>
                <w:rFonts w:ascii="Arial"/>
                <w:sz w:val="21"/>
              </w:rPr>
            </w:pPr>
          </w:p>
        </w:tc>
        <w:tc>
          <w:tcPr>
            <w:tcW w:w="942" w:type="dxa"/>
            <w:vMerge w:val="continue"/>
            <w:tcBorders>
              <w:top w:val="nil"/>
              <w:bottom w:val="nil"/>
            </w:tcBorders>
            <w:vAlign w:val="top"/>
          </w:tcPr>
          <w:p w14:paraId="7B15264F">
            <w:pPr>
              <w:rPr>
                <w:rFonts w:ascii="Arial"/>
                <w:sz w:val="21"/>
              </w:rPr>
            </w:pPr>
          </w:p>
        </w:tc>
        <w:tc>
          <w:tcPr>
            <w:tcW w:w="1360" w:type="dxa"/>
            <w:vMerge w:val="restart"/>
            <w:tcBorders>
              <w:bottom w:val="nil"/>
            </w:tcBorders>
            <w:vAlign w:val="top"/>
          </w:tcPr>
          <w:p w14:paraId="4EE111EF">
            <w:pPr>
              <w:spacing w:line="270" w:lineRule="auto"/>
              <w:rPr>
                <w:rFonts w:ascii="Arial"/>
                <w:sz w:val="21"/>
              </w:rPr>
            </w:pPr>
          </w:p>
          <w:p w14:paraId="50086673">
            <w:pPr>
              <w:spacing w:line="270" w:lineRule="auto"/>
              <w:rPr>
                <w:rFonts w:ascii="Arial"/>
                <w:sz w:val="21"/>
              </w:rPr>
            </w:pPr>
          </w:p>
          <w:p w14:paraId="708BBAEC">
            <w:pPr>
              <w:spacing w:line="270" w:lineRule="auto"/>
              <w:rPr>
                <w:rFonts w:ascii="Arial"/>
                <w:sz w:val="21"/>
              </w:rPr>
            </w:pPr>
          </w:p>
          <w:p w14:paraId="00D2DD63">
            <w:pPr>
              <w:spacing w:line="271" w:lineRule="auto"/>
              <w:rPr>
                <w:rFonts w:ascii="Arial"/>
                <w:sz w:val="21"/>
              </w:rPr>
            </w:pPr>
          </w:p>
          <w:p w14:paraId="6C11261E">
            <w:pPr>
              <w:pStyle w:val="51"/>
              <w:spacing w:before="56" w:line="227" w:lineRule="auto"/>
              <w:ind w:left="240"/>
              <w:rPr>
                <w:sz w:val="17"/>
                <w:szCs w:val="17"/>
              </w:rPr>
            </w:pPr>
            <w:r>
              <w:rPr>
                <w:spacing w:val="6"/>
                <w:sz w:val="17"/>
                <w:szCs w:val="17"/>
              </w:rPr>
              <w:t>营养补充品</w:t>
            </w:r>
          </w:p>
        </w:tc>
        <w:tc>
          <w:tcPr>
            <w:tcW w:w="1581" w:type="dxa"/>
            <w:vMerge w:val="restart"/>
            <w:tcBorders>
              <w:bottom w:val="nil"/>
            </w:tcBorders>
            <w:vAlign w:val="top"/>
          </w:tcPr>
          <w:p w14:paraId="42886E01">
            <w:pPr>
              <w:spacing w:line="270" w:lineRule="auto"/>
              <w:rPr>
                <w:rFonts w:ascii="Arial"/>
                <w:sz w:val="21"/>
              </w:rPr>
            </w:pPr>
          </w:p>
          <w:p w14:paraId="7C4F7546">
            <w:pPr>
              <w:spacing w:line="270" w:lineRule="auto"/>
              <w:rPr>
                <w:rFonts w:ascii="Arial"/>
                <w:sz w:val="21"/>
              </w:rPr>
            </w:pPr>
          </w:p>
          <w:p w14:paraId="616D67E4">
            <w:pPr>
              <w:spacing w:line="270" w:lineRule="auto"/>
              <w:rPr>
                <w:rFonts w:ascii="Arial"/>
                <w:sz w:val="21"/>
              </w:rPr>
            </w:pPr>
          </w:p>
          <w:p w14:paraId="6B9397A3">
            <w:pPr>
              <w:spacing w:line="271" w:lineRule="auto"/>
              <w:rPr>
                <w:rFonts w:ascii="Arial"/>
                <w:sz w:val="21"/>
              </w:rPr>
            </w:pPr>
          </w:p>
          <w:p w14:paraId="18F8B857">
            <w:pPr>
              <w:pStyle w:val="51"/>
              <w:spacing w:before="56" w:line="227" w:lineRule="auto"/>
              <w:ind w:left="354"/>
              <w:rPr>
                <w:sz w:val="17"/>
                <w:szCs w:val="17"/>
              </w:rPr>
            </w:pPr>
            <w:r>
              <w:rPr>
                <w:spacing w:val="6"/>
                <w:sz w:val="17"/>
                <w:szCs w:val="17"/>
              </w:rPr>
              <w:t>营养补充品</w:t>
            </w:r>
          </w:p>
        </w:tc>
        <w:tc>
          <w:tcPr>
            <w:tcW w:w="1586" w:type="dxa"/>
            <w:vAlign w:val="top"/>
          </w:tcPr>
          <w:p w14:paraId="7A2F1116">
            <w:pPr>
              <w:pStyle w:val="51"/>
              <w:spacing w:before="238" w:line="326" w:lineRule="auto"/>
              <w:ind w:left="41" w:right="26" w:firstLine="37"/>
              <w:jc w:val="both"/>
              <w:rPr>
                <w:sz w:val="17"/>
                <w:szCs w:val="17"/>
              </w:rPr>
            </w:pPr>
            <w:r>
              <w:rPr>
                <w:spacing w:val="8"/>
                <w:sz w:val="17"/>
                <w:szCs w:val="17"/>
              </w:rPr>
              <w:t>辅食营养素补充食</w:t>
            </w:r>
            <w:r>
              <w:rPr>
                <w:spacing w:val="-2"/>
                <w:sz w:val="17"/>
                <w:szCs w:val="17"/>
              </w:rPr>
              <w:t>品、辅食营养素补充片、辅食营养素撒剂</w:t>
            </w:r>
          </w:p>
        </w:tc>
        <w:tc>
          <w:tcPr>
            <w:tcW w:w="682" w:type="dxa"/>
            <w:vAlign w:val="top"/>
          </w:tcPr>
          <w:p w14:paraId="43F10640">
            <w:pPr>
              <w:rPr>
                <w:rFonts w:ascii="Arial"/>
                <w:sz w:val="21"/>
              </w:rPr>
            </w:pPr>
          </w:p>
          <w:p w14:paraId="131F9A30">
            <w:pPr>
              <w:spacing w:line="241" w:lineRule="auto"/>
              <w:rPr>
                <w:rFonts w:ascii="Arial"/>
                <w:sz w:val="21"/>
              </w:rPr>
            </w:pPr>
          </w:p>
          <w:p w14:paraId="71AB6824">
            <w:pPr>
              <w:pStyle w:val="51"/>
              <w:spacing w:before="55" w:line="230" w:lineRule="auto"/>
              <w:ind w:left="267"/>
              <w:rPr>
                <w:sz w:val="17"/>
                <w:szCs w:val="17"/>
              </w:rPr>
            </w:pPr>
            <w:r>
              <w:rPr>
                <w:sz w:val="17"/>
                <w:szCs w:val="17"/>
              </w:rPr>
              <w:t>高</w:t>
            </w:r>
          </w:p>
        </w:tc>
        <w:tc>
          <w:tcPr>
            <w:tcW w:w="8563" w:type="dxa"/>
            <w:vAlign w:val="top"/>
          </w:tcPr>
          <w:p w14:paraId="3CF6378F">
            <w:pPr>
              <w:pStyle w:val="51"/>
              <w:spacing w:before="89" w:line="300" w:lineRule="auto"/>
              <w:ind w:left="37" w:firstLine="2"/>
              <w:jc w:val="both"/>
              <w:rPr>
                <w:sz w:val="17"/>
                <w:szCs w:val="17"/>
              </w:rPr>
            </w:pPr>
            <w:r>
              <w:rPr>
                <w:spacing w:val="5"/>
                <w:sz w:val="17"/>
                <w:szCs w:val="17"/>
              </w:rPr>
              <w:t>蛋白质、钙、铁、锌、维生素A、维生素D、维生素B</w:t>
            </w:r>
            <w:r>
              <w:rPr>
                <w:spacing w:val="5"/>
                <w:position w:val="-2"/>
                <w:sz w:val="8"/>
                <w:szCs w:val="8"/>
              </w:rPr>
              <w:t>1</w:t>
            </w:r>
            <w:r>
              <w:rPr>
                <w:spacing w:val="-13"/>
                <w:position w:val="-2"/>
                <w:sz w:val="8"/>
                <w:szCs w:val="8"/>
              </w:rPr>
              <w:t xml:space="preserve"> </w:t>
            </w:r>
            <w:r>
              <w:rPr>
                <w:spacing w:val="5"/>
                <w:sz w:val="17"/>
                <w:szCs w:val="17"/>
              </w:rPr>
              <w:t>、维生素B</w:t>
            </w:r>
            <w:r>
              <w:rPr>
                <w:spacing w:val="5"/>
                <w:position w:val="-2"/>
                <w:sz w:val="8"/>
                <w:szCs w:val="8"/>
              </w:rPr>
              <w:t>2</w:t>
            </w:r>
            <w:r>
              <w:rPr>
                <w:spacing w:val="-14"/>
                <w:position w:val="-2"/>
                <w:sz w:val="8"/>
                <w:szCs w:val="8"/>
              </w:rPr>
              <w:t xml:space="preserve"> </w:t>
            </w:r>
            <w:r>
              <w:rPr>
                <w:spacing w:val="5"/>
                <w:sz w:val="17"/>
                <w:szCs w:val="17"/>
              </w:rPr>
              <w:t>、维生素K</w:t>
            </w:r>
            <w:r>
              <w:rPr>
                <w:spacing w:val="5"/>
                <w:position w:val="-2"/>
                <w:sz w:val="8"/>
                <w:szCs w:val="8"/>
              </w:rPr>
              <w:t>1</w:t>
            </w:r>
            <w:r>
              <w:rPr>
                <w:spacing w:val="-14"/>
                <w:position w:val="-2"/>
                <w:sz w:val="8"/>
                <w:szCs w:val="8"/>
              </w:rPr>
              <w:t xml:space="preserve"> </w:t>
            </w:r>
            <w:r>
              <w:rPr>
                <w:spacing w:val="5"/>
                <w:sz w:val="17"/>
                <w:szCs w:val="17"/>
              </w:rPr>
              <w:t>、烟酸(</w:t>
            </w:r>
            <w:r>
              <w:rPr>
                <w:spacing w:val="4"/>
                <w:sz w:val="17"/>
                <w:szCs w:val="17"/>
              </w:rPr>
              <w:t>烟酰胺)、维生素B</w:t>
            </w:r>
            <w:r>
              <w:rPr>
                <w:spacing w:val="4"/>
                <w:position w:val="-2"/>
                <w:sz w:val="8"/>
                <w:szCs w:val="8"/>
              </w:rPr>
              <w:t>6</w:t>
            </w:r>
            <w:r>
              <w:rPr>
                <w:spacing w:val="-13"/>
                <w:position w:val="-2"/>
                <w:sz w:val="8"/>
                <w:szCs w:val="8"/>
              </w:rPr>
              <w:t xml:space="preserve"> </w:t>
            </w:r>
            <w:r>
              <w:rPr>
                <w:spacing w:val="4"/>
                <w:sz w:val="17"/>
                <w:szCs w:val="17"/>
              </w:rPr>
              <w:t>、叶酸、</w:t>
            </w:r>
            <w:r>
              <w:rPr>
                <w:spacing w:val="8"/>
                <w:sz w:val="17"/>
                <w:szCs w:val="17"/>
              </w:rPr>
              <w:t>维生素B</w:t>
            </w:r>
            <w:r>
              <w:rPr>
                <w:spacing w:val="8"/>
                <w:position w:val="-2"/>
                <w:sz w:val="8"/>
                <w:szCs w:val="8"/>
              </w:rPr>
              <w:t>12</w:t>
            </w:r>
            <w:r>
              <w:rPr>
                <w:spacing w:val="4"/>
                <w:position w:val="-2"/>
                <w:sz w:val="8"/>
                <w:szCs w:val="8"/>
              </w:rPr>
              <w:t xml:space="preserve"> </w:t>
            </w:r>
            <w:r>
              <w:rPr>
                <w:spacing w:val="8"/>
                <w:sz w:val="17"/>
                <w:szCs w:val="17"/>
              </w:rPr>
              <w:t>、泛酸、胆碱、生物素、维生素C、二十二碳六烯酸、脲酶活性定性、铅(以</w:t>
            </w:r>
            <w:r>
              <w:rPr>
                <w:sz w:val="17"/>
                <w:szCs w:val="17"/>
              </w:rPr>
              <w:t>Pb</w:t>
            </w:r>
            <w:r>
              <w:rPr>
                <w:spacing w:val="8"/>
                <w:sz w:val="17"/>
                <w:szCs w:val="17"/>
              </w:rPr>
              <w:t>计)、总砷(以</w:t>
            </w:r>
            <w:r>
              <w:rPr>
                <w:sz w:val="17"/>
                <w:szCs w:val="17"/>
              </w:rPr>
              <w:t>As</w:t>
            </w:r>
            <w:r>
              <w:rPr>
                <w:spacing w:val="8"/>
                <w:sz w:val="17"/>
                <w:szCs w:val="17"/>
              </w:rPr>
              <w:t>计)、</w:t>
            </w:r>
            <w:r>
              <w:rPr>
                <w:spacing w:val="6"/>
                <w:sz w:val="17"/>
                <w:szCs w:val="17"/>
              </w:rPr>
              <w:t>黄曲霉毒素M</w:t>
            </w:r>
            <w:r>
              <w:rPr>
                <w:spacing w:val="6"/>
                <w:position w:val="-2"/>
                <w:sz w:val="8"/>
                <w:szCs w:val="8"/>
              </w:rPr>
              <w:t>1</w:t>
            </w:r>
            <w:r>
              <w:rPr>
                <w:spacing w:val="5"/>
                <w:position w:val="-2"/>
                <w:sz w:val="8"/>
                <w:szCs w:val="8"/>
              </w:rPr>
              <w:t xml:space="preserve"> </w:t>
            </w:r>
            <w:r>
              <w:rPr>
                <w:spacing w:val="6"/>
                <w:sz w:val="17"/>
                <w:szCs w:val="17"/>
              </w:rPr>
              <w:t>、黄曲霉毒素B</w:t>
            </w:r>
            <w:r>
              <w:rPr>
                <w:spacing w:val="6"/>
                <w:position w:val="-2"/>
                <w:sz w:val="8"/>
                <w:szCs w:val="8"/>
              </w:rPr>
              <w:t>1</w:t>
            </w:r>
            <w:r>
              <w:rPr>
                <w:spacing w:val="-16"/>
                <w:position w:val="-2"/>
                <w:sz w:val="8"/>
                <w:szCs w:val="8"/>
              </w:rPr>
              <w:t xml:space="preserve"> </w:t>
            </w:r>
            <w:r>
              <w:rPr>
                <w:spacing w:val="6"/>
                <w:sz w:val="17"/>
                <w:szCs w:val="17"/>
              </w:rPr>
              <w:t>、硝酸盐(以</w:t>
            </w:r>
            <w:r>
              <w:rPr>
                <w:sz w:val="17"/>
                <w:szCs w:val="17"/>
              </w:rPr>
              <w:t>NaNO</w:t>
            </w:r>
            <w:r>
              <w:rPr>
                <w:spacing w:val="6"/>
                <w:position w:val="-2"/>
                <w:sz w:val="8"/>
                <w:szCs w:val="8"/>
              </w:rPr>
              <w:t>3</w:t>
            </w:r>
            <w:r>
              <w:rPr>
                <w:spacing w:val="6"/>
                <w:sz w:val="17"/>
                <w:szCs w:val="17"/>
              </w:rPr>
              <w:t>计)、亚硝酸盐(以</w:t>
            </w:r>
            <w:r>
              <w:rPr>
                <w:sz w:val="17"/>
                <w:szCs w:val="17"/>
              </w:rPr>
              <w:t>NaNO</w:t>
            </w:r>
            <w:r>
              <w:rPr>
                <w:spacing w:val="6"/>
                <w:position w:val="-2"/>
                <w:sz w:val="8"/>
                <w:szCs w:val="8"/>
              </w:rPr>
              <w:t>2</w:t>
            </w:r>
            <w:r>
              <w:rPr>
                <w:spacing w:val="6"/>
                <w:sz w:val="17"/>
                <w:szCs w:val="17"/>
              </w:rPr>
              <w:t>计)、菌落总数、大肠菌群、沙门氏菌、</w:t>
            </w:r>
            <w:r>
              <w:rPr>
                <w:spacing w:val="7"/>
                <w:sz w:val="17"/>
                <w:szCs w:val="17"/>
              </w:rPr>
              <w:t>金黄色葡萄球菌</w:t>
            </w:r>
          </w:p>
        </w:tc>
      </w:tr>
      <w:tr w14:paraId="22A5B8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7" w:hRule="atLeast"/>
        </w:trPr>
        <w:tc>
          <w:tcPr>
            <w:tcW w:w="459" w:type="dxa"/>
            <w:vMerge w:val="continue"/>
            <w:tcBorders>
              <w:top w:val="nil"/>
            </w:tcBorders>
            <w:vAlign w:val="top"/>
          </w:tcPr>
          <w:p w14:paraId="241982DE">
            <w:pPr>
              <w:rPr>
                <w:rFonts w:ascii="Arial"/>
                <w:sz w:val="21"/>
              </w:rPr>
            </w:pPr>
          </w:p>
        </w:tc>
        <w:tc>
          <w:tcPr>
            <w:tcW w:w="942" w:type="dxa"/>
            <w:vMerge w:val="continue"/>
            <w:tcBorders>
              <w:top w:val="nil"/>
            </w:tcBorders>
            <w:vAlign w:val="top"/>
          </w:tcPr>
          <w:p w14:paraId="04AADBE2">
            <w:pPr>
              <w:rPr>
                <w:rFonts w:ascii="Arial"/>
                <w:sz w:val="21"/>
              </w:rPr>
            </w:pPr>
          </w:p>
        </w:tc>
        <w:tc>
          <w:tcPr>
            <w:tcW w:w="1360" w:type="dxa"/>
            <w:vMerge w:val="continue"/>
            <w:tcBorders>
              <w:top w:val="nil"/>
            </w:tcBorders>
            <w:vAlign w:val="top"/>
          </w:tcPr>
          <w:p w14:paraId="5FB218F1">
            <w:pPr>
              <w:rPr>
                <w:rFonts w:ascii="Arial"/>
                <w:sz w:val="21"/>
              </w:rPr>
            </w:pPr>
          </w:p>
        </w:tc>
        <w:tc>
          <w:tcPr>
            <w:tcW w:w="1581" w:type="dxa"/>
            <w:vMerge w:val="continue"/>
            <w:tcBorders>
              <w:top w:val="nil"/>
            </w:tcBorders>
            <w:vAlign w:val="top"/>
          </w:tcPr>
          <w:p w14:paraId="15CB165E">
            <w:pPr>
              <w:rPr>
                <w:rFonts w:ascii="Arial"/>
                <w:sz w:val="21"/>
              </w:rPr>
            </w:pPr>
          </w:p>
        </w:tc>
        <w:tc>
          <w:tcPr>
            <w:tcW w:w="1586" w:type="dxa"/>
            <w:vAlign w:val="top"/>
          </w:tcPr>
          <w:p w14:paraId="1ED53894">
            <w:pPr>
              <w:spacing w:line="333" w:lineRule="auto"/>
              <w:rPr>
                <w:rFonts w:ascii="Arial"/>
                <w:sz w:val="21"/>
              </w:rPr>
            </w:pPr>
          </w:p>
          <w:p w14:paraId="43C365EA">
            <w:pPr>
              <w:pStyle w:val="51"/>
              <w:spacing w:before="56" w:line="327" w:lineRule="auto"/>
              <w:ind w:left="532" w:right="71" w:hanging="445"/>
              <w:rPr>
                <w:sz w:val="17"/>
                <w:szCs w:val="17"/>
              </w:rPr>
            </w:pPr>
            <w:r>
              <w:rPr>
                <w:spacing w:val="7"/>
                <w:sz w:val="17"/>
                <w:szCs w:val="17"/>
              </w:rPr>
              <w:t>孕妇及乳母营养补</w:t>
            </w:r>
            <w:r>
              <w:rPr>
                <w:spacing w:val="5"/>
                <w:sz w:val="17"/>
                <w:szCs w:val="17"/>
              </w:rPr>
              <w:t>充食品</w:t>
            </w:r>
          </w:p>
        </w:tc>
        <w:tc>
          <w:tcPr>
            <w:tcW w:w="682" w:type="dxa"/>
            <w:vAlign w:val="top"/>
          </w:tcPr>
          <w:p w14:paraId="059085AD">
            <w:pPr>
              <w:rPr>
                <w:rFonts w:ascii="Arial"/>
                <w:sz w:val="21"/>
              </w:rPr>
            </w:pPr>
          </w:p>
          <w:p w14:paraId="10A4A1EC">
            <w:pPr>
              <w:spacing w:line="241" w:lineRule="auto"/>
              <w:rPr>
                <w:rFonts w:ascii="Arial"/>
                <w:sz w:val="21"/>
              </w:rPr>
            </w:pPr>
          </w:p>
          <w:p w14:paraId="6DE67385">
            <w:pPr>
              <w:pStyle w:val="51"/>
              <w:spacing w:before="56" w:line="230" w:lineRule="auto"/>
              <w:ind w:left="267"/>
              <w:rPr>
                <w:sz w:val="17"/>
                <w:szCs w:val="17"/>
              </w:rPr>
            </w:pPr>
            <w:r>
              <w:rPr>
                <w:sz w:val="17"/>
                <w:szCs w:val="17"/>
              </w:rPr>
              <w:t>高</w:t>
            </w:r>
          </w:p>
        </w:tc>
        <w:tc>
          <w:tcPr>
            <w:tcW w:w="8563" w:type="dxa"/>
            <w:vAlign w:val="top"/>
          </w:tcPr>
          <w:p w14:paraId="559FFC53">
            <w:pPr>
              <w:pStyle w:val="51"/>
              <w:spacing w:before="92" w:line="300" w:lineRule="auto"/>
              <w:ind w:left="26" w:right="21" w:firstLine="13"/>
              <w:jc w:val="both"/>
              <w:rPr>
                <w:sz w:val="17"/>
                <w:szCs w:val="17"/>
              </w:rPr>
            </w:pPr>
            <w:r>
              <w:rPr>
                <w:spacing w:val="7"/>
                <w:sz w:val="17"/>
                <w:szCs w:val="17"/>
              </w:rPr>
              <w:t>铁、维生素A、维生素D、叶酸、维生素B</w:t>
            </w:r>
            <w:r>
              <w:rPr>
                <w:spacing w:val="7"/>
                <w:position w:val="-2"/>
                <w:sz w:val="8"/>
                <w:szCs w:val="8"/>
              </w:rPr>
              <w:t>12</w:t>
            </w:r>
            <w:r>
              <w:rPr>
                <w:spacing w:val="-11"/>
                <w:position w:val="-2"/>
                <w:sz w:val="8"/>
                <w:szCs w:val="8"/>
              </w:rPr>
              <w:t xml:space="preserve"> </w:t>
            </w:r>
            <w:r>
              <w:rPr>
                <w:spacing w:val="7"/>
                <w:sz w:val="17"/>
                <w:szCs w:val="17"/>
              </w:rPr>
              <w:t>、钙、镁、</w:t>
            </w:r>
            <w:r>
              <w:rPr>
                <w:spacing w:val="6"/>
                <w:sz w:val="17"/>
                <w:szCs w:val="17"/>
              </w:rPr>
              <w:t>锌、硒、维生素E、维生素K、维生素B</w:t>
            </w:r>
            <w:r>
              <w:rPr>
                <w:spacing w:val="6"/>
                <w:position w:val="-2"/>
                <w:sz w:val="8"/>
                <w:szCs w:val="8"/>
              </w:rPr>
              <w:t>1</w:t>
            </w:r>
            <w:r>
              <w:rPr>
                <w:spacing w:val="-16"/>
                <w:position w:val="-2"/>
                <w:sz w:val="8"/>
                <w:szCs w:val="8"/>
              </w:rPr>
              <w:t xml:space="preserve"> </w:t>
            </w:r>
            <w:r>
              <w:rPr>
                <w:spacing w:val="6"/>
                <w:sz w:val="17"/>
                <w:szCs w:val="17"/>
              </w:rPr>
              <w:t>、维生素B</w:t>
            </w:r>
            <w:r>
              <w:rPr>
                <w:spacing w:val="6"/>
                <w:position w:val="-2"/>
                <w:sz w:val="8"/>
                <w:szCs w:val="8"/>
              </w:rPr>
              <w:t>2</w:t>
            </w:r>
            <w:r>
              <w:rPr>
                <w:spacing w:val="-13"/>
                <w:position w:val="-2"/>
                <w:sz w:val="8"/>
                <w:szCs w:val="8"/>
              </w:rPr>
              <w:t xml:space="preserve"> </w:t>
            </w:r>
            <w:r>
              <w:rPr>
                <w:spacing w:val="6"/>
                <w:sz w:val="17"/>
                <w:szCs w:val="17"/>
              </w:rPr>
              <w:t>、维生</w:t>
            </w:r>
            <w:r>
              <w:rPr>
                <w:spacing w:val="4"/>
                <w:sz w:val="17"/>
                <w:szCs w:val="17"/>
              </w:rPr>
              <w:t>素B</w:t>
            </w:r>
            <w:r>
              <w:rPr>
                <w:spacing w:val="4"/>
                <w:position w:val="-2"/>
                <w:sz w:val="8"/>
                <w:szCs w:val="8"/>
              </w:rPr>
              <w:t>6</w:t>
            </w:r>
            <w:r>
              <w:rPr>
                <w:spacing w:val="4"/>
                <w:sz w:val="17"/>
                <w:szCs w:val="17"/>
              </w:rPr>
              <w:t>、烟酸(烟酰胺)、泛酸、胆碱、生物素、维生素C、二十二碳六烯酸、脲酶活性定性、铅(以</w:t>
            </w:r>
            <w:r>
              <w:rPr>
                <w:sz w:val="17"/>
                <w:szCs w:val="17"/>
              </w:rPr>
              <w:t>Pb</w:t>
            </w:r>
            <w:r>
              <w:rPr>
                <w:spacing w:val="4"/>
                <w:sz w:val="17"/>
                <w:szCs w:val="17"/>
              </w:rPr>
              <w:t>计)、总砷(以</w:t>
            </w:r>
            <w:r>
              <w:rPr>
                <w:sz w:val="17"/>
                <w:szCs w:val="17"/>
              </w:rPr>
              <w:t>As</w:t>
            </w:r>
            <w:r>
              <w:rPr>
                <w:spacing w:val="8"/>
                <w:sz w:val="17"/>
                <w:szCs w:val="17"/>
              </w:rPr>
              <w:t>计)、硝酸盐(以</w:t>
            </w:r>
            <w:r>
              <w:rPr>
                <w:sz w:val="17"/>
                <w:szCs w:val="17"/>
              </w:rPr>
              <w:t>NaNO</w:t>
            </w:r>
            <w:r>
              <w:rPr>
                <w:spacing w:val="8"/>
                <w:position w:val="-2"/>
                <w:sz w:val="8"/>
                <w:szCs w:val="8"/>
              </w:rPr>
              <w:t>3</w:t>
            </w:r>
            <w:r>
              <w:rPr>
                <w:spacing w:val="8"/>
                <w:sz w:val="17"/>
                <w:szCs w:val="17"/>
              </w:rPr>
              <w:t>计)、亚硝酸盐(以</w:t>
            </w:r>
            <w:r>
              <w:rPr>
                <w:sz w:val="17"/>
                <w:szCs w:val="17"/>
              </w:rPr>
              <w:t>NaNO</w:t>
            </w:r>
            <w:r>
              <w:rPr>
                <w:spacing w:val="8"/>
                <w:position w:val="-2"/>
                <w:sz w:val="8"/>
                <w:szCs w:val="8"/>
              </w:rPr>
              <w:t>2</w:t>
            </w:r>
            <w:r>
              <w:rPr>
                <w:spacing w:val="8"/>
                <w:sz w:val="17"/>
                <w:szCs w:val="17"/>
              </w:rPr>
              <w:t>计)、黄曲霉毒素M</w:t>
            </w:r>
            <w:r>
              <w:rPr>
                <w:spacing w:val="8"/>
                <w:position w:val="-2"/>
                <w:sz w:val="8"/>
                <w:szCs w:val="8"/>
              </w:rPr>
              <w:t>1</w:t>
            </w:r>
            <w:r>
              <w:rPr>
                <w:spacing w:val="-14"/>
                <w:position w:val="-2"/>
                <w:sz w:val="8"/>
                <w:szCs w:val="8"/>
              </w:rPr>
              <w:t xml:space="preserve"> </w:t>
            </w:r>
            <w:r>
              <w:rPr>
                <w:spacing w:val="8"/>
                <w:sz w:val="17"/>
                <w:szCs w:val="17"/>
              </w:rPr>
              <w:t>、黄曲霉毒素B</w:t>
            </w:r>
            <w:r>
              <w:rPr>
                <w:spacing w:val="8"/>
                <w:position w:val="-2"/>
                <w:sz w:val="8"/>
                <w:szCs w:val="8"/>
              </w:rPr>
              <w:t>1</w:t>
            </w:r>
            <w:r>
              <w:rPr>
                <w:spacing w:val="-13"/>
                <w:position w:val="-2"/>
                <w:sz w:val="8"/>
                <w:szCs w:val="8"/>
              </w:rPr>
              <w:t xml:space="preserve"> </w:t>
            </w:r>
            <w:r>
              <w:rPr>
                <w:spacing w:val="8"/>
                <w:sz w:val="17"/>
                <w:szCs w:val="17"/>
              </w:rPr>
              <w:t>、大肠菌群、沙门</w:t>
            </w:r>
            <w:r>
              <w:rPr>
                <w:spacing w:val="7"/>
                <w:sz w:val="17"/>
                <w:szCs w:val="17"/>
              </w:rPr>
              <w:t>氏菌、金</w:t>
            </w:r>
            <w:r>
              <w:rPr>
                <w:spacing w:val="9"/>
                <w:sz w:val="17"/>
                <w:szCs w:val="17"/>
              </w:rPr>
              <w:t>黄色葡萄球菌</w:t>
            </w:r>
          </w:p>
        </w:tc>
      </w:tr>
    </w:tbl>
    <w:p w14:paraId="15541196">
      <w:pPr>
        <w:rPr>
          <w:rFonts w:ascii="Arial"/>
          <w:sz w:val="21"/>
        </w:rPr>
      </w:pPr>
    </w:p>
    <w:p w14:paraId="681E747B">
      <w:pPr>
        <w:rPr>
          <w:rFonts w:ascii="Arial" w:hAnsi="Arial" w:eastAsia="Arial" w:cs="Arial"/>
          <w:sz w:val="21"/>
          <w:szCs w:val="21"/>
        </w:rPr>
        <w:sectPr>
          <w:pgSz w:w="16838" w:h="11906"/>
          <w:pgMar w:top="1011" w:right="829" w:bottom="400" w:left="366" w:header="567" w:footer="567" w:gutter="0"/>
          <w:pgNumType w:fmt="decimal"/>
          <w:cols w:space="720" w:num="1"/>
        </w:sectPr>
      </w:pPr>
    </w:p>
    <w:p w14:paraId="645311B7">
      <w:pPr>
        <w:spacing w:before="18"/>
      </w:pPr>
    </w:p>
    <w:p w14:paraId="091F1E91">
      <w:pPr>
        <w:spacing w:before="18"/>
      </w:pPr>
    </w:p>
    <w:tbl>
      <w:tblPr>
        <w:tblStyle w:val="50"/>
        <w:tblW w:w="15173" w:type="dxa"/>
        <w:tblInd w:w="46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59"/>
        <w:gridCol w:w="942"/>
        <w:gridCol w:w="1360"/>
        <w:gridCol w:w="1581"/>
        <w:gridCol w:w="1586"/>
        <w:gridCol w:w="682"/>
        <w:gridCol w:w="8563"/>
      </w:tblGrid>
      <w:tr w14:paraId="0820D2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459" w:type="dxa"/>
            <w:vAlign w:val="top"/>
          </w:tcPr>
          <w:p w14:paraId="4A2CB284">
            <w:pPr>
              <w:spacing w:before="241" w:line="234" w:lineRule="auto"/>
              <w:ind w:left="52"/>
              <w:rPr>
                <w:rFonts w:ascii="黑体" w:hAnsi="黑体" w:eastAsia="黑体" w:cs="黑体"/>
                <w:sz w:val="17"/>
                <w:szCs w:val="17"/>
              </w:rPr>
            </w:pPr>
            <w:r>
              <w:rPr>
                <w:rFonts w:ascii="黑体" w:hAnsi="黑体" w:eastAsia="黑体" w:cs="黑体"/>
                <w:spacing w:val="6"/>
                <w:sz w:val="17"/>
                <w:szCs w:val="17"/>
              </w:rPr>
              <w:t>序号</w:t>
            </w:r>
          </w:p>
        </w:tc>
        <w:tc>
          <w:tcPr>
            <w:tcW w:w="942" w:type="dxa"/>
            <w:vAlign w:val="top"/>
          </w:tcPr>
          <w:p w14:paraId="65D3049F">
            <w:pPr>
              <w:spacing w:before="90" w:line="232" w:lineRule="auto"/>
              <w:ind w:left="111"/>
              <w:rPr>
                <w:rFonts w:ascii="黑体" w:hAnsi="黑体" w:eastAsia="黑体" w:cs="黑体"/>
                <w:sz w:val="17"/>
                <w:szCs w:val="17"/>
              </w:rPr>
            </w:pPr>
            <w:r>
              <w:rPr>
                <w:rFonts w:ascii="黑体" w:hAnsi="黑体" w:eastAsia="黑体" w:cs="黑体"/>
                <w:spacing w:val="8"/>
                <w:sz w:val="17"/>
                <w:szCs w:val="17"/>
              </w:rPr>
              <w:t>食品大类</w:t>
            </w:r>
          </w:p>
          <w:p w14:paraId="53F856C0">
            <w:pPr>
              <w:spacing w:before="86" w:line="227" w:lineRule="auto"/>
              <w:ind w:left="237"/>
              <w:rPr>
                <w:rFonts w:ascii="黑体" w:hAnsi="黑体" w:eastAsia="黑体" w:cs="黑体"/>
                <w:sz w:val="17"/>
                <w:szCs w:val="17"/>
              </w:rPr>
            </w:pPr>
            <w:r>
              <w:rPr>
                <w:rFonts w:ascii="黑体" w:hAnsi="黑体" w:eastAsia="黑体" w:cs="黑体"/>
                <w:spacing w:val="-4"/>
                <w:sz w:val="17"/>
                <w:szCs w:val="17"/>
              </w:rPr>
              <w:t>(一级)</w:t>
            </w:r>
          </w:p>
        </w:tc>
        <w:tc>
          <w:tcPr>
            <w:tcW w:w="1360" w:type="dxa"/>
            <w:vAlign w:val="top"/>
          </w:tcPr>
          <w:p w14:paraId="07645E67">
            <w:pPr>
              <w:spacing w:before="90" w:line="232" w:lineRule="auto"/>
              <w:ind w:left="321"/>
              <w:rPr>
                <w:rFonts w:ascii="黑体" w:hAnsi="黑体" w:eastAsia="黑体" w:cs="黑体"/>
                <w:sz w:val="17"/>
                <w:szCs w:val="17"/>
              </w:rPr>
            </w:pPr>
            <w:r>
              <w:rPr>
                <w:rFonts w:ascii="黑体" w:hAnsi="黑体" w:eastAsia="黑体" w:cs="黑体"/>
                <w:spacing w:val="8"/>
                <w:sz w:val="17"/>
                <w:szCs w:val="17"/>
              </w:rPr>
              <w:t>食品亚类</w:t>
            </w:r>
          </w:p>
          <w:p w14:paraId="48EFD936">
            <w:pPr>
              <w:spacing w:before="86" w:line="227" w:lineRule="auto"/>
              <w:ind w:left="444"/>
              <w:rPr>
                <w:rFonts w:ascii="黑体" w:hAnsi="黑体" w:eastAsia="黑体" w:cs="黑体"/>
                <w:sz w:val="17"/>
                <w:szCs w:val="17"/>
              </w:rPr>
            </w:pPr>
            <w:r>
              <w:rPr>
                <w:rFonts w:ascii="黑体" w:hAnsi="黑体" w:eastAsia="黑体" w:cs="黑体"/>
                <w:spacing w:val="-3"/>
                <w:sz w:val="17"/>
                <w:szCs w:val="17"/>
              </w:rPr>
              <w:t>(二级)</w:t>
            </w:r>
          </w:p>
        </w:tc>
        <w:tc>
          <w:tcPr>
            <w:tcW w:w="1581" w:type="dxa"/>
            <w:vAlign w:val="top"/>
          </w:tcPr>
          <w:p w14:paraId="784924B8">
            <w:pPr>
              <w:spacing w:before="90" w:line="232" w:lineRule="auto"/>
              <w:ind w:left="433"/>
              <w:rPr>
                <w:rFonts w:ascii="黑体" w:hAnsi="黑体" w:eastAsia="黑体" w:cs="黑体"/>
                <w:sz w:val="17"/>
                <w:szCs w:val="17"/>
              </w:rPr>
            </w:pPr>
            <w:r>
              <w:rPr>
                <w:rFonts w:ascii="黑体" w:hAnsi="黑体" w:eastAsia="黑体" w:cs="黑体"/>
                <w:spacing w:val="8"/>
                <w:sz w:val="17"/>
                <w:szCs w:val="17"/>
              </w:rPr>
              <w:t>食品品种</w:t>
            </w:r>
          </w:p>
          <w:p w14:paraId="3B7939B8">
            <w:pPr>
              <w:spacing w:before="86" w:line="227" w:lineRule="auto"/>
              <w:ind w:left="558"/>
              <w:rPr>
                <w:rFonts w:ascii="黑体" w:hAnsi="黑体" w:eastAsia="黑体" w:cs="黑体"/>
                <w:sz w:val="17"/>
                <w:szCs w:val="17"/>
              </w:rPr>
            </w:pPr>
            <w:r>
              <w:rPr>
                <w:rFonts w:ascii="黑体" w:hAnsi="黑体" w:eastAsia="黑体" w:cs="黑体"/>
                <w:spacing w:val="-4"/>
                <w:sz w:val="17"/>
                <w:szCs w:val="17"/>
              </w:rPr>
              <w:t>(三级)</w:t>
            </w:r>
          </w:p>
        </w:tc>
        <w:tc>
          <w:tcPr>
            <w:tcW w:w="1586" w:type="dxa"/>
            <w:vAlign w:val="top"/>
          </w:tcPr>
          <w:p w14:paraId="3B1EECD2">
            <w:pPr>
              <w:spacing w:before="90" w:line="232" w:lineRule="auto"/>
              <w:ind w:left="436"/>
              <w:rPr>
                <w:rFonts w:ascii="黑体" w:hAnsi="黑体" w:eastAsia="黑体" w:cs="黑体"/>
                <w:sz w:val="17"/>
                <w:szCs w:val="17"/>
              </w:rPr>
            </w:pPr>
            <w:r>
              <w:rPr>
                <w:rFonts w:ascii="黑体" w:hAnsi="黑体" w:eastAsia="黑体" w:cs="黑体"/>
                <w:spacing w:val="8"/>
                <w:sz w:val="17"/>
                <w:szCs w:val="17"/>
              </w:rPr>
              <w:t>食品细类</w:t>
            </w:r>
          </w:p>
          <w:p w14:paraId="153FA14D">
            <w:pPr>
              <w:spacing w:before="86" w:line="227" w:lineRule="auto"/>
              <w:ind w:left="561"/>
              <w:rPr>
                <w:rFonts w:ascii="黑体" w:hAnsi="黑体" w:eastAsia="黑体" w:cs="黑体"/>
                <w:sz w:val="17"/>
                <w:szCs w:val="17"/>
              </w:rPr>
            </w:pPr>
            <w:r>
              <w:rPr>
                <w:rFonts w:ascii="黑体" w:hAnsi="黑体" w:eastAsia="黑体" w:cs="黑体"/>
                <w:spacing w:val="-4"/>
                <w:sz w:val="17"/>
                <w:szCs w:val="17"/>
              </w:rPr>
              <w:t>(四级)</w:t>
            </w:r>
          </w:p>
        </w:tc>
        <w:tc>
          <w:tcPr>
            <w:tcW w:w="682" w:type="dxa"/>
            <w:vAlign w:val="top"/>
          </w:tcPr>
          <w:p w14:paraId="06B5CAB6">
            <w:pPr>
              <w:spacing w:before="89" w:line="233" w:lineRule="auto"/>
              <w:ind w:left="166"/>
              <w:rPr>
                <w:rFonts w:ascii="黑体" w:hAnsi="黑体" w:eastAsia="黑体" w:cs="黑体"/>
                <w:sz w:val="17"/>
                <w:szCs w:val="17"/>
              </w:rPr>
            </w:pPr>
            <w:r>
              <w:rPr>
                <w:rFonts w:ascii="黑体" w:hAnsi="黑体" w:eastAsia="黑体" w:cs="黑体"/>
                <w:spacing w:val="6"/>
                <w:sz w:val="17"/>
                <w:szCs w:val="17"/>
              </w:rPr>
              <w:t>风险</w:t>
            </w:r>
          </w:p>
          <w:p w14:paraId="244F0E19">
            <w:pPr>
              <w:spacing w:before="85" w:line="227" w:lineRule="auto"/>
              <w:ind w:left="163"/>
              <w:rPr>
                <w:rFonts w:ascii="黑体" w:hAnsi="黑体" w:eastAsia="黑体" w:cs="黑体"/>
                <w:sz w:val="17"/>
                <w:szCs w:val="17"/>
              </w:rPr>
            </w:pPr>
            <w:r>
              <w:rPr>
                <w:rFonts w:ascii="黑体" w:hAnsi="黑体" w:eastAsia="黑体" w:cs="黑体"/>
                <w:spacing w:val="7"/>
                <w:sz w:val="17"/>
                <w:szCs w:val="17"/>
              </w:rPr>
              <w:t>等级</w:t>
            </w:r>
          </w:p>
        </w:tc>
        <w:tc>
          <w:tcPr>
            <w:tcW w:w="8563" w:type="dxa"/>
            <w:vAlign w:val="top"/>
          </w:tcPr>
          <w:p w14:paraId="12193678">
            <w:pPr>
              <w:spacing w:before="241" w:line="232" w:lineRule="auto"/>
              <w:ind w:left="3744"/>
              <w:rPr>
                <w:rFonts w:ascii="黑体" w:hAnsi="黑体" w:eastAsia="黑体" w:cs="黑体"/>
                <w:sz w:val="17"/>
                <w:szCs w:val="17"/>
              </w:rPr>
            </w:pPr>
            <w:r>
              <w:rPr>
                <w:rFonts w:ascii="黑体" w:hAnsi="黑体" w:eastAsia="黑体" w:cs="黑体"/>
                <w:spacing w:val="8"/>
                <w:sz w:val="17"/>
                <w:szCs w:val="17"/>
              </w:rPr>
              <w:t>监督抽检项目</w:t>
            </w:r>
          </w:p>
        </w:tc>
      </w:tr>
      <w:tr w14:paraId="2F9DA1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4" w:hRule="atLeast"/>
        </w:trPr>
        <w:tc>
          <w:tcPr>
            <w:tcW w:w="459" w:type="dxa"/>
            <w:vAlign w:val="top"/>
          </w:tcPr>
          <w:p w14:paraId="4B181500">
            <w:pPr>
              <w:rPr>
                <w:rFonts w:ascii="Arial"/>
                <w:sz w:val="21"/>
              </w:rPr>
            </w:pPr>
          </w:p>
        </w:tc>
        <w:tc>
          <w:tcPr>
            <w:tcW w:w="942" w:type="dxa"/>
            <w:vAlign w:val="top"/>
          </w:tcPr>
          <w:p w14:paraId="013A9B0A">
            <w:pPr>
              <w:rPr>
                <w:rFonts w:ascii="Arial"/>
                <w:sz w:val="21"/>
              </w:rPr>
            </w:pPr>
          </w:p>
        </w:tc>
        <w:tc>
          <w:tcPr>
            <w:tcW w:w="1360" w:type="dxa"/>
            <w:vAlign w:val="top"/>
          </w:tcPr>
          <w:p w14:paraId="719FA8AA">
            <w:pPr>
              <w:rPr>
                <w:rFonts w:ascii="Arial"/>
                <w:sz w:val="21"/>
              </w:rPr>
            </w:pPr>
          </w:p>
        </w:tc>
        <w:tc>
          <w:tcPr>
            <w:tcW w:w="1581" w:type="dxa"/>
            <w:vAlign w:val="top"/>
          </w:tcPr>
          <w:p w14:paraId="71187F82">
            <w:pPr>
              <w:rPr>
                <w:rFonts w:ascii="Arial"/>
                <w:sz w:val="21"/>
              </w:rPr>
            </w:pPr>
          </w:p>
        </w:tc>
        <w:tc>
          <w:tcPr>
            <w:tcW w:w="1586" w:type="dxa"/>
            <w:vAlign w:val="top"/>
          </w:tcPr>
          <w:p w14:paraId="09FA9251">
            <w:pPr>
              <w:spacing w:line="328" w:lineRule="auto"/>
              <w:rPr>
                <w:rFonts w:ascii="Arial"/>
                <w:sz w:val="21"/>
              </w:rPr>
            </w:pPr>
          </w:p>
          <w:p w14:paraId="429C7888">
            <w:pPr>
              <w:pStyle w:val="51"/>
              <w:spacing w:before="56" w:line="227" w:lineRule="auto"/>
              <w:ind w:left="262"/>
              <w:rPr>
                <w:sz w:val="17"/>
                <w:szCs w:val="17"/>
              </w:rPr>
            </w:pPr>
            <w:r>
              <w:rPr>
                <w:spacing w:val="7"/>
                <w:sz w:val="17"/>
                <w:szCs w:val="17"/>
              </w:rPr>
              <w:t>运动营养食品</w:t>
            </w:r>
          </w:p>
        </w:tc>
        <w:tc>
          <w:tcPr>
            <w:tcW w:w="682" w:type="dxa"/>
            <w:vAlign w:val="top"/>
          </w:tcPr>
          <w:p w14:paraId="18F73649">
            <w:pPr>
              <w:spacing w:line="329" w:lineRule="auto"/>
              <w:rPr>
                <w:rFonts w:ascii="Arial"/>
                <w:sz w:val="21"/>
              </w:rPr>
            </w:pPr>
          </w:p>
          <w:p w14:paraId="7066CB9B">
            <w:pPr>
              <w:pStyle w:val="51"/>
              <w:spacing w:before="55" w:line="230" w:lineRule="auto"/>
              <w:ind w:left="267"/>
              <w:rPr>
                <w:sz w:val="17"/>
                <w:szCs w:val="17"/>
              </w:rPr>
            </w:pPr>
            <w:r>
              <w:rPr>
                <w:sz w:val="17"/>
                <w:szCs w:val="17"/>
              </w:rPr>
              <w:t>高</w:t>
            </w:r>
          </w:p>
        </w:tc>
        <w:tc>
          <w:tcPr>
            <w:tcW w:w="8563" w:type="dxa"/>
            <w:vAlign w:val="top"/>
          </w:tcPr>
          <w:p w14:paraId="45DACC81">
            <w:pPr>
              <w:pStyle w:val="51"/>
              <w:spacing w:before="87" w:line="292" w:lineRule="auto"/>
              <w:ind w:left="37" w:firstLine="6"/>
              <w:rPr>
                <w:sz w:val="17"/>
                <w:szCs w:val="17"/>
              </w:rPr>
            </w:pPr>
            <w:r>
              <w:rPr>
                <w:spacing w:val="6"/>
                <w:sz w:val="17"/>
                <w:szCs w:val="17"/>
              </w:rPr>
              <w:t>咖啡因、肌酸、肽类、维生素A、维生素D、维生素E、维生素B</w:t>
            </w:r>
            <w:r>
              <w:rPr>
                <w:spacing w:val="6"/>
                <w:position w:val="-2"/>
                <w:sz w:val="8"/>
                <w:szCs w:val="8"/>
              </w:rPr>
              <w:t>1</w:t>
            </w:r>
            <w:r>
              <w:rPr>
                <w:spacing w:val="-3"/>
                <w:position w:val="-2"/>
                <w:sz w:val="8"/>
                <w:szCs w:val="8"/>
              </w:rPr>
              <w:t xml:space="preserve"> </w:t>
            </w:r>
            <w:r>
              <w:rPr>
                <w:spacing w:val="6"/>
                <w:sz w:val="17"/>
                <w:szCs w:val="17"/>
              </w:rPr>
              <w:t>、维生素B</w:t>
            </w:r>
            <w:r>
              <w:rPr>
                <w:spacing w:val="6"/>
                <w:position w:val="-2"/>
                <w:sz w:val="8"/>
                <w:szCs w:val="8"/>
              </w:rPr>
              <w:t>2</w:t>
            </w:r>
            <w:r>
              <w:rPr>
                <w:spacing w:val="-13"/>
                <w:position w:val="-2"/>
                <w:sz w:val="8"/>
                <w:szCs w:val="8"/>
              </w:rPr>
              <w:t xml:space="preserve"> </w:t>
            </w:r>
            <w:r>
              <w:rPr>
                <w:spacing w:val="6"/>
                <w:sz w:val="17"/>
                <w:szCs w:val="17"/>
              </w:rPr>
              <w:t>、维生素B</w:t>
            </w:r>
            <w:r>
              <w:rPr>
                <w:spacing w:val="6"/>
                <w:position w:val="-2"/>
                <w:sz w:val="8"/>
                <w:szCs w:val="8"/>
              </w:rPr>
              <w:t>6</w:t>
            </w:r>
            <w:r>
              <w:rPr>
                <w:spacing w:val="-14"/>
                <w:position w:val="-2"/>
                <w:sz w:val="8"/>
                <w:szCs w:val="8"/>
              </w:rPr>
              <w:t xml:space="preserve"> </w:t>
            </w:r>
            <w:r>
              <w:rPr>
                <w:spacing w:val="6"/>
                <w:sz w:val="17"/>
                <w:szCs w:val="17"/>
              </w:rPr>
              <w:t>、维生素B</w:t>
            </w:r>
            <w:r>
              <w:rPr>
                <w:spacing w:val="6"/>
                <w:position w:val="-2"/>
                <w:sz w:val="8"/>
                <w:szCs w:val="8"/>
              </w:rPr>
              <w:t>12</w:t>
            </w:r>
            <w:r>
              <w:rPr>
                <w:spacing w:val="-14"/>
                <w:position w:val="-2"/>
                <w:sz w:val="8"/>
                <w:szCs w:val="8"/>
              </w:rPr>
              <w:t xml:space="preserve"> </w:t>
            </w:r>
            <w:r>
              <w:rPr>
                <w:spacing w:val="6"/>
                <w:sz w:val="17"/>
                <w:szCs w:val="17"/>
              </w:rPr>
              <w:t>、维生素C、</w:t>
            </w:r>
            <w:r>
              <w:rPr>
                <w:spacing w:val="8"/>
                <w:sz w:val="17"/>
                <w:szCs w:val="17"/>
              </w:rPr>
              <w:t>叶酸、烟酸、生物素、泛酸、钙、钠、钾、镁、铁、</w:t>
            </w:r>
            <w:r>
              <w:rPr>
                <w:spacing w:val="7"/>
                <w:sz w:val="17"/>
                <w:szCs w:val="17"/>
              </w:rPr>
              <w:t>锌、硒、铜、碘、锰、磷、钼、铬、左旋肉碱、牛磺酸、铅(以</w:t>
            </w:r>
            <w:r>
              <w:rPr>
                <w:sz w:val="17"/>
                <w:szCs w:val="17"/>
              </w:rPr>
              <w:t>Pb</w:t>
            </w:r>
            <w:r>
              <w:rPr>
                <w:spacing w:val="7"/>
                <w:sz w:val="17"/>
                <w:szCs w:val="17"/>
              </w:rPr>
              <w:t>计)、总砷(以</w:t>
            </w:r>
            <w:r>
              <w:rPr>
                <w:sz w:val="17"/>
                <w:szCs w:val="17"/>
              </w:rPr>
              <w:t>As</w:t>
            </w:r>
            <w:r>
              <w:rPr>
                <w:spacing w:val="7"/>
                <w:sz w:val="17"/>
                <w:szCs w:val="17"/>
              </w:rPr>
              <w:t>计)、黄曲霉毒素M</w:t>
            </w:r>
            <w:r>
              <w:rPr>
                <w:spacing w:val="7"/>
                <w:position w:val="-2"/>
                <w:sz w:val="8"/>
                <w:szCs w:val="8"/>
              </w:rPr>
              <w:t>1</w:t>
            </w:r>
            <w:r>
              <w:rPr>
                <w:spacing w:val="-13"/>
                <w:position w:val="-2"/>
                <w:sz w:val="8"/>
                <w:szCs w:val="8"/>
              </w:rPr>
              <w:t xml:space="preserve"> </w:t>
            </w:r>
            <w:r>
              <w:rPr>
                <w:spacing w:val="7"/>
                <w:sz w:val="17"/>
                <w:szCs w:val="17"/>
              </w:rPr>
              <w:t>、黄曲霉毒素B</w:t>
            </w:r>
            <w:r>
              <w:rPr>
                <w:spacing w:val="7"/>
                <w:position w:val="-2"/>
                <w:sz w:val="8"/>
                <w:szCs w:val="8"/>
              </w:rPr>
              <w:t>1</w:t>
            </w:r>
            <w:r>
              <w:rPr>
                <w:spacing w:val="-16"/>
                <w:position w:val="-2"/>
                <w:sz w:val="8"/>
                <w:szCs w:val="8"/>
              </w:rPr>
              <w:t xml:space="preserve"> </w:t>
            </w:r>
            <w:r>
              <w:rPr>
                <w:spacing w:val="7"/>
                <w:sz w:val="17"/>
                <w:szCs w:val="17"/>
              </w:rPr>
              <w:t>、沙门氏菌、金黄色葡</w:t>
            </w:r>
            <w:r>
              <w:rPr>
                <w:spacing w:val="6"/>
                <w:sz w:val="17"/>
                <w:szCs w:val="17"/>
              </w:rPr>
              <w:t>萄球菌</w:t>
            </w:r>
          </w:p>
        </w:tc>
      </w:tr>
      <w:tr w14:paraId="25360E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4" w:hRule="atLeast"/>
        </w:trPr>
        <w:tc>
          <w:tcPr>
            <w:tcW w:w="459" w:type="dxa"/>
            <w:vMerge w:val="restart"/>
            <w:tcBorders>
              <w:bottom w:val="nil"/>
            </w:tcBorders>
            <w:vAlign w:val="top"/>
          </w:tcPr>
          <w:p w14:paraId="6BAE5F7A">
            <w:pPr>
              <w:spacing w:line="253" w:lineRule="auto"/>
              <w:rPr>
                <w:rFonts w:ascii="Arial"/>
                <w:sz w:val="21"/>
              </w:rPr>
            </w:pPr>
          </w:p>
          <w:p w14:paraId="34817C25">
            <w:pPr>
              <w:spacing w:line="253" w:lineRule="auto"/>
              <w:rPr>
                <w:rFonts w:ascii="Arial"/>
                <w:sz w:val="21"/>
              </w:rPr>
            </w:pPr>
          </w:p>
          <w:p w14:paraId="5CA6F414">
            <w:pPr>
              <w:spacing w:line="253" w:lineRule="auto"/>
              <w:rPr>
                <w:rFonts w:ascii="Arial"/>
                <w:sz w:val="21"/>
              </w:rPr>
            </w:pPr>
          </w:p>
          <w:p w14:paraId="2EBB3EF1">
            <w:pPr>
              <w:spacing w:line="253" w:lineRule="auto"/>
              <w:rPr>
                <w:rFonts w:ascii="Arial"/>
                <w:sz w:val="21"/>
              </w:rPr>
            </w:pPr>
          </w:p>
          <w:p w14:paraId="4B79D8FE">
            <w:pPr>
              <w:spacing w:line="253" w:lineRule="auto"/>
              <w:rPr>
                <w:rFonts w:ascii="Arial"/>
                <w:sz w:val="21"/>
              </w:rPr>
            </w:pPr>
          </w:p>
          <w:p w14:paraId="5C91D77B">
            <w:pPr>
              <w:spacing w:line="254" w:lineRule="auto"/>
              <w:rPr>
                <w:rFonts w:ascii="Arial"/>
                <w:sz w:val="21"/>
              </w:rPr>
            </w:pPr>
          </w:p>
          <w:p w14:paraId="2BEC8D3A">
            <w:pPr>
              <w:spacing w:line="254" w:lineRule="auto"/>
              <w:rPr>
                <w:rFonts w:ascii="Arial"/>
                <w:sz w:val="21"/>
              </w:rPr>
            </w:pPr>
          </w:p>
          <w:p w14:paraId="3D0F201B">
            <w:pPr>
              <w:spacing w:line="254" w:lineRule="auto"/>
              <w:rPr>
                <w:rFonts w:ascii="Arial"/>
                <w:sz w:val="21"/>
              </w:rPr>
            </w:pPr>
          </w:p>
          <w:p w14:paraId="23100E19">
            <w:pPr>
              <w:spacing w:line="254" w:lineRule="auto"/>
              <w:rPr>
                <w:rFonts w:ascii="Arial"/>
                <w:sz w:val="21"/>
              </w:rPr>
            </w:pPr>
          </w:p>
          <w:p w14:paraId="6D820C39">
            <w:pPr>
              <w:spacing w:line="254" w:lineRule="auto"/>
              <w:rPr>
                <w:rFonts w:ascii="Arial"/>
                <w:sz w:val="21"/>
              </w:rPr>
            </w:pPr>
          </w:p>
          <w:p w14:paraId="13E6F8A1">
            <w:pPr>
              <w:spacing w:line="254" w:lineRule="auto"/>
              <w:rPr>
                <w:rFonts w:ascii="Arial"/>
                <w:sz w:val="21"/>
              </w:rPr>
            </w:pPr>
          </w:p>
          <w:p w14:paraId="535F2E8D">
            <w:pPr>
              <w:spacing w:line="254" w:lineRule="auto"/>
              <w:rPr>
                <w:rFonts w:ascii="Arial"/>
                <w:sz w:val="21"/>
              </w:rPr>
            </w:pPr>
          </w:p>
          <w:p w14:paraId="4CE35F08">
            <w:pPr>
              <w:spacing w:line="254" w:lineRule="auto"/>
              <w:rPr>
                <w:rFonts w:ascii="Arial"/>
                <w:sz w:val="21"/>
              </w:rPr>
            </w:pPr>
          </w:p>
          <w:p w14:paraId="6FCCB733">
            <w:pPr>
              <w:pStyle w:val="51"/>
              <w:spacing w:before="55" w:line="227" w:lineRule="exact"/>
              <w:ind w:left="145"/>
              <w:rPr>
                <w:sz w:val="17"/>
                <w:szCs w:val="17"/>
              </w:rPr>
            </w:pPr>
            <w:r>
              <w:rPr>
                <w:position w:val="1"/>
                <w:sz w:val="17"/>
                <w:szCs w:val="17"/>
              </w:rPr>
              <w:t>29</w:t>
            </w:r>
          </w:p>
        </w:tc>
        <w:tc>
          <w:tcPr>
            <w:tcW w:w="942" w:type="dxa"/>
            <w:vMerge w:val="restart"/>
            <w:tcBorders>
              <w:bottom w:val="nil"/>
            </w:tcBorders>
            <w:vAlign w:val="top"/>
          </w:tcPr>
          <w:p w14:paraId="35536527">
            <w:pPr>
              <w:spacing w:line="253" w:lineRule="auto"/>
              <w:rPr>
                <w:rFonts w:ascii="Arial"/>
                <w:sz w:val="21"/>
              </w:rPr>
            </w:pPr>
          </w:p>
          <w:p w14:paraId="5A744FCF">
            <w:pPr>
              <w:spacing w:line="253" w:lineRule="auto"/>
              <w:rPr>
                <w:rFonts w:ascii="Arial"/>
                <w:sz w:val="21"/>
              </w:rPr>
            </w:pPr>
          </w:p>
          <w:p w14:paraId="0BAFFD28">
            <w:pPr>
              <w:spacing w:line="253" w:lineRule="auto"/>
              <w:rPr>
                <w:rFonts w:ascii="Arial"/>
                <w:sz w:val="21"/>
              </w:rPr>
            </w:pPr>
          </w:p>
          <w:p w14:paraId="7F3A5130">
            <w:pPr>
              <w:spacing w:line="253" w:lineRule="auto"/>
              <w:rPr>
                <w:rFonts w:ascii="Arial"/>
                <w:sz w:val="21"/>
              </w:rPr>
            </w:pPr>
          </w:p>
          <w:p w14:paraId="1189BB94">
            <w:pPr>
              <w:spacing w:line="253" w:lineRule="auto"/>
              <w:rPr>
                <w:rFonts w:ascii="Arial"/>
                <w:sz w:val="21"/>
              </w:rPr>
            </w:pPr>
          </w:p>
          <w:p w14:paraId="712DFC68">
            <w:pPr>
              <w:spacing w:line="253" w:lineRule="auto"/>
              <w:rPr>
                <w:rFonts w:ascii="Arial"/>
                <w:sz w:val="21"/>
              </w:rPr>
            </w:pPr>
          </w:p>
          <w:p w14:paraId="16785A1F">
            <w:pPr>
              <w:spacing w:line="254" w:lineRule="auto"/>
              <w:rPr>
                <w:rFonts w:ascii="Arial"/>
                <w:sz w:val="21"/>
              </w:rPr>
            </w:pPr>
          </w:p>
          <w:p w14:paraId="3941DACD">
            <w:pPr>
              <w:spacing w:line="254" w:lineRule="auto"/>
              <w:rPr>
                <w:rFonts w:ascii="Arial"/>
                <w:sz w:val="21"/>
              </w:rPr>
            </w:pPr>
          </w:p>
          <w:p w14:paraId="66DCC17A">
            <w:pPr>
              <w:spacing w:line="254" w:lineRule="auto"/>
              <w:rPr>
                <w:rFonts w:ascii="Arial"/>
                <w:sz w:val="21"/>
              </w:rPr>
            </w:pPr>
          </w:p>
          <w:p w14:paraId="1AA0BC19">
            <w:pPr>
              <w:spacing w:line="254" w:lineRule="auto"/>
              <w:rPr>
                <w:rFonts w:ascii="Arial"/>
                <w:sz w:val="21"/>
              </w:rPr>
            </w:pPr>
          </w:p>
          <w:p w14:paraId="66AC97A3">
            <w:pPr>
              <w:spacing w:line="254" w:lineRule="auto"/>
              <w:rPr>
                <w:rFonts w:ascii="Arial"/>
                <w:sz w:val="21"/>
              </w:rPr>
            </w:pPr>
          </w:p>
          <w:p w14:paraId="74B0F965">
            <w:pPr>
              <w:spacing w:line="254" w:lineRule="auto"/>
              <w:rPr>
                <w:rFonts w:ascii="Arial"/>
                <w:sz w:val="21"/>
              </w:rPr>
            </w:pPr>
          </w:p>
          <w:p w14:paraId="34F1351B">
            <w:pPr>
              <w:spacing w:line="254" w:lineRule="auto"/>
              <w:rPr>
                <w:rFonts w:ascii="Arial"/>
                <w:sz w:val="21"/>
              </w:rPr>
            </w:pPr>
          </w:p>
          <w:p w14:paraId="52085900">
            <w:pPr>
              <w:pStyle w:val="51"/>
              <w:spacing w:before="55" w:line="229" w:lineRule="auto"/>
              <w:ind w:left="119"/>
              <w:rPr>
                <w:sz w:val="17"/>
                <w:szCs w:val="17"/>
              </w:rPr>
            </w:pPr>
            <w:r>
              <w:rPr>
                <w:spacing w:val="6"/>
                <w:sz w:val="17"/>
                <w:szCs w:val="17"/>
              </w:rPr>
              <w:t>餐饮食品</w:t>
            </w:r>
          </w:p>
        </w:tc>
        <w:tc>
          <w:tcPr>
            <w:tcW w:w="1360" w:type="dxa"/>
            <w:vMerge w:val="restart"/>
            <w:tcBorders>
              <w:bottom w:val="nil"/>
            </w:tcBorders>
            <w:vAlign w:val="top"/>
          </w:tcPr>
          <w:p w14:paraId="359258FF">
            <w:pPr>
              <w:spacing w:line="277" w:lineRule="auto"/>
              <w:rPr>
                <w:rFonts w:ascii="Arial"/>
                <w:sz w:val="21"/>
              </w:rPr>
            </w:pPr>
          </w:p>
          <w:p w14:paraId="79B94315">
            <w:pPr>
              <w:spacing w:line="278" w:lineRule="auto"/>
              <w:rPr>
                <w:rFonts w:ascii="Arial"/>
                <w:sz w:val="21"/>
              </w:rPr>
            </w:pPr>
          </w:p>
          <w:p w14:paraId="73F5A2F9">
            <w:pPr>
              <w:spacing w:line="278" w:lineRule="auto"/>
              <w:rPr>
                <w:rFonts w:ascii="Arial"/>
                <w:sz w:val="21"/>
              </w:rPr>
            </w:pPr>
          </w:p>
          <w:p w14:paraId="4AA077BC">
            <w:pPr>
              <w:pStyle w:val="51"/>
              <w:spacing w:before="55" w:line="227" w:lineRule="auto"/>
              <w:ind w:left="149"/>
              <w:rPr>
                <w:sz w:val="17"/>
                <w:szCs w:val="17"/>
              </w:rPr>
            </w:pPr>
            <w:r>
              <w:rPr>
                <w:spacing w:val="7"/>
                <w:sz w:val="17"/>
                <w:szCs w:val="17"/>
              </w:rPr>
              <w:t>米面及其制品</w:t>
            </w:r>
          </w:p>
          <w:p w14:paraId="5640A538">
            <w:pPr>
              <w:pStyle w:val="51"/>
              <w:spacing w:before="90" w:line="227" w:lineRule="auto"/>
              <w:ind w:left="441"/>
              <w:rPr>
                <w:sz w:val="17"/>
                <w:szCs w:val="17"/>
              </w:rPr>
            </w:pPr>
            <w:r>
              <w:rPr>
                <w:spacing w:val="-2"/>
                <w:sz w:val="17"/>
                <w:szCs w:val="17"/>
              </w:rPr>
              <w:t>(自制)</w:t>
            </w:r>
          </w:p>
        </w:tc>
        <w:tc>
          <w:tcPr>
            <w:tcW w:w="1581" w:type="dxa"/>
            <w:vMerge w:val="restart"/>
            <w:tcBorders>
              <w:bottom w:val="nil"/>
            </w:tcBorders>
            <w:vAlign w:val="top"/>
          </w:tcPr>
          <w:p w14:paraId="26FF5029">
            <w:pPr>
              <w:spacing w:line="245" w:lineRule="auto"/>
              <w:rPr>
                <w:rFonts w:ascii="Arial"/>
                <w:sz w:val="21"/>
              </w:rPr>
            </w:pPr>
          </w:p>
          <w:p w14:paraId="7F15CF27">
            <w:pPr>
              <w:spacing w:line="245" w:lineRule="auto"/>
              <w:rPr>
                <w:rFonts w:ascii="Arial"/>
                <w:sz w:val="21"/>
              </w:rPr>
            </w:pPr>
          </w:p>
          <w:p w14:paraId="71A08438">
            <w:pPr>
              <w:spacing w:line="245" w:lineRule="auto"/>
              <w:rPr>
                <w:rFonts w:ascii="Arial"/>
                <w:sz w:val="21"/>
              </w:rPr>
            </w:pPr>
          </w:p>
          <w:p w14:paraId="00990A8C">
            <w:pPr>
              <w:spacing w:line="246" w:lineRule="auto"/>
              <w:rPr>
                <w:rFonts w:ascii="Arial"/>
                <w:sz w:val="21"/>
              </w:rPr>
            </w:pPr>
          </w:p>
          <w:p w14:paraId="051492B2">
            <w:pPr>
              <w:pStyle w:val="51"/>
              <w:spacing w:before="55" w:line="227" w:lineRule="auto"/>
              <w:jc w:val="right"/>
              <w:rPr>
                <w:sz w:val="17"/>
                <w:szCs w:val="17"/>
              </w:rPr>
            </w:pPr>
            <w:r>
              <w:rPr>
                <w:spacing w:val="-7"/>
                <w:sz w:val="17"/>
                <w:szCs w:val="17"/>
              </w:rPr>
              <w:t>小麦粉制品（</w:t>
            </w:r>
            <w:r>
              <w:rPr>
                <w:spacing w:val="-12"/>
                <w:sz w:val="17"/>
                <w:szCs w:val="17"/>
              </w:rPr>
              <w:t xml:space="preserve"> </w:t>
            </w:r>
            <w:r>
              <w:rPr>
                <w:spacing w:val="-7"/>
                <w:sz w:val="17"/>
                <w:szCs w:val="17"/>
              </w:rPr>
              <w:t>自制）</w:t>
            </w:r>
          </w:p>
        </w:tc>
        <w:tc>
          <w:tcPr>
            <w:tcW w:w="1586" w:type="dxa"/>
            <w:vAlign w:val="top"/>
          </w:tcPr>
          <w:p w14:paraId="7A53931D">
            <w:pPr>
              <w:spacing w:line="329" w:lineRule="auto"/>
              <w:rPr>
                <w:rFonts w:ascii="Arial"/>
                <w:sz w:val="21"/>
              </w:rPr>
            </w:pPr>
          </w:p>
          <w:p w14:paraId="3A7808B5">
            <w:pPr>
              <w:pStyle w:val="51"/>
              <w:spacing w:before="55" w:line="226" w:lineRule="auto"/>
              <w:ind w:left="82"/>
              <w:rPr>
                <w:sz w:val="17"/>
                <w:szCs w:val="17"/>
              </w:rPr>
            </w:pPr>
            <w:r>
              <w:rPr>
                <w:spacing w:val="6"/>
                <w:sz w:val="17"/>
                <w:szCs w:val="17"/>
              </w:rPr>
              <w:t>馒头花卷（自制）</w:t>
            </w:r>
          </w:p>
        </w:tc>
        <w:tc>
          <w:tcPr>
            <w:tcW w:w="682" w:type="dxa"/>
            <w:vAlign w:val="top"/>
          </w:tcPr>
          <w:p w14:paraId="62DBC4BB">
            <w:pPr>
              <w:spacing w:line="329" w:lineRule="auto"/>
              <w:rPr>
                <w:rFonts w:ascii="Arial"/>
                <w:sz w:val="21"/>
              </w:rPr>
            </w:pPr>
          </w:p>
          <w:p w14:paraId="0D12F1F2">
            <w:pPr>
              <w:pStyle w:val="51"/>
              <w:spacing w:before="56" w:line="230" w:lineRule="auto"/>
              <w:ind w:left="173"/>
              <w:rPr>
                <w:sz w:val="17"/>
                <w:szCs w:val="17"/>
              </w:rPr>
            </w:pPr>
            <w:r>
              <w:rPr>
                <w:spacing w:val="2"/>
                <w:sz w:val="17"/>
                <w:szCs w:val="17"/>
              </w:rPr>
              <w:t>一般</w:t>
            </w:r>
          </w:p>
        </w:tc>
        <w:tc>
          <w:tcPr>
            <w:tcW w:w="8563" w:type="dxa"/>
            <w:vAlign w:val="top"/>
          </w:tcPr>
          <w:p w14:paraId="079DAAA5">
            <w:pPr>
              <w:pStyle w:val="51"/>
              <w:spacing w:before="87" w:line="292" w:lineRule="auto"/>
              <w:ind w:left="37" w:firstLine="2"/>
              <w:jc w:val="both"/>
              <w:rPr>
                <w:sz w:val="17"/>
                <w:szCs w:val="17"/>
              </w:rPr>
            </w:pPr>
            <w:r>
              <w:rPr>
                <w:spacing w:val="8"/>
                <w:sz w:val="17"/>
                <w:szCs w:val="17"/>
              </w:rPr>
              <w:t>苯甲酸及其钠盐(以苯甲酸计)、山梨酸及其钾盐(以山梨酸计)、糖精钠(以糖精计)、 脱氢乙酸及其钠盐(以</w:t>
            </w:r>
            <w:r>
              <w:rPr>
                <w:spacing w:val="6"/>
                <w:sz w:val="17"/>
                <w:szCs w:val="17"/>
              </w:rPr>
              <w:t>脱氢乙酸计)、甜蜜素(以环己基氨基磺酸计)、铅(以</w:t>
            </w:r>
            <w:r>
              <w:rPr>
                <w:sz w:val="17"/>
                <w:szCs w:val="17"/>
              </w:rPr>
              <w:t>Pb</w:t>
            </w:r>
            <w:r>
              <w:rPr>
                <w:spacing w:val="6"/>
                <w:sz w:val="17"/>
                <w:szCs w:val="17"/>
              </w:rPr>
              <w:t>计)、合成着色剂(柠檬黄、</w:t>
            </w:r>
            <w:r>
              <w:rPr>
                <w:spacing w:val="-26"/>
                <w:sz w:val="17"/>
                <w:szCs w:val="17"/>
              </w:rPr>
              <w:t xml:space="preserve"> </w:t>
            </w:r>
            <w:r>
              <w:rPr>
                <w:spacing w:val="6"/>
                <w:sz w:val="17"/>
                <w:szCs w:val="17"/>
              </w:rPr>
              <w:t>日落黄、胭脂红、苋菜红、</w:t>
            </w:r>
            <w:r>
              <w:rPr>
                <w:spacing w:val="3"/>
                <w:sz w:val="17"/>
                <w:szCs w:val="17"/>
              </w:rPr>
              <w:t>亮蓝)</w:t>
            </w:r>
          </w:p>
        </w:tc>
      </w:tr>
      <w:tr w14:paraId="20082C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459" w:type="dxa"/>
            <w:vMerge w:val="continue"/>
            <w:tcBorders>
              <w:top w:val="nil"/>
              <w:bottom w:val="nil"/>
            </w:tcBorders>
            <w:vAlign w:val="top"/>
          </w:tcPr>
          <w:p w14:paraId="29EA22E9">
            <w:pPr>
              <w:rPr>
                <w:rFonts w:ascii="Arial"/>
                <w:sz w:val="21"/>
              </w:rPr>
            </w:pPr>
          </w:p>
        </w:tc>
        <w:tc>
          <w:tcPr>
            <w:tcW w:w="942" w:type="dxa"/>
            <w:vMerge w:val="continue"/>
            <w:tcBorders>
              <w:top w:val="nil"/>
              <w:bottom w:val="nil"/>
            </w:tcBorders>
            <w:vAlign w:val="top"/>
          </w:tcPr>
          <w:p w14:paraId="4802187F">
            <w:pPr>
              <w:rPr>
                <w:rFonts w:ascii="Arial"/>
                <w:sz w:val="21"/>
              </w:rPr>
            </w:pPr>
          </w:p>
        </w:tc>
        <w:tc>
          <w:tcPr>
            <w:tcW w:w="1360" w:type="dxa"/>
            <w:vMerge w:val="continue"/>
            <w:tcBorders>
              <w:top w:val="nil"/>
              <w:bottom w:val="nil"/>
            </w:tcBorders>
            <w:vAlign w:val="top"/>
          </w:tcPr>
          <w:p w14:paraId="6199D392">
            <w:pPr>
              <w:rPr>
                <w:rFonts w:ascii="Arial"/>
                <w:sz w:val="21"/>
              </w:rPr>
            </w:pPr>
          </w:p>
        </w:tc>
        <w:tc>
          <w:tcPr>
            <w:tcW w:w="1581" w:type="dxa"/>
            <w:vMerge w:val="continue"/>
            <w:tcBorders>
              <w:top w:val="nil"/>
              <w:bottom w:val="nil"/>
            </w:tcBorders>
            <w:vAlign w:val="top"/>
          </w:tcPr>
          <w:p w14:paraId="2EE5CC4E">
            <w:pPr>
              <w:rPr>
                <w:rFonts w:ascii="Arial"/>
                <w:sz w:val="21"/>
              </w:rPr>
            </w:pPr>
          </w:p>
        </w:tc>
        <w:tc>
          <w:tcPr>
            <w:tcW w:w="1586" w:type="dxa"/>
            <w:vAlign w:val="top"/>
          </w:tcPr>
          <w:p w14:paraId="6AF91D33">
            <w:pPr>
              <w:pStyle w:val="51"/>
              <w:spacing w:before="239" w:line="227" w:lineRule="auto"/>
              <w:ind w:left="268"/>
              <w:rPr>
                <w:sz w:val="17"/>
                <w:szCs w:val="17"/>
              </w:rPr>
            </w:pPr>
            <w:r>
              <w:rPr>
                <w:spacing w:val="4"/>
                <w:sz w:val="17"/>
                <w:szCs w:val="17"/>
              </w:rPr>
              <w:t>包子（自制）</w:t>
            </w:r>
          </w:p>
        </w:tc>
        <w:tc>
          <w:tcPr>
            <w:tcW w:w="682" w:type="dxa"/>
            <w:vAlign w:val="top"/>
          </w:tcPr>
          <w:p w14:paraId="40187FDE">
            <w:pPr>
              <w:pStyle w:val="51"/>
              <w:spacing w:before="238" w:line="230" w:lineRule="auto"/>
              <w:ind w:left="173"/>
              <w:rPr>
                <w:sz w:val="17"/>
                <w:szCs w:val="17"/>
              </w:rPr>
            </w:pPr>
            <w:r>
              <w:rPr>
                <w:spacing w:val="2"/>
                <w:sz w:val="17"/>
                <w:szCs w:val="17"/>
              </w:rPr>
              <w:t>一般</w:t>
            </w:r>
          </w:p>
        </w:tc>
        <w:tc>
          <w:tcPr>
            <w:tcW w:w="8563" w:type="dxa"/>
            <w:vAlign w:val="top"/>
          </w:tcPr>
          <w:p w14:paraId="497A6417">
            <w:pPr>
              <w:pStyle w:val="51"/>
              <w:spacing w:before="90" w:line="274" w:lineRule="auto"/>
              <w:ind w:left="37" w:right="26" w:firstLine="2"/>
              <w:rPr>
                <w:sz w:val="17"/>
                <w:szCs w:val="17"/>
              </w:rPr>
            </w:pPr>
            <w:r>
              <w:rPr>
                <w:spacing w:val="10"/>
                <w:sz w:val="17"/>
                <w:szCs w:val="17"/>
              </w:rPr>
              <w:t xml:space="preserve">苯甲酸及其钠盐(以苯甲酸计)、山梨酸及其钾盐(以山梨酸计)、糖精钠(以糖精计)、 </w:t>
            </w:r>
            <w:r>
              <w:rPr>
                <w:spacing w:val="9"/>
                <w:sz w:val="17"/>
                <w:szCs w:val="17"/>
              </w:rPr>
              <w:t>脱氢乙酸及其钠盐(以</w:t>
            </w:r>
            <w:r>
              <w:rPr>
                <w:spacing w:val="8"/>
                <w:sz w:val="17"/>
                <w:szCs w:val="17"/>
              </w:rPr>
              <w:t>脱氢乙酸计)、甜蜜素(以环己基氨基磺酸计)</w:t>
            </w:r>
          </w:p>
        </w:tc>
      </w:tr>
      <w:tr w14:paraId="3F66D4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59" w:type="dxa"/>
            <w:vMerge w:val="continue"/>
            <w:tcBorders>
              <w:top w:val="nil"/>
              <w:bottom w:val="nil"/>
            </w:tcBorders>
            <w:vAlign w:val="top"/>
          </w:tcPr>
          <w:p w14:paraId="66FBF127">
            <w:pPr>
              <w:rPr>
                <w:rFonts w:ascii="Arial"/>
                <w:sz w:val="21"/>
              </w:rPr>
            </w:pPr>
          </w:p>
        </w:tc>
        <w:tc>
          <w:tcPr>
            <w:tcW w:w="942" w:type="dxa"/>
            <w:vMerge w:val="continue"/>
            <w:tcBorders>
              <w:top w:val="nil"/>
              <w:bottom w:val="nil"/>
            </w:tcBorders>
            <w:vAlign w:val="top"/>
          </w:tcPr>
          <w:p w14:paraId="34BBE8D7">
            <w:pPr>
              <w:rPr>
                <w:rFonts w:ascii="Arial"/>
                <w:sz w:val="21"/>
              </w:rPr>
            </w:pPr>
          </w:p>
        </w:tc>
        <w:tc>
          <w:tcPr>
            <w:tcW w:w="1360" w:type="dxa"/>
            <w:vMerge w:val="continue"/>
            <w:tcBorders>
              <w:top w:val="nil"/>
              <w:bottom w:val="nil"/>
            </w:tcBorders>
            <w:vAlign w:val="top"/>
          </w:tcPr>
          <w:p w14:paraId="64C877FA">
            <w:pPr>
              <w:rPr>
                <w:rFonts w:ascii="Arial"/>
                <w:sz w:val="21"/>
              </w:rPr>
            </w:pPr>
          </w:p>
        </w:tc>
        <w:tc>
          <w:tcPr>
            <w:tcW w:w="1581" w:type="dxa"/>
            <w:vMerge w:val="continue"/>
            <w:tcBorders>
              <w:top w:val="nil"/>
              <w:bottom w:val="nil"/>
            </w:tcBorders>
            <w:vAlign w:val="top"/>
          </w:tcPr>
          <w:p w14:paraId="522C3133">
            <w:pPr>
              <w:rPr>
                <w:rFonts w:ascii="Arial"/>
                <w:sz w:val="21"/>
              </w:rPr>
            </w:pPr>
          </w:p>
        </w:tc>
        <w:tc>
          <w:tcPr>
            <w:tcW w:w="1586" w:type="dxa"/>
            <w:vAlign w:val="top"/>
          </w:tcPr>
          <w:p w14:paraId="0DBB8747">
            <w:pPr>
              <w:pStyle w:val="51"/>
              <w:spacing w:before="109" w:line="227" w:lineRule="auto"/>
              <w:ind w:left="85"/>
              <w:rPr>
                <w:sz w:val="17"/>
                <w:szCs w:val="17"/>
              </w:rPr>
            </w:pPr>
            <w:r>
              <w:rPr>
                <w:spacing w:val="5"/>
                <w:sz w:val="17"/>
                <w:szCs w:val="17"/>
              </w:rPr>
              <w:t>油饼油条（自制）</w:t>
            </w:r>
          </w:p>
        </w:tc>
        <w:tc>
          <w:tcPr>
            <w:tcW w:w="682" w:type="dxa"/>
            <w:vAlign w:val="top"/>
          </w:tcPr>
          <w:p w14:paraId="522E590C">
            <w:pPr>
              <w:pStyle w:val="51"/>
              <w:spacing w:before="109" w:line="227" w:lineRule="auto"/>
              <w:ind w:left="170"/>
              <w:rPr>
                <w:sz w:val="17"/>
                <w:szCs w:val="17"/>
              </w:rPr>
            </w:pPr>
            <w:r>
              <w:rPr>
                <w:spacing w:val="3"/>
                <w:sz w:val="17"/>
                <w:szCs w:val="17"/>
              </w:rPr>
              <w:t>较高</w:t>
            </w:r>
          </w:p>
        </w:tc>
        <w:tc>
          <w:tcPr>
            <w:tcW w:w="8563" w:type="dxa"/>
            <w:vAlign w:val="top"/>
          </w:tcPr>
          <w:p w14:paraId="28905C44">
            <w:pPr>
              <w:pStyle w:val="51"/>
              <w:spacing w:before="108" w:line="225" w:lineRule="auto"/>
              <w:ind w:left="38"/>
              <w:rPr>
                <w:sz w:val="17"/>
                <w:szCs w:val="17"/>
              </w:rPr>
            </w:pPr>
            <w:r>
              <w:rPr>
                <w:spacing w:val="8"/>
                <w:sz w:val="17"/>
                <w:szCs w:val="17"/>
              </w:rPr>
              <w:t>铝的残留量(干样品，以</w:t>
            </w:r>
            <w:r>
              <w:rPr>
                <w:sz w:val="17"/>
                <w:szCs w:val="17"/>
              </w:rPr>
              <w:t>Al</w:t>
            </w:r>
            <w:r>
              <w:rPr>
                <w:spacing w:val="8"/>
                <w:sz w:val="17"/>
                <w:szCs w:val="17"/>
              </w:rPr>
              <w:t>计)</w:t>
            </w:r>
          </w:p>
        </w:tc>
      </w:tr>
      <w:tr w14:paraId="3081DC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59" w:type="dxa"/>
            <w:vMerge w:val="continue"/>
            <w:tcBorders>
              <w:top w:val="nil"/>
              <w:bottom w:val="nil"/>
            </w:tcBorders>
            <w:vAlign w:val="top"/>
          </w:tcPr>
          <w:p w14:paraId="6DA7AC7C">
            <w:pPr>
              <w:rPr>
                <w:rFonts w:ascii="Arial"/>
                <w:sz w:val="21"/>
              </w:rPr>
            </w:pPr>
          </w:p>
        </w:tc>
        <w:tc>
          <w:tcPr>
            <w:tcW w:w="942" w:type="dxa"/>
            <w:vMerge w:val="continue"/>
            <w:tcBorders>
              <w:top w:val="nil"/>
              <w:bottom w:val="nil"/>
            </w:tcBorders>
            <w:vAlign w:val="top"/>
          </w:tcPr>
          <w:p w14:paraId="3BE701EA">
            <w:pPr>
              <w:rPr>
                <w:rFonts w:ascii="Arial"/>
                <w:sz w:val="21"/>
              </w:rPr>
            </w:pPr>
          </w:p>
        </w:tc>
        <w:tc>
          <w:tcPr>
            <w:tcW w:w="1360" w:type="dxa"/>
            <w:vMerge w:val="continue"/>
            <w:tcBorders>
              <w:top w:val="nil"/>
            </w:tcBorders>
            <w:vAlign w:val="top"/>
          </w:tcPr>
          <w:p w14:paraId="0BEF855C">
            <w:pPr>
              <w:rPr>
                <w:rFonts w:ascii="Arial"/>
                <w:sz w:val="21"/>
              </w:rPr>
            </w:pPr>
          </w:p>
        </w:tc>
        <w:tc>
          <w:tcPr>
            <w:tcW w:w="1581" w:type="dxa"/>
            <w:vMerge w:val="continue"/>
            <w:tcBorders>
              <w:top w:val="nil"/>
            </w:tcBorders>
            <w:vAlign w:val="top"/>
          </w:tcPr>
          <w:p w14:paraId="411945CB">
            <w:pPr>
              <w:rPr>
                <w:rFonts w:ascii="Arial"/>
                <w:sz w:val="21"/>
              </w:rPr>
            </w:pPr>
          </w:p>
        </w:tc>
        <w:tc>
          <w:tcPr>
            <w:tcW w:w="1586" w:type="dxa"/>
            <w:vAlign w:val="top"/>
          </w:tcPr>
          <w:p w14:paraId="28C7184C">
            <w:pPr>
              <w:pStyle w:val="51"/>
              <w:spacing w:before="109" w:line="227" w:lineRule="auto"/>
              <w:ind w:left="172"/>
              <w:rPr>
                <w:sz w:val="17"/>
                <w:szCs w:val="17"/>
              </w:rPr>
            </w:pPr>
            <w:r>
              <w:rPr>
                <w:spacing w:val="5"/>
                <w:sz w:val="17"/>
                <w:szCs w:val="17"/>
              </w:rPr>
              <w:t>凉皮类（自制）</w:t>
            </w:r>
          </w:p>
        </w:tc>
        <w:tc>
          <w:tcPr>
            <w:tcW w:w="682" w:type="dxa"/>
            <w:vAlign w:val="top"/>
          </w:tcPr>
          <w:p w14:paraId="1159CEE9">
            <w:pPr>
              <w:pStyle w:val="51"/>
              <w:spacing w:before="109" w:line="227" w:lineRule="auto"/>
              <w:ind w:left="170"/>
              <w:rPr>
                <w:sz w:val="17"/>
                <w:szCs w:val="17"/>
              </w:rPr>
            </w:pPr>
            <w:r>
              <w:rPr>
                <w:spacing w:val="3"/>
                <w:sz w:val="17"/>
                <w:szCs w:val="17"/>
              </w:rPr>
              <w:t>较高</w:t>
            </w:r>
          </w:p>
        </w:tc>
        <w:tc>
          <w:tcPr>
            <w:tcW w:w="8563" w:type="dxa"/>
            <w:vAlign w:val="top"/>
          </w:tcPr>
          <w:p w14:paraId="51EA1E8C">
            <w:pPr>
              <w:pStyle w:val="51"/>
              <w:spacing w:before="109" w:line="228" w:lineRule="auto"/>
              <w:ind w:left="37"/>
              <w:rPr>
                <w:sz w:val="17"/>
                <w:szCs w:val="17"/>
              </w:rPr>
            </w:pPr>
            <w:r>
              <w:rPr>
                <w:spacing w:val="8"/>
                <w:sz w:val="17"/>
                <w:szCs w:val="17"/>
              </w:rPr>
              <w:t>脱氢乙酸及其钠盐(以脱氢乙酸计)、柠檬黄</w:t>
            </w:r>
          </w:p>
        </w:tc>
      </w:tr>
      <w:tr w14:paraId="0E1C2F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59" w:type="dxa"/>
            <w:vMerge w:val="continue"/>
            <w:tcBorders>
              <w:top w:val="nil"/>
              <w:bottom w:val="nil"/>
            </w:tcBorders>
            <w:vAlign w:val="top"/>
          </w:tcPr>
          <w:p w14:paraId="02B4B200">
            <w:pPr>
              <w:rPr>
                <w:rFonts w:ascii="Arial"/>
                <w:sz w:val="21"/>
              </w:rPr>
            </w:pPr>
          </w:p>
        </w:tc>
        <w:tc>
          <w:tcPr>
            <w:tcW w:w="942" w:type="dxa"/>
            <w:vMerge w:val="continue"/>
            <w:tcBorders>
              <w:top w:val="nil"/>
              <w:bottom w:val="nil"/>
            </w:tcBorders>
            <w:vAlign w:val="top"/>
          </w:tcPr>
          <w:p w14:paraId="5C02CA63">
            <w:pPr>
              <w:rPr>
                <w:rFonts w:ascii="Arial"/>
                <w:sz w:val="21"/>
              </w:rPr>
            </w:pPr>
          </w:p>
        </w:tc>
        <w:tc>
          <w:tcPr>
            <w:tcW w:w="1360" w:type="dxa"/>
            <w:vMerge w:val="restart"/>
            <w:tcBorders>
              <w:bottom w:val="nil"/>
            </w:tcBorders>
            <w:vAlign w:val="top"/>
          </w:tcPr>
          <w:p w14:paraId="13D8BFFA">
            <w:pPr>
              <w:pStyle w:val="51"/>
              <w:spacing w:before="285" w:line="227" w:lineRule="auto"/>
              <w:ind w:left="165"/>
              <w:rPr>
                <w:sz w:val="17"/>
                <w:szCs w:val="17"/>
              </w:rPr>
            </w:pPr>
            <w:r>
              <w:rPr>
                <w:spacing w:val="-2"/>
                <w:sz w:val="17"/>
                <w:szCs w:val="17"/>
              </w:rPr>
              <w:t>肉制品</w:t>
            </w:r>
            <w:r>
              <w:rPr>
                <w:spacing w:val="-45"/>
                <w:sz w:val="17"/>
                <w:szCs w:val="17"/>
              </w:rPr>
              <w:t xml:space="preserve"> </w:t>
            </w:r>
            <w:r>
              <w:rPr>
                <w:spacing w:val="-2"/>
                <w:sz w:val="17"/>
                <w:szCs w:val="17"/>
              </w:rPr>
              <w:t>(自制)</w:t>
            </w:r>
          </w:p>
        </w:tc>
        <w:tc>
          <w:tcPr>
            <w:tcW w:w="1581" w:type="dxa"/>
            <w:vMerge w:val="restart"/>
            <w:tcBorders>
              <w:bottom w:val="nil"/>
            </w:tcBorders>
            <w:vAlign w:val="top"/>
          </w:tcPr>
          <w:p w14:paraId="65C1A559">
            <w:pPr>
              <w:pStyle w:val="51"/>
              <w:spacing w:before="285" w:line="227" w:lineRule="auto"/>
              <w:ind w:left="174"/>
              <w:rPr>
                <w:sz w:val="17"/>
                <w:szCs w:val="17"/>
              </w:rPr>
            </w:pPr>
            <w:r>
              <w:rPr>
                <w:spacing w:val="1"/>
                <w:sz w:val="17"/>
                <w:szCs w:val="17"/>
              </w:rPr>
              <w:t>熟肉制品</w:t>
            </w:r>
            <w:r>
              <w:rPr>
                <w:spacing w:val="-43"/>
                <w:sz w:val="17"/>
                <w:szCs w:val="17"/>
              </w:rPr>
              <w:t xml:space="preserve"> </w:t>
            </w:r>
            <w:r>
              <w:rPr>
                <w:spacing w:val="1"/>
                <w:sz w:val="17"/>
                <w:szCs w:val="17"/>
              </w:rPr>
              <w:t>(自制)</w:t>
            </w:r>
          </w:p>
        </w:tc>
        <w:tc>
          <w:tcPr>
            <w:tcW w:w="1586" w:type="dxa"/>
            <w:vAlign w:val="top"/>
          </w:tcPr>
          <w:p w14:paraId="2D69F0D4">
            <w:pPr>
              <w:pStyle w:val="51"/>
              <w:spacing w:before="109" w:line="227" w:lineRule="auto"/>
              <w:ind w:left="191"/>
              <w:rPr>
                <w:sz w:val="17"/>
                <w:szCs w:val="17"/>
              </w:rPr>
            </w:pPr>
            <w:r>
              <w:rPr>
                <w:spacing w:val="4"/>
                <w:sz w:val="17"/>
                <w:szCs w:val="17"/>
              </w:rPr>
              <w:t>肉冻皮冻(自制)</w:t>
            </w:r>
          </w:p>
        </w:tc>
        <w:tc>
          <w:tcPr>
            <w:tcW w:w="682" w:type="dxa"/>
            <w:vAlign w:val="top"/>
          </w:tcPr>
          <w:p w14:paraId="62BF94D5">
            <w:pPr>
              <w:pStyle w:val="51"/>
              <w:spacing w:before="109" w:line="230" w:lineRule="auto"/>
              <w:ind w:left="267"/>
              <w:rPr>
                <w:sz w:val="17"/>
                <w:szCs w:val="17"/>
              </w:rPr>
            </w:pPr>
            <w:r>
              <w:rPr>
                <w:sz w:val="17"/>
                <w:szCs w:val="17"/>
              </w:rPr>
              <w:t>高</w:t>
            </w:r>
          </w:p>
        </w:tc>
        <w:tc>
          <w:tcPr>
            <w:tcW w:w="8563" w:type="dxa"/>
            <w:vAlign w:val="top"/>
          </w:tcPr>
          <w:p w14:paraId="17101A44">
            <w:pPr>
              <w:pStyle w:val="51"/>
              <w:spacing w:before="109" w:line="227" w:lineRule="auto"/>
              <w:ind w:left="38"/>
              <w:rPr>
                <w:sz w:val="17"/>
                <w:szCs w:val="17"/>
              </w:rPr>
            </w:pPr>
            <w:r>
              <w:rPr>
                <w:spacing w:val="7"/>
                <w:sz w:val="17"/>
                <w:szCs w:val="17"/>
              </w:rPr>
              <w:t>铬(以</w:t>
            </w:r>
            <w:r>
              <w:rPr>
                <w:sz w:val="17"/>
                <w:szCs w:val="17"/>
              </w:rPr>
              <w:t>Cr</w:t>
            </w:r>
            <w:r>
              <w:rPr>
                <w:spacing w:val="7"/>
                <w:sz w:val="17"/>
                <w:szCs w:val="17"/>
              </w:rPr>
              <w:t>计)</w:t>
            </w:r>
          </w:p>
        </w:tc>
      </w:tr>
      <w:tr w14:paraId="1D7A6A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59" w:type="dxa"/>
            <w:vMerge w:val="continue"/>
            <w:tcBorders>
              <w:top w:val="nil"/>
              <w:bottom w:val="nil"/>
            </w:tcBorders>
            <w:vAlign w:val="top"/>
          </w:tcPr>
          <w:p w14:paraId="7027E6DB">
            <w:pPr>
              <w:rPr>
                <w:rFonts w:ascii="Arial"/>
                <w:sz w:val="21"/>
              </w:rPr>
            </w:pPr>
          </w:p>
        </w:tc>
        <w:tc>
          <w:tcPr>
            <w:tcW w:w="942" w:type="dxa"/>
            <w:vMerge w:val="continue"/>
            <w:tcBorders>
              <w:top w:val="nil"/>
              <w:bottom w:val="nil"/>
            </w:tcBorders>
            <w:vAlign w:val="top"/>
          </w:tcPr>
          <w:p w14:paraId="58F92775">
            <w:pPr>
              <w:rPr>
                <w:rFonts w:ascii="Arial"/>
                <w:sz w:val="21"/>
              </w:rPr>
            </w:pPr>
          </w:p>
        </w:tc>
        <w:tc>
          <w:tcPr>
            <w:tcW w:w="1360" w:type="dxa"/>
            <w:vMerge w:val="continue"/>
            <w:tcBorders>
              <w:top w:val="nil"/>
            </w:tcBorders>
            <w:vAlign w:val="top"/>
          </w:tcPr>
          <w:p w14:paraId="59BFFEBF">
            <w:pPr>
              <w:rPr>
                <w:rFonts w:ascii="Arial"/>
                <w:sz w:val="21"/>
              </w:rPr>
            </w:pPr>
          </w:p>
        </w:tc>
        <w:tc>
          <w:tcPr>
            <w:tcW w:w="1581" w:type="dxa"/>
            <w:vMerge w:val="continue"/>
            <w:tcBorders>
              <w:top w:val="nil"/>
            </w:tcBorders>
            <w:vAlign w:val="top"/>
          </w:tcPr>
          <w:p w14:paraId="3FA614D3">
            <w:pPr>
              <w:rPr>
                <w:rFonts w:ascii="Arial"/>
                <w:sz w:val="21"/>
              </w:rPr>
            </w:pPr>
          </w:p>
        </w:tc>
        <w:tc>
          <w:tcPr>
            <w:tcW w:w="1586" w:type="dxa"/>
            <w:vAlign w:val="top"/>
          </w:tcPr>
          <w:p w14:paraId="0B494B5C">
            <w:pPr>
              <w:pStyle w:val="51"/>
              <w:spacing w:before="110" w:line="227" w:lineRule="auto"/>
              <w:ind w:left="90"/>
              <w:rPr>
                <w:sz w:val="17"/>
                <w:szCs w:val="17"/>
              </w:rPr>
            </w:pPr>
            <w:r>
              <w:rPr>
                <w:spacing w:val="6"/>
                <w:sz w:val="17"/>
                <w:szCs w:val="17"/>
              </w:rPr>
              <w:t>熏烧烤肉类(自制)</w:t>
            </w:r>
          </w:p>
        </w:tc>
        <w:tc>
          <w:tcPr>
            <w:tcW w:w="682" w:type="dxa"/>
            <w:vAlign w:val="top"/>
          </w:tcPr>
          <w:p w14:paraId="20187B52">
            <w:pPr>
              <w:pStyle w:val="51"/>
              <w:spacing w:before="110" w:line="227" w:lineRule="auto"/>
              <w:ind w:left="170"/>
              <w:rPr>
                <w:sz w:val="17"/>
                <w:szCs w:val="17"/>
              </w:rPr>
            </w:pPr>
            <w:r>
              <w:rPr>
                <w:spacing w:val="3"/>
                <w:sz w:val="17"/>
                <w:szCs w:val="17"/>
              </w:rPr>
              <w:t>较高</w:t>
            </w:r>
          </w:p>
        </w:tc>
        <w:tc>
          <w:tcPr>
            <w:tcW w:w="8563" w:type="dxa"/>
            <w:vAlign w:val="top"/>
          </w:tcPr>
          <w:p w14:paraId="3404695F">
            <w:pPr>
              <w:pStyle w:val="51"/>
              <w:spacing w:before="109" w:line="223" w:lineRule="auto"/>
              <w:ind w:left="26"/>
              <w:rPr>
                <w:sz w:val="17"/>
                <w:szCs w:val="17"/>
              </w:rPr>
            </w:pPr>
            <w:r>
              <w:rPr>
                <w:spacing w:val="9"/>
                <w:sz w:val="17"/>
                <w:szCs w:val="17"/>
              </w:rPr>
              <w:t>N-二甲基亚硝胺、苯并[α]芘、铅(以</w:t>
            </w:r>
            <w:r>
              <w:rPr>
                <w:sz w:val="17"/>
                <w:szCs w:val="17"/>
              </w:rPr>
              <w:t>Pb</w:t>
            </w:r>
            <w:r>
              <w:rPr>
                <w:spacing w:val="8"/>
                <w:sz w:val="17"/>
                <w:szCs w:val="17"/>
              </w:rPr>
              <w:t>计)</w:t>
            </w:r>
          </w:p>
        </w:tc>
      </w:tr>
      <w:tr w14:paraId="7BBF55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459" w:type="dxa"/>
            <w:vMerge w:val="continue"/>
            <w:tcBorders>
              <w:top w:val="nil"/>
              <w:bottom w:val="nil"/>
            </w:tcBorders>
            <w:vAlign w:val="top"/>
          </w:tcPr>
          <w:p w14:paraId="22EDC24D">
            <w:pPr>
              <w:rPr>
                <w:rFonts w:ascii="Arial"/>
                <w:sz w:val="21"/>
              </w:rPr>
            </w:pPr>
          </w:p>
        </w:tc>
        <w:tc>
          <w:tcPr>
            <w:tcW w:w="942" w:type="dxa"/>
            <w:vMerge w:val="continue"/>
            <w:tcBorders>
              <w:top w:val="nil"/>
              <w:bottom w:val="nil"/>
            </w:tcBorders>
            <w:vAlign w:val="top"/>
          </w:tcPr>
          <w:p w14:paraId="27F8C68C">
            <w:pPr>
              <w:rPr>
                <w:rFonts w:ascii="Arial"/>
                <w:sz w:val="21"/>
              </w:rPr>
            </w:pPr>
          </w:p>
        </w:tc>
        <w:tc>
          <w:tcPr>
            <w:tcW w:w="1360" w:type="dxa"/>
            <w:vAlign w:val="top"/>
          </w:tcPr>
          <w:p w14:paraId="164E9558">
            <w:pPr>
              <w:pStyle w:val="51"/>
              <w:spacing w:before="239" w:line="226" w:lineRule="auto"/>
              <w:ind w:left="146"/>
              <w:rPr>
                <w:sz w:val="17"/>
                <w:szCs w:val="17"/>
              </w:rPr>
            </w:pPr>
            <w:r>
              <w:rPr>
                <w:spacing w:val="6"/>
                <w:sz w:val="17"/>
                <w:szCs w:val="17"/>
              </w:rPr>
              <w:t>调味料(自制)</w:t>
            </w:r>
          </w:p>
        </w:tc>
        <w:tc>
          <w:tcPr>
            <w:tcW w:w="1581" w:type="dxa"/>
            <w:vAlign w:val="top"/>
          </w:tcPr>
          <w:p w14:paraId="1A117662">
            <w:pPr>
              <w:pStyle w:val="51"/>
              <w:spacing w:before="239" w:line="226" w:lineRule="auto"/>
              <w:ind w:left="258"/>
              <w:rPr>
                <w:sz w:val="17"/>
                <w:szCs w:val="17"/>
              </w:rPr>
            </w:pPr>
            <w:r>
              <w:rPr>
                <w:spacing w:val="7"/>
                <w:sz w:val="17"/>
                <w:szCs w:val="17"/>
              </w:rPr>
              <w:t>调味料(自制)</w:t>
            </w:r>
          </w:p>
        </w:tc>
        <w:tc>
          <w:tcPr>
            <w:tcW w:w="1586" w:type="dxa"/>
            <w:vAlign w:val="top"/>
          </w:tcPr>
          <w:p w14:paraId="4FB02024">
            <w:pPr>
              <w:pStyle w:val="51"/>
              <w:spacing w:before="88" w:line="226" w:lineRule="auto"/>
              <w:ind w:left="41"/>
              <w:rPr>
                <w:sz w:val="17"/>
                <w:szCs w:val="17"/>
              </w:rPr>
            </w:pPr>
            <w:r>
              <w:rPr>
                <w:spacing w:val="7"/>
                <w:sz w:val="17"/>
                <w:szCs w:val="17"/>
              </w:rPr>
              <w:t>火锅麻辣烫底料(自</w:t>
            </w:r>
          </w:p>
          <w:p w14:paraId="4FC0F8A7">
            <w:pPr>
              <w:pStyle w:val="51"/>
              <w:spacing w:before="91" w:line="224" w:lineRule="auto"/>
              <w:ind w:left="667"/>
              <w:rPr>
                <w:sz w:val="17"/>
                <w:szCs w:val="17"/>
              </w:rPr>
            </w:pPr>
            <w:r>
              <w:rPr>
                <w:spacing w:val="1"/>
                <w:sz w:val="17"/>
                <w:szCs w:val="17"/>
              </w:rPr>
              <w:t>制)</w:t>
            </w:r>
          </w:p>
        </w:tc>
        <w:tc>
          <w:tcPr>
            <w:tcW w:w="682" w:type="dxa"/>
            <w:vAlign w:val="top"/>
          </w:tcPr>
          <w:p w14:paraId="66902A80">
            <w:pPr>
              <w:pStyle w:val="51"/>
              <w:spacing w:before="240" w:line="227" w:lineRule="auto"/>
              <w:ind w:left="170"/>
              <w:rPr>
                <w:sz w:val="17"/>
                <w:szCs w:val="17"/>
              </w:rPr>
            </w:pPr>
            <w:r>
              <w:rPr>
                <w:spacing w:val="3"/>
                <w:sz w:val="17"/>
                <w:szCs w:val="17"/>
              </w:rPr>
              <w:t>较高</w:t>
            </w:r>
          </w:p>
        </w:tc>
        <w:tc>
          <w:tcPr>
            <w:tcW w:w="8563" w:type="dxa"/>
            <w:vAlign w:val="top"/>
          </w:tcPr>
          <w:p w14:paraId="2E49347C">
            <w:pPr>
              <w:pStyle w:val="51"/>
              <w:spacing w:before="240" w:line="227" w:lineRule="auto"/>
              <w:ind w:left="40"/>
              <w:rPr>
                <w:sz w:val="17"/>
                <w:szCs w:val="17"/>
              </w:rPr>
            </w:pPr>
            <w:r>
              <w:rPr>
                <w:spacing w:val="8"/>
                <w:sz w:val="17"/>
                <w:szCs w:val="17"/>
              </w:rPr>
              <w:t>罂粟碱、吗啡、可待因、那可丁</w:t>
            </w:r>
          </w:p>
        </w:tc>
      </w:tr>
      <w:tr w14:paraId="10A71E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459" w:type="dxa"/>
            <w:vMerge w:val="continue"/>
            <w:tcBorders>
              <w:top w:val="nil"/>
              <w:bottom w:val="nil"/>
            </w:tcBorders>
            <w:vAlign w:val="top"/>
          </w:tcPr>
          <w:p w14:paraId="2643AA0E">
            <w:pPr>
              <w:rPr>
                <w:rFonts w:ascii="Arial"/>
                <w:sz w:val="21"/>
              </w:rPr>
            </w:pPr>
          </w:p>
        </w:tc>
        <w:tc>
          <w:tcPr>
            <w:tcW w:w="942" w:type="dxa"/>
            <w:vMerge w:val="continue"/>
            <w:tcBorders>
              <w:top w:val="nil"/>
              <w:bottom w:val="nil"/>
            </w:tcBorders>
            <w:vAlign w:val="top"/>
          </w:tcPr>
          <w:p w14:paraId="3F98F111">
            <w:pPr>
              <w:rPr>
                <w:rFonts w:ascii="Arial"/>
                <w:sz w:val="21"/>
              </w:rPr>
            </w:pPr>
          </w:p>
        </w:tc>
        <w:tc>
          <w:tcPr>
            <w:tcW w:w="1360" w:type="dxa"/>
            <w:vAlign w:val="top"/>
          </w:tcPr>
          <w:p w14:paraId="09D4EAF8">
            <w:pPr>
              <w:pStyle w:val="51"/>
              <w:spacing w:before="239" w:line="227" w:lineRule="auto"/>
              <w:ind w:left="55"/>
              <w:rPr>
                <w:sz w:val="17"/>
                <w:szCs w:val="17"/>
              </w:rPr>
            </w:pPr>
            <w:r>
              <w:rPr>
                <w:spacing w:val="2"/>
                <w:sz w:val="17"/>
                <w:szCs w:val="17"/>
              </w:rPr>
              <w:t>水产制品</w:t>
            </w:r>
            <w:r>
              <w:rPr>
                <w:spacing w:val="-43"/>
                <w:sz w:val="17"/>
                <w:szCs w:val="17"/>
              </w:rPr>
              <w:t xml:space="preserve"> </w:t>
            </w:r>
            <w:r>
              <w:rPr>
                <w:spacing w:val="2"/>
                <w:sz w:val="17"/>
                <w:szCs w:val="17"/>
              </w:rPr>
              <w:t>(自制)</w:t>
            </w:r>
          </w:p>
        </w:tc>
        <w:tc>
          <w:tcPr>
            <w:tcW w:w="1581" w:type="dxa"/>
            <w:vAlign w:val="top"/>
          </w:tcPr>
          <w:p w14:paraId="27DE88BB">
            <w:pPr>
              <w:pStyle w:val="51"/>
              <w:spacing w:before="88" w:line="227" w:lineRule="auto"/>
              <w:ind w:left="125"/>
              <w:rPr>
                <w:sz w:val="17"/>
                <w:szCs w:val="17"/>
              </w:rPr>
            </w:pPr>
            <w:r>
              <w:rPr>
                <w:spacing w:val="2"/>
                <w:sz w:val="17"/>
                <w:szCs w:val="17"/>
              </w:rPr>
              <w:t>预制水产制品</w:t>
            </w:r>
            <w:r>
              <w:rPr>
                <w:spacing w:val="-42"/>
                <w:sz w:val="17"/>
                <w:szCs w:val="17"/>
              </w:rPr>
              <w:t xml:space="preserve"> </w:t>
            </w:r>
            <w:r>
              <w:rPr>
                <w:spacing w:val="2"/>
                <w:sz w:val="17"/>
                <w:szCs w:val="17"/>
              </w:rPr>
              <w:t>(自</w:t>
            </w:r>
          </w:p>
          <w:p w14:paraId="154C8523">
            <w:pPr>
              <w:pStyle w:val="51"/>
              <w:spacing w:before="91" w:line="223" w:lineRule="auto"/>
              <w:ind w:left="664"/>
              <w:rPr>
                <w:sz w:val="17"/>
                <w:szCs w:val="17"/>
              </w:rPr>
            </w:pPr>
            <w:r>
              <w:rPr>
                <w:spacing w:val="1"/>
                <w:sz w:val="17"/>
                <w:szCs w:val="17"/>
              </w:rPr>
              <w:t>制)</w:t>
            </w:r>
          </w:p>
        </w:tc>
        <w:tc>
          <w:tcPr>
            <w:tcW w:w="1586" w:type="dxa"/>
            <w:vAlign w:val="top"/>
          </w:tcPr>
          <w:p w14:paraId="6BF00A35">
            <w:pPr>
              <w:pStyle w:val="51"/>
              <w:spacing w:before="88" w:line="226" w:lineRule="auto"/>
              <w:ind w:left="91"/>
              <w:rPr>
                <w:sz w:val="17"/>
                <w:szCs w:val="17"/>
              </w:rPr>
            </w:pPr>
            <w:r>
              <w:rPr>
                <w:spacing w:val="7"/>
                <w:sz w:val="17"/>
                <w:szCs w:val="17"/>
              </w:rPr>
              <w:t>生食动物性水产品</w:t>
            </w:r>
          </w:p>
          <w:p w14:paraId="72E11111">
            <w:pPr>
              <w:pStyle w:val="51"/>
              <w:spacing w:before="92" w:line="223" w:lineRule="auto"/>
              <w:ind w:left="558"/>
              <w:rPr>
                <w:sz w:val="17"/>
                <w:szCs w:val="17"/>
              </w:rPr>
            </w:pPr>
            <w:r>
              <w:rPr>
                <w:spacing w:val="-3"/>
                <w:sz w:val="17"/>
                <w:szCs w:val="17"/>
              </w:rPr>
              <w:t>(自制)</w:t>
            </w:r>
          </w:p>
        </w:tc>
        <w:tc>
          <w:tcPr>
            <w:tcW w:w="682" w:type="dxa"/>
            <w:vAlign w:val="top"/>
          </w:tcPr>
          <w:p w14:paraId="12F84013">
            <w:pPr>
              <w:pStyle w:val="51"/>
              <w:spacing w:before="239" w:line="227" w:lineRule="auto"/>
              <w:ind w:left="170"/>
              <w:rPr>
                <w:sz w:val="17"/>
                <w:szCs w:val="17"/>
              </w:rPr>
            </w:pPr>
            <w:r>
              <w:rPr>
                <w:spacing w:val="3"/>
                <w:sz w:val="17"/>
                <w:szCs w:val="17"/>
              </w:rPr>
              <w:t>较高</w:t>
            </w:r>
          </w:p>
        </w:tc>
        <w:tc>
          <w:tcPr>
            <w:tcW w:w="8563" w:type="dxa"/>
            <w:vAlign w:val="top"/>
          </w:tcPr>
          <w:p w14:paraId="72CFEBAA">
            <w:pPr>
              <w:pStyle w:val="51"/>
              <w:spacing w:before="239" w:line="228" w:lineRule="auto"/>
              <w:ind w:left="38"/>
              <w:rPr>
                <w:sz w:val="17"/>
                <w:szCs w:val="17"/>
              </w:rPr>
            </w:pPr>
            <w:r>
              <w:rPr>
                <w:spacing w:val="9"/>
                <w:sz w:val="17"/>
                <w:szCs w:val="17"/>
              </w:rPr>
              <w:t>铝的残留量(以即食海蜇中</w:t>
            </w:r>
            <w:r>
              <w:rPr>
                <w:sz w:val="17"/>
                <w:szCs w:val="17"/>
              </w:rPr>
              <w:t>Al</w:t>
            </w:r>
            <w:r>
              <w:rPr>
                <w:spacing w:val="9"/>
                <w:sz w:val="17"/>
                <w:szCs w:val="17"/>
              </w:rPr>
              <w:t>计)</w:t>
            </w:r>
          </w:p>
        </w:tc>
      </w:tr>
      <w:tr w14:paraId="500C4C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459" w:type="dxa"/>
            <w:vMerge w:val="continue"/>
            <w:tcBorders>
              <w:top w:val="nil"/>
              <w:bottom w:val="nil"/>
            </w:tcBorders>
            <w:vAlign w:val="top"/>
          </w:tcPr>
          <w:p w14:paraId="38C282DF">
            <w:pPr>
              <w:rPr>
                <w:rFonts w:ascii="Arial"/>
                <w:sz w:val="21"/>
              </w:rPr>
            </w:pPr>
          </w:p>
        </w:tc>
        <w:tc>
          <w:tcPr>
            <w:tcW w:w="942" w:type="dxa"/>
            <w:vMerge w:val="continue"/>
            <w:tcBorders>
              <w:top w:val="nil"/>
              <w:bottom w:val="nil"/>
            </w:tcBorders>
            <w:vAlign w:val="top"/>
          </w:tcPr>
          <w:p w14:paraId="25DF4D90">
            <w:pPr>
              <w:rPr>
                <w:rFonts w:ascii="Arial"/>
                <w:sz w:val="21"/>
              </w:rPr>
            </w:pPr>
          </w:p>
        </w:tc>
        <w:tc>
          <w:tcPr>
            <w:tcW w:w="1360" w:type="dxa"/>
            <w:vAlign w:val="top"/>
          </w:tcPr>
          <w:p w14:paraId="70D42442">
            <w:pPr>
              <w:pStyle w:val="51"/>
              <w:spacing w:before="88" w:line="227" w:lineRule="auto"/>
              <w:ind w:left="59"/>
              <w:rPr>
                <w:sz w:val="17"/>
                <w:szCs w:val="17"/>
              </w:rPr>
            </w:pPr>
            <w:r>
              <w:rPr>
                <w:spacing w:val="7"/>
                <w:sz w:val="17"/>
                <w:szCs w:val="17"/>
              </w:rPr>
              <w:t>坚果及籽类食品</w:t>
            </w:r>
          </w:p>
          <w:p w14:paraId="413DDDFF">
            <w:pPr>
              <w:pStyle w:val="51"/>
              <w:spacing w:before="91" w:line="224" w:lineRule="auto"/>
              <w:ind w:left="441"/>
              <w:rPr>
                <w:sz w:val="17"/>
                <w:szCs w:val="17"/>
              </w:rPr>
            </w:pPr>
            <w:r>
              <w:rPr>
                <w:spacing w:val="-2"/>
                <w:sz w:val="17"/>
                <w:szCs w:val="17"/>
              </w:rPr>
              <w:t>(自制)</w:t>
            </w:r>
          </w:p>
        </w:tc>
        <w:tc>
          <w:tcPr>
            <w:tcW w:w="1581" w:type="dxa"/>
            <w:vAlign w:val="top"/>
          </w:tcPr>
          <w:p w14:paraId="02983554">
            <w:pPr>
              <w:pStyle w:val="51"/>
              <w:spacing w:before="88" w:line="227" w:lineRule="auto"/>
              <w:ind w:left="172"/>
              <w:rPr>
                <w:sz w:val="17"/>
                <w:szCs w:val="17"/>
              </w:rPr>
            </w:pPr>
            <w:r>
              <w:rPr>
                <w:spacing w:val="7"/>
                <w:sz w:val="17"/>
                <w:szCs w:val="17"/>
              </w:rPr>
              <w:t>坚果及籽类食品</w:t>
            </w:r>
          </w:p>
          <w:p w14:paraId="2D85DBB0">
            <w:pPr>
              <w:pStyle w:val="51"/>
              <w:spacing w:before="91" w:line="224" w:lineRule="auto"/>
              <w:ind w:left="555"/>
              <w:rPr>
                <w:sz w:val="17"/>
                <w:szCs w:val="17"/>
              </w:rPr>
            </w:pPr>
            <w:r>
              <w:rPr>
                <w:spacing w:val="-3"/>
                <w:sz w:val="17"/>
                <w:szCs w:val="17"/>
              </w:rPr>
              <w:t>(自制)</w:t>
            </w:r>
          </w:p>
        </w:tc>
        <w:tc>
          <w:tcPr>
            <w:tcW w:w="1586" w:type="dxa"/>
            <w:vAlign w:val="top"/>
          </w:tcPr>
          <w:p w14:paraId="1375AB0B">
            <w:pPr>
              <w:pStyle w:val="51"/>
              <w:spacing w:before="239" w:line="226" w:lineRule="auto"/>
              <w:ind w:left="173"/>
              <w:rPr>
                <w:sz w:val="17"/>
                <w:szCs w:val="17"/>
              </w:rPr>
            </w:pPr>
            <w:r>
              <w:rPr>
                <w:spacing w:val="2"/>
                <w:sz w:val="17"/>
                <w:szCs w:val="17"/>
              </w:rPr>
              <w:t>花生制品</w:t>
            </w:r>
            <w:r>
              <w:rPr>
                <w:spacing w:val="-47"/>
                <w:sz w:val="17"/>
                <w:szCs w:val="17"/>
              </w:rPr>
              <w:t xml:space="preserve"> </w:t>
            </w:r>
            <w:r>
              <w:rPr>
                <w:spacing w:val="2"/>
                <w:sz w:val="17"/>
                <w:szCs w:val="17"/>
              </w:rPr>
              <w:t>(自制)</w:t>
            </w:r>
          </w:p>
        </w:tc>
        <w:tc>
          <w:tcPr>
            <w:tcW w:w="682" w:type="dxa"/>
            <w:vAlign w:val="top"/>
          </w:tcPr>
          <w:p w14:paraId="2C25B615">
            <w:pPr>
              <w:pStyle w:val="51"/>
              <w:spacing w:before="240" w:line="230" w:lineRule="auto"/>
              <w:ind w:left="267"/>
              <w:rPr>
                <w:sz w:val="17"/>
                <w:szCs w:val="17"/>
              </w:rPr>
            </w:pPr>
            <w:r>
              <w:rPr>
                <w:sz w:val="17"/>
                <w:szCs w:val="17"/>
              </w:rPr>
              <w:t>高</w:t>
            </w:r>
          </w:p>
        </w:tc>
        <w:tc>
          <w:tcPr>
            <w:tcW w:w="8563" w:type="dxa"/>
            <w:vAlign w:val="top"/>
          </w:tcPr>
          <w:p w14:paraId="2E17F3C0">
            <w:pPr>
              <w:pStyle w:val="51"/>
              <w:spacing w:before="88" w:line="275" w:lineRule="auto"/>
              <w:ind w:left="37" w:right="26"/>
              <w:rPr>
                <w:sz w:val="17"/>
                <w:szCs w:val="17"/>
              </w:rPr>
            </w:pPr>
            <w:r>
              <w:rPr>
                <w:spacing w:val="9"/>
                <w:sz w:val="17"/>
                <w:szCs w:val="17"/>
              </w:rPr>
              <w:t>黄曲霉毒素B</w:t>
            </w:r>
            <w:r>
              <w:rPr>
                <w:spacing w:val="9"/>
                <w:position w:val="-2"/>
                <w:sz w:val="8"/>
                <w:szCs w:val="8"/>
              </w:rPr>
              <w:t>1</w:t>
            </w:r>
            <w:r>
              <w:rPr>
                <w:spacing w:val="-14"/>
                <w:position w:val="-2"/>
                <w:sz w:val="8"/>
                <w:szCs w:val="8"/>
              </w:rPr>
              <w:t xml:space="preserve"> </w:t>
            </w:r>
            <w:r>
              <w:rPr>
                <w:spacing w:val="9"/>
                <w:sz w:val="17"/>
                <w:szCs w:val="17"/>
              </w:rPr>
              <w:t>、苯甲酸及其钠盐(以苯甲酸计)、山梨酸及其</w:t>
            </w:r>
            <w:r>
              <w:rPr>
                <w:spacing w:val="8"/>
                <w:sz w:val="17"/>
                <w:szCs w:val="17"/>
              </w:rPr>
              <w:t>钾盐(以山梨酸计)、脱氢乙酸及其钠盐(以脱氢乙</w:t>
            </w:r>
            <w:r>
              <w:rPr>
                <w:spacing w:val="4"/>
                <w:sz w:val="17"/>
                <w:szCs w:val="17"/>
              </w:rPr>
              <w:t>酸计)</w:t>
            </w:r>
          </w:p>
        </w:tc>
      </w:tr>
      <w:tr w14:paraId="4E730A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459" w:type="dxa"/>
            <w:vMerge w:val="continue"/>
            <w:tcBorders>
              <w:top w:val="nil"/>
              <w:bottom w:val="nil"/>
            </w:tcBorders>
            <w:vAlign w:val="top"/>
          </w:tcPr>
          <w:p w14:paraId="1C54D58E">
            <w:pPr>
              <w:rPr>
                <w:rFonts w:ascii="Arial"/>
                <w:sz w:val="21"/>
              </w:rPr>
            </w:pPr>
          </w:p>
        </w:tc>
        <w:tc>
          <w:tcPr>
            <w:tcW w:w="942" w:type="dxa"/>
            <w:vMerge w:val="continue"/>
            <w:tcBorders>
              <w:top w:val="nil"/>
              <w:bottom w:val="nil"/>
            </w:tcBorders>
            <w:vAlign w:val="top"/>
          </w:tcPr>
          <w:p w14:paraId="73A80EB7">
            <w:pPr>
              <w:rPr>
                <w:rFonts w:ascii="Arial"/>
                <w:sz w:val="21"/>
              </w:rPr>
            </w:pPr>
          </w:p>
        </w:tc>
        <w:tc>
          <w:tcPr>
            <w:tcW w:w="1360" w:type="dxa"/>
            <w:vMerge w:val="restart"/>
            <w:tcBorders>
              <w:bottom w:val="nil"/>
            </w:tcBorders>
            <w:vAlign w:val="top"/>
          </w:tcPr>
          <w:p w14:paraId="3AEAF035">
            <w:pPr>
              <w:spacing w:line="318" w:lineRule="auto"/>
              <w:rPr>
                <w:rFonts w:ascii="Arial"/>
                <w:sz w:val="21"/>
              </w:rPr>
            </w:pPr>
          </w:p>
          <w:p w14:paraId="5D4564E3">
            <w:pPr>
              <w:spacing w:line="318" w:lineRule="auto"/>
              <w:rPr>
                <w:rFonts w:ascii="Arial"/>
                <w:sz w:val="21"/>
              </w:rPr>
            </w:pPr>
          </w:p>
          <w:p w14:paraId="01C6987A">
            <w:pPr>
              <w:pStyle w:val="51"/>
              <w:spacing w:before="55" w:line="229" w:lineRule="auto"/>
              <w:ind w:left="418"/>
              <w:rPr>
                <w:sz w:val="17"/>
                <w:szCs w:val="17"/>
              </w:rPr>
            </w:pPr>
            <w:r>
              <w:rPr>
                <w:spacing w:val="5"/>
                <w:sz w:val="17"/>
                <w:szCs w:val="17"/>
              </w:rPr>
              <w:t>餐饮具</w:t>
            </w:r>
          </w:p>
        </w:tc>
        <w:tc>
          <w:tcPr>
            <w:tcW w:w="1581" w:type="dxa"/>
            <w:vMerge w:val="restart"/>
            <w:tcBorders>
              <w:bottom w:val="nil"/>
            </w:tcBorders>
            <w:vAlign w:val="top"/>
          </w:tcPr>
          <w:p w14:paraId="614CBD63">
            <w:pPr>
              <w:spacing w:line="318" w:lineRule="auto"/>
              <w:rPr>
                <w:rFonts w:ascii="Arial"/>
                <w:sz w:val="21"/>
              </w:rPr>
            </w:pPr>
          </w:p>
          <w:p w14:paraId="269BBD7C">
            <w:pPr>
              <w:spacing w:line="318" w:lineRule="auto"/>
              <w:rPr>
                <w:rFonts w:ascii="Arial"/>
                <w:sz w:val="21"/>
              </w:rPr>
            </w:pPr>
          </w:p>
          <w:p w14:paraId="622CEF5E">
            <w:pPr>
              <w:pStyle w:val="51"/>
              <w:spacing w:before="55" w:line="229" w:lineRule="auto"/>
              <w:ind w:left="357"/>
              <w:rPr>
                <w:sz w:val="17"/>
                <w:szCs w:val="17"/>
              </w:rPr>
            </w:pPr>
            <w:r>
              <w:rPr>
                <w:spacing w:val="5"/>
                <w:sz w:val="17"/>
                <w:szCs w:val="17"/>
              </w:rPr>
              <w:t>复用餐饮具</w:t>
            </w:r>
          </w:p>
        </w:tc>
        <w:tc>
          <w:tcPr>
            <w:tcW w:w="1586" w:type="dxa"/>
            <w:vAlign w:val="top"/>
          </w:tcPr>
          <w:p w14:paraId="71A78630">
            <w:pPr>
              <w:pStyle w:val="51"/>
              <w:spacing w:before="90" w:line="229" w:lineRule="auto"/>
              <w:ind w:left="43"/>
              <w:rPr>
                <w:sz w:val="17"/>
                <w:szCs w:val="17"/>
              </w:rPr>
            </w:pPr>
            <w:r>
              <w:rPr>
                <w:spacing w:val="7"/>
                <w:sz w:val="17"/>
                <w:szCs w:val="17"/>
              </w:rPr>
              <w:t>复用餐饮具(餐馆自</w:t>
            </w:r>
          </w:p>
          <w:p w14:paraId="17FDF1C2">
            <w:pPr>
              <w:pStyle w:val="51"/>
              <w:spacing w:before="89" w:line="222" w:lineRule="auto"/>
              <w:ind w:left="488"/>
              <w:rPr>
                <w:sz w:val="17"/>
                <w:szCs w:val="17"/>
              </w:rPr>
            </w:pPr>
            <w:r>
              <w:rPr>
                <w:spacing w:val="5"/>
                <w:sz w:val="17"/>
                <w:szCs w:val="17"/>
              </w:rPr>
              <w:t>行消毒)</w:t>
            </w:r>
          </w:p>
        </w:tc>
        <w:tc>
          <w:tcPr>
            <w:tcW w:w="682" w:type="dxa"/>
            <w:vAlign w:val="top"/>
          </w:tcPr>
          <w:p w14:paraId="7881DFF2">
            <w:pPr>
              <w:pStyle w:val="51"/>
              <w:spacing w:before="239" w:line="230" w:lineRule="auto"/>
              <w:ind w:left="267"/>
              <w:rPr>
                <w:sz w:val="17"/>
                <w:szCs w:val="17"/>
              </w:rPr>
            </w:pPr>
            <w:r>
              <w:rPr>
                <w:sz w:val="17"/>
                <w:szCs w:val="17"/>
              </w:rPr>
              <w:t>高</w:t>
            </w:r>
          </w:p>
        </w:tc>
        <w:tc>
          <w:tcPr>
            <w:tcW w:w="8563" w:type="dxa"/>
            <w:vAlign w:val="top"/>
          </w:tcPr>
          <w:p w14:paraId="3E3088A7">
            <w:pPr>
              <w:pStyle w:val="51"/>
              <w:spacing w:before="239" w:line="223" w:lineRule="auto"/>
              <w:ind w:left="49"/>
              <w:rPr>
                <w:sz w:val="17"/>
                <w:szCs w:val="17"/>
              </w:rPr>
            </w:pPr>
            <w:r>
              <w:rPr>
                <w:spacing w:val="8"/>
                <w:sz w:val="17"/>
                <w:szCs w:val="17"/>
              </w:rPr>
              <w:t>阴离子合成洗涤剂(以十二烷基苯磺酸钠计)、大肠菌群</w:t>
            </w:r>
          </w:p>
        </w:tc>
      </w:tr>
      <w:tr w14:paraId="1490AB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4" w:hRule="atLeast"/>
        </w:trPr>
        <w:tc>
          <w:tcPr>
            <w:tcW w:w="459" w:type="dxa"/>
            <w:vMerge w:val="continue"/>
            <w:tcBorders>
              <w:top w:val="nil"/>
              <w:bottom w:val="nil"/>
            </w:tcBorders>
            <w:vAlign w:val="top"/>
          </w:tcPr>
          <w:p w14:paraId="79226AA0">
            <w:pPr>
              <w:rPr>
                <w:rFonts w:ascii="Arial"/>
                <w:sz w:val="21"/>
              </w:rPr>
            </w:pPr>
          </w:p>
        </w:tc>
        <w:tc>
          <w:tcPr>
            <w:tcW w:w="942" w:type="dxa"/>
            <w:vMerge w:val="continue"/>
            <w:tcBorders>
              <w:top w:val="nil"/>
              <w:bottom w:val="nil"/>
            </w:tcBorders>
            <w:vAlign w:val="top"/>
          </w:tcPr>
          <w:p w14:paraId="507BC412">
            <w:pPr>
              <w:rPr>
                <w:rFonts w:ascii="Arial"/>
                <w:sz w:val="21"/>
              </w:rPr>
            </w:pPr>
          </w:p>
        </w:tc>
        <w:tc>
          <w:tcPr>
            <w:tcW w:w="1360" w:type="dxa"/>
            <w:vMerge w:val="continue"/>
            <w:tcBorders>
              <w:top w:val="nil"/>
            </w:tcBorders>
            <w:vAlign w:val="top"/>
          </w:tcPr>
          <w:p w14:paraId="74A47733">
            <w:pPr>
              <w:rPr>
                <w:rFonts w:ascii="Arial"/>
                <w:sz w:val="21"/>
              </w:rPr>
            </w:pPr>
          </w:p>
        </w:tc>
        <w:tc>
          <w:tcPr>
            <w:tcW w:w="1581" w:type="dxa"/>
            <w:vMerge w:val="continue"/>
            <w:tcBorders>
              <w:top w:val="nil"/>
            </w:tcBorders>
            <w:vAlign w:val="top"/>
          </w:tcPr>
          <w:p w14:paraId="5734CA34">
            <w:pPr>
              <w:rPr>
                <w:rFonts w:ascii="Arial"/>
                <w:sz w:val="21"/>
              </w:rPr>
            </w:pPr>
          </w:p>
        </w:tc>
        <w:tc>
          <w:tcPr>
            <w:tcW w:w="1586" w:type="dxa"/>
            <w:vAlign w:val="top"/>
          </w:tcPr>
          <w:p w14:paraId="72E6E4EA">
            <w:pPr>
              <w:pStyle w:val="51"/>
              <w:spacing w:before="90" w:line="227" w:lineRule="auto"/>
              <w:ind w:left="43"/>
              <w:rPr>
                <w:sz w:val="17"/>
                <w:szCs w:val="17"/>
              </w:rPr>
            </w:pPr>
            <w:r>
              <w:rPr>
                <w:spacing w:val="7"/>
                <w:sz w:val="17"/>
                <w:szCs w:val="17"/>
              </w:rPr>
              <w:t>复用餐饮具(集中清</w:t>
            </w:r>
          </w:p>
          <w:p w14:paraId="0ACB6C81">
            <w:pPr>
              <w:pStyle w:val="51"/>
              <w:spacing w:before="90" w:line="227" w:lineRule="auto"/>
              <w:ind w:left="85"/>
              <w:rPr>
                <w:sz w:val="17"/>
                <w:szCs w:val="17"/>
              </w:rPr>
            </w:pPr>
            <w:r>
              <w:rPr>
                <w:spacing w:val="7"/>
                <w:sz w:val="17"/>
                <w:szCs w:val="17"/>
              </w:rPr>
              <w:t>洗消毒服务单位消</w:t>
            </w:r>
          </w:p>
          <w:p w14:paraId="2D69CADC">
            <w:pPr>
              <w:pStyle w:val="51"/>
              <w:spacing w:before="91" w:line="221" w:lineRule="auto"/>
              <w:ind w:left="668"/>
              <w:rPr>
                <w:sz w:val="17"/>
                <w:szCs w:val="17"/>
              </w:rPr>
            </w:pPr>
            <w:r>
              <w:rPr>
                <w:sz w:val="17"/>
                <w:szCs w:val="17"/>
              </w:rPr>
              <w:t>毒)</w:t>
            </w:r>
          </w:p>
        </w:tc>
        <w:tc>
          <w:tcPr>
            <w:tcW w:w="682" w:type="dxa"/>
            <w:vAlign w:val="top"/>
          </w:tcPr>
          <w:p w14:paraId="53DE59A4">
            <w:pPr>
              <w:spacing w:line="333" w:lineRule="auto"/>
              <w:rPr>
                <w:rFonts w:ascii="Arial"/>
                <w:sz w:val="21"/>
              </w:rPr>
            </w:pPr>
          </w:p>
          <w:p w14:paraId="72B42380">
            <w:pPr>
              <w:pStyle w:val="51"/>
              <w:spacing w:before="55" w:line="227" w:lineRule="auto"/>
              <w:ind w:left="170"/>
              <w:rPr>
                <w:sz w:val="17"/>
                <w:szCs w:val="17"/>
              </w:rPr>
            </w:pPr>
            <w:r>
              <w:rPr>
                <w:spacing w:val="3"/>
                <w:sz w:val="17"/>
                <w:szCs w:val="17"/>
              </w:rPr>
              <w:t>较高</w:t>
            </w:r>
          </w:p>
        </w:tc>
        <w:tc>
          <w:tcPr>
            <w:tcW w:w="8563" w:type="dxa"/>
            <w:vAlign w:val="top"/>
          </w:tcPr>
          <w:p w14:paraId="073ACC73">
            <w:pPr>
              <w:spacing w:line="333" w:lineRule="auto"/>
              <w:rPr>
                <w:rFonts w:ascii="Arial"/>
                <w:sz w:val="21"/>
              </w:rPr>
            </w:pPr>
          </w:p>
          <w:p w14:paraId="5958B80F">
            <w:pPr>
              <w:pStyle w:val="51"/>
              <w:spacing w:before="55" w:line="223" w:lineRule="auto"/>
              <w:ind w:left="49"/>
              <w:rPr>
                <w:sz w:val="17"/>
                <w:szCs w:val="17"/>
              </w:rPr>
            </w:pPr>
            <w:r>
              <w:rPr>
                <w:spacing w:val="8"/>
                <w:sz w:val="17"/>
                <w:szCs w:val="17"/>
              </w:rPr>
              <w:t>阴离子合成洗涤剂(以十二烷基苯磺酸钠计)、大肠菌群</w:t>
            </w:r>
          </w:p>
        </w:tc>
      </w:tr>
      <w:tr w14:paraId="1A1C96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7" w:hRule="atLeast"/>
        </w:trPr>
        <w:tc>
          <w:tcPr>
            <w:tcW w:w="459" w:type="dxa"/>
            <w:vMerge w:val="continue"/>
            <w:tcBorders>
              <w:top w:val="nil"/>
            </w:tcBorders>
            <w:vAlign w:val="top"/>
          </w:tcPr>
          <w:p w14:paraId="46E65EC9">
            <w:pPr>
              <w:rPr>
                <w:rFonts w:ascii="Arial"/>
                <w:sz w:val="21"/>
              </w:rPr>
            </w:pPr>
          </w:p>
        </w:tc>
        <w:tc>
          <w:tcPr>
            <w:tcW w:w="942" w:type="dxa"/>
            <w:vMerge w:val="continue"/>
            <w:tcBorders>
              <w:top w:val="nil"/>
            </w:tcBorders>
            <w:vAlign w:val="top"/>
          </w:tcPr>
          <w:p w14:paraId="4E2CB7E0">
            <w:pPr>
              <w:rPr>
                <w:rFonts w:ascii="Arial"/>
                <w:sz w:val="21"/>
              </w:rPr>
            </w:pPr>
          </w:p>
        </w:tc>
        <w:tc>
          <w:tcPr>
            <w:tcW w:w="1360" w:type="dxa"/>
            <w:vAlign w:val="top"/>
          </w:tcPr>
          <w:p w14:paraId="7A508CE9">
            <w:pPr>
              <w:pStyle w:val="51"/>
              <w:spacing w:before="240" w:line="227" w:lineRule="auto"/>
              <w:ind w:left="57"/>
              <w:rPr>
                <w:sz w:val="17"/>
                <w:szCs w:val="17"/>
              </w:rPr>
            </w:pPr>
            <w:r>
              <w:rPr>
                <w:spacing w:val="2"/>
                <w:sz w:val="17"/>
                <w:szCs w:val="17"/>
              </w:rPr>
              <w:t>焙烤食品</w:t>
            </w:r>
            <w:r>
              <w:rPr>
                <w:spacing w:val="-45"/>
                <w:sz w:val="17"/>
                <w:szCs w:val="17"/>
              </w:rPr>
              <w:t xml:space="preserve"> </w:t>
            </w:r>
            <w:r>
              <w:rPr>
                <w:spacing w:val="2"/>
                <w:sz w:val="17"/>
                <w:szCs w:val="17"/>
              </w:rPr>
              <w:t>(自制)</w:t>
            </w:r>
          </w:p>
        </w:tc>
        <w:tc>
          <w:tcPr>
            <w:tcW w:w="1581" w:type="dxa"/>
            <w:vAlign w:val="top"/>
          </w:tcPr>
          <w:p w14:paraId="66358C48">
            <w:pPr>
              <w:pStyle w:val="51"/>
              <w:spacing w:before="240" w:line="227" w:lineRule="auto"/>
              <w:ind w:left="171"/>
              <w:rPr>
                <w:sz w:val="17"/>
                <w:szCs w:val="17"/>
              </w:rPr>
            </w:pPr>
            <w:r>
              <w:rPr>
                <w:spacing w:val="2"/>
                <w:sz w:val="17"/>
                <w:szCs w:val="17"/>
              </w:rPr>
              <w:t>焙烤食品</w:t>
            </w:r>
            <w:r>
              <w:rPr>
                <w:spacing w:val="-48"/>
                <w:sz w:val="17"/>
                <w:szCs w:val="17"/>
              </w:rPr>
              <w:t xml:space="preserve"> </w:t>
            </w:r>
            <w:r>
              <w:rPr>
                <w:spacing w:val="2"/>
                <w:sz w:val="17"/>
                <w:szCs w:val="17"/>
              </w:rPr>
              <w:t>(自制)</w:t>
            </w:r>
          </w:p>
        </w:tc>
        <w:tc>
          <w:tcPr>
            <w:tcW w:w="1586" w:type="dxa"/>
            <w:vAlign w:val="top"/>
          </w:tcPr>
          <w:p w14:paraId="15CCF1C0">
            <w:pPr>
              <w:pStyle w:val="51"/>
              <w:spacing w:before="240" w:line="227" w:lineRule="auto"/>
              <w:ind w:left="352"/>
              <w:rPr>
                <w:sz w:val="17"/>
                <w:szCs w:val="17"/>
              </w:rPr>
            </w:pPr>
            <w:r>
              <w:rPr>
                <w:spacing w:val="6"/>
                <w:sz w:val="17"/>
                <w:szCs w:val="17"/>
              </w:rPr>
              <w:t>糕点(自制)</w:t>
            </w:r>
          </w:p>
        </w:tc>
        <w:tc>
          <w:tcPr>
            <w:tcW w:w="682" w:type="dxa"/>
            <w:vAlign w:val="top"/>
          </w:tcPr>
          <w:p w14:paraId="12380AEA">
            <w:pPr>
              <w:pStyle w:val="51"/>
              <w:spacing w:before="240" w:line="230" w:lineRule="auto"/>
              <w:ind w:left="173"/>
              <w:rPr>
                <w:sz w:val="17"/>
                <w:szCs w:val="17"/>
              </w:rPr>
            </w:pPr>
            <w:r>
              <w:rPr>
                <w:spacing w:val="2"/>
                <w:sz w:val="17"/>
                <w:szCs w:val="17"/>
              </w:rPr>
              <w:t>一般</w:t>
            </w:r>
          </w:p>
        </w:tc>
        <w:tc>
          <w:tcPr>
            <w:tcW w:w="8563" w:type="dxa"/>
            <w:vAlign w:val="top"/>
          </w:tcPr>
          <w:p w14:paraId="67049C3C">
            <w:pPr>
              <w:pStyle w:val="51"/>
              <w:spacing w:before="90" w:line="275" w:lineRule="auto"/>
              <w:ind w:left="37" w:right="28"/>
              <w:rPr>
                <w:sz w:val="17"/>
                <w:szCs w:val="17"/>
              </w:rPr>
            </w:pPr>
            <w:r>
              <w:rPr>
                <w:spacing w:val="10"/>
                <w:sz w:val="17"/>
                <w:szCs w:val="17"/>
              </w:rPr>
              <w:t>酸价(以脂肪计)(</w:t>
            </w:r>
            <w:r>
              <w:rPr>
                <w:sz w:val="17"/>
                <w:szCs w:val="17"/>
              </w:rPr>
              <w:t>KOH</w:t>
            </w:r>
            <w:r>
              <w:rPr>
                <w:spacing w:val="10"/>
                <w:sz w:val="17"/>
                <w:szCs w:val="17"/>
              </w:rPr>
              <w:t>)、过氧化值(以脂肪计)、山梨酸及其钾盐(以山梨酸计)、脱氢乙酸及其钠盐(以脱氢乙</w:t>
            </w:r>
            <w:r>
              <w:rPr>
                <w:spacing w:val="9"/>
                <w:sz w:val="17"/>
                <w:szCs w:val="17"/>
              </w:rPr>
              <w:t>酸计)、铝的残留量(干样品，以</w:t>
            </w:r>
            <w:r>
              <w:rPr>
                <w:sz w:val="17"/>
                <w:szCs w:val="17"/>
              </w:rPr>
              <w:t>Al</w:t>
            </w:r>
            <w:r>
              <w:rPr>
                <w:spacing w:val="9"/>
                <w:sz w:val="17"/>
                <w:szCs w:val="17"/>
              </w:rPr>
              <w:t>计)</w:t>
            </w:r>
          </w:p>
        </w:tc>
      </w:tr>
    </w:tbl>
    <w:p w14:paraId="7101CEBA">
      <w:pPr>
        <w:rPr>
          <w:rFonts w:ascii="Arial"/>
          <w:sz w:val="21"/>
        </w:rPr>
      </w:pPr>
    </w:p>
    <w:p w14:paraId="5B065679">
      <w:pPr>
        <w:rPr>
          <w:rFonts w:ascii="Arial" w:hAnsi="Arial" w:eastAsia="Arial" w:cs="Arial"/>
          <w:sz w:val="21"/>
          <w:szCs w:val="21"/>
        </w:rPr>
        <w:sectPr>
          <w:pgSz w:w="16838" w:h="11906"/>
          <w:pgMar w:top="1011" w:right="829" w:bottom="400" w:left="363" w:header="567" w:footer="567" w:gutter="0"/>
          <w:pgNumType w:fmt="decimal"/>
          <w:cols w:space="720" w:num="1"/>
        </w:sectPr>
      </w:pPr>
    </w:p>
    <w:p w14:paraId="4E94C82E">
      <w:pPr>
        <w:spacing w:before="18"/>
      </w:pPr>
    </w:p>
    <w:tbl>
      <w:tblPr>
        <w:tblStyle w:val="50"/>
        <w:tblW w:w="15173" w:type="dxa"/>
        <w:tblInd w:w="46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59"/>
        <w:gridCol w:w="942"/>
        <w:gridCol w:w="1360"/>
        <w:gridCol w:w="1581"/>
        <w:gridCol w:w="1586"/>
        <w:gridCol w:w="682"/>
        <w:gridCol w:w="8563"/>
      </w:tblGrid>
      <w:tr w14:paraId="3F6C60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459" w:type="dxa"/>
            <w:vAlign w:val="top"/>
          </w:tcPr>
          <w:p w14:paraId="0EC0A15B">
            <w:pPr>
              <w:spacing w:before="241" w:line="234" w:lineRule="auto"/>
              <w:ind w:left="52"/>
              <w:rPr>
                <w:rFonts w:ascii="黑体" w:hAnsi="黑体" w:eastAsia="黑体" w:cs="黑体"/>
                <w:sz w:val="17"/>
                <w:szCs w:val="17"/>
              </w:rPr>
            </w:pPr>
            <w:r>
              <w:rPr>
                <w:rFonts w:ascii="黑体" w:hAnsi="黑体" w:eastAsia="黑体" w:cs="黑体"/>
                <w:spacing w:val="6"/>
                <w:sz w:val="17"/>
                <w:szCs w:val="17"/>
              </w:rPr>
              <w:t>序号</w:t>
            </w:r>
          </w:p>
        </w:tc>
        <w:tc>
          <w:tcPr>
            <w:tcW w:w="942" w:type="dxa"/>
            <w:vAlign w:val="top"/>
          </w:tcPr>
          <w:p w14:paraId="77D599B5">
            <w:pPr>
              <w:spacing w:before="90" w:line="232" w:lineRule="auto"/>
              <w:ind w:left="111"/>
              <w:rPr>
                <w:rFonts w:ascii="黑体" w:hAnsi="黑体" w:eastAsia="黑体" w:cs="黑体"/>
                <w:sz w:val="17"/>
                <w:szCs w:val="17"/>
              </w:rPr>
            </w:pPr>
            <w:r>
              <w:rPr>
                <w:rFonts w:ascii="黑体" w:hAnsi="黑体" w:eastAsia="黑体" w:cs="黑体"/>
                <w:spacing w:val="8"/>
                <w:sz w:val="17"/>
                <w:szCs w:val="17"/>
              </w:rPr>
              <w:t>食品大类</w:t>
            </w:r>
          </w:p>
          <w:p w14:paraId="6D0BA4E4">
            <w:pPr>
              <w:spacing w:before="86" w:line="227" w:lineRule="auto"/>
              <w:ind w:left="237"/>
              <w:rPr>
                <w:rFonts w:ascii="黑体" w:hAnsi="黑体" w:eastAsia="黑体" w:cs="黑体"/>
                <w:sz w:val="17"/>
                <w:szCs w:val="17"/>
              </w:rPr>
            </w:pPr>
            <w:r>
              <w:rPr>
                <w:rFonts w:ascii="黑体" w:hAnsi="黑体" w:eastAsia="黑体" w:cs="黑体"/>
                <w:spacing w:val="-4"/>
                <w:sz w:val="17"/>
                <w:szCs w:val="17"/>
              </w:rPr>
              <w:t>(一级)</w:t>
            </w:r>
          </w:p>
        </w:tc>
        <w:tc>
          <w:tcPr>
            <w:tcW w:w="1360" w:type="dxa"/>
            <w:vAlign w:val="top"/>
          </w:tcPr>
          <w:p w14:paraId="08651448">
            <w:pPr>
              <w:spacing w:before="90" w:line="232" w:lineRule="auto"/>
              <w:ind w:left="321"/>
              <w:rPr>
                <w:rFonts w:ascii="黑体" w:hAnsi="黑体" w:eastAsia="黑体" w:cs="黑体"/>
                <w:sz w:val="17"/>
                <w:szCs w:val="17"/>
              </w:rPr>
            </w:pPr>
            <w:r>
              <w:rPr>
                <w:rFonts w:ascii="黑体" w:hAnsi="黑体" w:eastAsia="黑体" w:cs="黑体"/>
                <w:spacing w:val="8"/>
                <w:sz w:val="17"/>
                <w:szCs w:val="17"/>
              </w:rPr>
              <w:t>食品亚类</w:t>
            </w:r>
          </w:p>
          <w:p w14:paraId="3BABB662">
            <w:pPr>
              <w:spacing w:before="86" w:line="227" w:lineRule="auto"/>
              <w:ind w:left="444"/>
              <w:rPr>
                <w:rFonts w:ascii="黑体" w:hAnsi="黑体" w:eastAsia="黑体" w:cs="黑体"/>
                <w:sz w:val="17"/>
                <w:szCs w:val="17"/>
              </w:rPr>
            </w:pPr>
            <w:r>
              <w:rPr>
                <w:rFonts w:ascii="黑体" w:hAnsi="黑体" w:eastAsia="黑体" w:cs="黑体"/>
                <w:spacing w:val="-3"/>
                <w:sz w:val="17"/>
                <w:szCs w:val="17"/>
              </w:rPr>
              <w:t>(二级)</w:t>
            </w:r>
          </w:p>
        </w:tc>
        <w:tc>
          <w:tcPr>
            <w:tcW w:w="1581" w:type="dxa"/>
            <w:vAlign w:val="top"/>
          </w:tcPr>
          <w:p w14:paraId="4F630432">
            <w:pPr>
              <w:spacing w:before="90" w:line="232" w:lineRule="auto"/>
              <w:ind w:left="433"/>
              <w:rPr>
                <w:rFonts w:ascii="黑体" w:hAnsi="黑体" w:eastAsia="黑体" w:cs="黑体"/>
                <w:sz w:val="17"/>
                <w:szCs w:val="17"/>
              </w:rPr>
            </w:pPr>
            <w:r>
              <w:rPr>
                <w:rFonts w:ascii="黑体" w:hAnsi="黑体" w:eastAsia="黑体" w:cs="黑体"/>
                <w:spacing w:val="8"/>
                <w:sz w:val="17"/>
                <w:szCs w:val="17"/>
              </w:rPr>
              <w:t>食品品种</w:t>
            </w:r>
          </w:p>
          <w:p w14:paraId="379B27FF">
            <w:pPr>
              <w:spacing w:before="86" w:line="227" w:lineRule="auto"/>
              <w:ind w:left="558"/>
              <w:rPr>
                <w:rFonts w:ascii="黑体" w:hAnsi="黑体" w:eastAsia="黑体" w:cs="黑体"/>
                <w:sz w:val="17"/>
                <w:szCs w:val="17"/>
              </w:rPr>
            </w:pPr>
            <w:r>
              <w:rPr>
                <w:rFonts w:ascii="黑体" w:hAnsi="黑体" w:eastAsia="黑体" w:cs="黑体"/>
                <w:spacing w:val="-4"/>
                <w:sz w:val="17"/>
                <w:szCs w:val="17"/>
              </w:rPr>
              <w:t>(三级)</w:t>
            </w:r>
          </w:p>
        </w:tc>
        <w:tc>
          <w:tcPr>
            <w:tcW w:w="1586" w:type="dxa"/>
            <w:vAlign w:val="top"/>
          </w:tcPr>
          <w:p w14:paraId="2DD7B647">
            <w:pPr>
              <w:spacing w:before="90" w:line="232" w:lineRule="auto"/>
              <w:ind w:left="436"/>
              <w:rPr>
                <w:rFonts w:ascii="黑体" w:hAnsi="黑体" w:eastAsia="黑体" w:cs="黑体"/>
                <w:sz w:val="17"/>
                <w:szCs w:val="17"/>
              </w:rPr>
            </w:pPr>
            <w:r>
              <w:rPr>
                <w:rFonts w:ascii="黑体" w:hAnsi="黑体" w:eastAsia="黑体" w:cs="黑体"/>
                <w:spacing w:val="8"/>
                <w:sz w:val="17"/>
                <w:szCs w:val="17"/>
              </w:rPr>
              <w:t>食品细类</w:t>
            </w:r>
          </w:p>
          <w:p w14:paraId="234C97B6">
            <w:pPr>
              <w:spacing w:before="86" w:line="227" w:lineRule="auto"/>
              <w:ind w:left="561"/>
              <w:rPr>
                <w:rFonts w:ascii="黑体" w:hAnsi="黑体" w:eastAsia="黑体" w:cs="黑体"/>
                <w:sz w:val="17"/>
                <w:szCs w:val="17"/>
              </w:rPr>
            </w:pPr>
            <w:r>
              <w:rPr>
                <w:rFonts w:ascii="黑体" w:hAnsi="黑体" w:eastAsia="黑体" w:cs="黑体"/>
                <w:spacing w:val="-4"/>
                <w:sz w:val="17"/>
                <w:szCs w:val="17"/>
              </w:rPr>
              <w:t>(四级)</w:t>
            </w:r>
          </w:p>
        </w:tc>
        <w:tc>
          <w:tcPr>
            <w:tcW w:w="682" w:type="dxa"/>
            <w:vAlign w:val="top"/>
          </w:tcPr>
          <w:p w14:paraId="23BD58F1">
            <w:pPr>
              <w:spacing w:before="89" w:line="233" w:lineRule="auto"/>
              <w:ind w:left="166"/>
              <w:rPr>
                <w:rFonts w:ascii="黑体" w:hAnsi="黑体" w:eastAsia="黑体" w:cs="黑体"/>
                <w:sz w:val="17"/>
                <w:szCs w:val="17"/>
              </w:rPr>
            </w:pPr>
            <w:r>
              <w:rPr>
                <w:rFonts w:ascii="黑体" w:hAnsi="黑体" w:eastAsia="黑体" w:cs="黑体"/>
                <w:spacing w:val="6"/>
                <w:sz w:val="17"/>
                <w:szCs w:val="17"/>
              </w:rPr>
              <w:t>风险</w:t>
            </w:r>
          </w:p>
          <w:p w14:paraId="6F4F3546">
            <w:pPr>
              <w:spacing w:before="85" w:line="227" w:lineRule="auto"/>
              <w:ind w:left="163"/>
              <w:rPr>
                <w:rFonts w:ascii="黑体" w:hAnsi="黑体" w:eastAsia="黑体" w:cs="黑体"/>
                <w:sz w:val="17"/>
                <w:szCs w:val="17"/>
              </w:rPr>
            </w:pPr>
            <w:r>
              <w:rPr>
                <w:rFonts w:ascii="黑体" w:hAnsi="黑体" w:eastAsia="黑体" w:cs="黑体"/>
                <w:spacing w:val="7"/>
                <w:sz w:val="17"/>
                <w:szCs w:val="17"/>
              </w:rPr>
              <w:t>等级</w:t>
            </w:r>
          </w:p>
        </w:tc>
        <w:tc>
          <w:tcPr>
            <w:tcW w:w="8563" w:type="dxa"/>
            <w:vAlign w:val="top"/>
          </w:tcPr>
          <w:p w14:paraId="7C9613D0">
            <w:pPr>
              <w:spacing w:before="241" w:line="232" w:lineRule="auto"/>
              <w:ind w:left="3744"/>
              <w:rPr>
                <w:rFonts w:ascii="黑体" w:hAnsi="黑体" w:eastAsia="黑体" w:cs="黑体"/>
                <w:sz w:val="17"/>
                <w:szCs w:val="17"/>
              </w:rPr>
            </w:pPr>
            <w:r>
              <w:rPr>
                <w:rFonts w:ascii="黑体" w:hAnsi="黑体" w:eastAsia="黑体" w:cs="黑体"/>
                <w:spacing w:val="8"/>
                <w:sz w:val="17"/>
                <w:szCs w:val="17"/>
              </w:rPr>
              <w:t>监督抽检项目</w:t>
            </w:r>
          </w:p>
        </w:tc>
      </w:tr>
      <w:tr w14:paraId="715B13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459" w:type="dxa"/>
            <w:vMerge w:val="restart"/>
            <w:tcBorders>
              <w:bottom w:val="nil"/>
            </w:tcBorders>
            <w:vAlign w:val="top"/>
          </w:tcPr>
          <w:p w14:paraId="2124E6D5">
            <w:pPr>
              <w:rPr>
                <w:rFonts w:ascii="Arial"/>
                <w:sz w:val="21"/>
              </w:rPr>
            </w:pPr>
          </w:p>
        </w:tc>
        <w:tc>
          <w:tcPr>
            <w:tcW w:w="942" w:type="dxa"/>
            <w:vMerge w:val="restart"/>
            <w:tcBorders>
              <w:bottom w:val="nil"/>
            </w:tcBorders>
            <w:vAlign w:val="top"/>
          </w:tcPr>
          <w:p w14:paraId="6F3C9601">
            <w:pPr>
              <w:rPr>
                <w:rFonts w:ascii="Arial"/>
                <w:sz w:val="21"/>
              </w:rPr>
            </w:pPr>
          </w:p>
        </w:tc>
        <w:tc>
          <w:tcPr>
            <w:tcW w:w="1360" w:type="dxa"/>
            <w:vAlign w:val="top"/>
          </w:tcPr>
          <w:p w14:paraId="2B7AD9B1">
            <w:pPr>
              <w:pStyle w:val="51"/>
              <w:spacing w:before="85" w:line="276" w:lineRule="auto"/>
              <w:ind w:left="147" w:right="51" w:hanging="92"/>
              <w:rPr>
                <w:sz w:val="17"/>
                <w:szCs w:val="17"/>
              </w:rPr>
            </w:pPr>
            <w:r>
              <w:rPr>
                <w:spacing w:val="8"/>
                <w:sz w:val="17"/>
                <w:szCs w:val="17"/>
              </w:rPr>
              <w:t>食用油、油脂及</w:t>
            </w:r>
            <w:r>
              <w:rPr>
                <w:spacing w:val="1"/>
                <w:sz w:val="17"/>
                <w:szCs w:val="17"/>
              </w:rPr>
              <w:t>其制品</w:t>
            </w:r>
            <w:r>
              <w:rPr>
                <w:spacing w:val="-48"/>
                <w:sz w:val="17"/>
                <w:szCs w:val="17"/>
              </w:rPr>
              <w:t xml:space="preserve"> </w:t>
            </w:r>
            <w:r>
              <w:rPr>
                <w:spacing w:val="1"/>
                <w:sz w:val="17"/>
                <w:szCs w:val="17"/>
              </w:rPr>
              <w:t>(自制)</w:t>
            </w:r>
          </w:p>
        </w:tc>
        <w:tc>
          <w:tcPr>
            <w:tcW w:w="1581" w:type="dxa"/>
            <w:vAlign w:val="top"/>
          </w:tcPr>
          <w:p w14:paraId="04BB911F">
            <w:pPr>
              <w:pStyle w:val="51"/>
              <w:spacing w:before="86" w:line="229" w:lineRule="auto"/>
              <w:ind w:left="78"/>
              <w:rPr>
                <w:sz w:val="17"/>
                <w:szCs w:val="17"/>
              </w:rPr>
            </w:pPr>
            <w:r>
              <w:rPr>
                <w:spacing w:val="8"/>
                <w:sz w:val="17"/>
                <w:szCs w:val="17"/>
              </w:rPr>
              <w:t>食用油、油脂及其</w:t>
            </w:r>
          </w:p>
          <w:p w14:paraId="5E44477F">
            <w:pPr>
              <w:pStyle w:val="51"/>
              <w:spacing w:before="89" w:line="225" w:lineRule="auto"/>
              <w:ind w:left="349"/>
              <w:rPr>
                <w:sz w:val="17"/>
                <w:szCs w:val="17"/>
              </w:rPr>
            </w:pPr>
            <w:r>
              <w:rPr>
                <w:spacing w:val="-1"/>
                <w:sz w:val="17"/>
                <w:szCs w:val="17"/>
              </w:rPr>
              <w:t>制品</w:t>
            </w:r>
            <w:r>
              <w:rPr>
                <w:spacing w:val="-44"/>
                <w:sz w:val="17"/>
                <w:szCs w:val="17"/>
              </w:rPr>
              <w:t xml:space="preserve"> </w:t>
            </w:r>
            <w:r>
              <w:rPr>
                <w:spacing w:val="-1"/>
                <w:sz w:val="17"/>
                <w:szCs w:val="17"/>
              </w:rPr>
              <w:t>(自制)</w:t>
            </w:r>
          </w:p>
        </w:tc>
        <w:tc>
          <w:tcPr>
            <w:tcW w:w="1586" w:type="dxa"/>
            <w:vAlign w:val="top"/>
          </w:tcPr>
          <w:p w14:paraId="3E8B5B56">
            <w:pPr>
              <w:pStyle w:val="51"/>
              <w:spacing w:before="237" w:line="228" w:lineRule="auto"/>
              <w:ind w:left="268"/>
              <w:rPr>
                <w:sz w:val="17"/>
                <w:szCs w:val="17"/>
              </w:rPr>
            </w:pPr>
            <w:r>
              <w:rPr>
                <w:spacing w:val="6"/>
                <w:sz w:val="17"/>
                <w:szCs w:val="17"/>
              </w:rPr>
              <w:t>煎炸过程用油</w:t>
            </w:r>
          </w:p>
        </w:tc>
        <w:tc>
          <w:tcPr>
            <w:tcW w:w="682" w:type="dxa"/>
            <w:vAlign w:val="top"/>
          </w:tcPr>
          <w:p w14:paraId="4DA0838F">
            <w:pPr>
              <w:pStyle w:val="51"/>
              <w:spacing w:before="237" w:line="227" w:lineRule="auto"/>
              <w:ind w:left="170"/>
              <w:rPr>
                <w:sz w:val="17"/>
                <w:szCs w:val="17"/>
              </w:rPr>
            </w:pPr>
            <w:r>
              <w:rPr>
                <w:spacing w:val="3"/>
                <w:sz w:val="17"/>
                <w:szCs w:val="17"/>
              </w:rPr>
              <w:t>较高</w:t>
            </w:r>
          </w:p>
        </w:tc>
        <w:tc>
          <w:tcPr>
            <w:tcW w:w="8563" w:type="dxa"/>
            <w:vAlign w:val="top"/>
          </w:tcPr>
          <w:p w14:paraId="77F27227">
            <w:pPr>
              <w:pStyle w:val="51"/>
              <w:spacing w:before="237" w:line="226" w:lineRule="auto"/>
              <w:ind w:left="37"/>
              <w:rPr>
                <w:sz w:val="17"/>
                <w:szCs w:val="17"/>
              </w:rPr>
            </w:pPr>
            <w:r>
              <w:rPr>
                <w:spacing w:val="9"/>
                <w:sz w:val="17"/>
                <w:szCs w:val="17"/>
              </w:rPr>
              <w:t>极性组分、酸价(</w:t>
            </w:r>
            <w:r>
              <w:rPr>
                <w:sz w:val="17"/>
                <w:szCs w:val="17"/>
              </w:rPr>
              <w:t>KOH</w:t>
            </w:r>
            <w:r>
              <w:rPr>
                <w:spacing w:val="9"/>
                <w:sz w:val="17"/>
                <w:szCs w:val="17"/>
              </w:rPr>
              <w:t>)</w:t>
            </w:r>
          </w:p>
        </w:tc>
      </w:tr>
      <w:tr w14:paraId="0E38FA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459" w:type="dxa"/>
            <w:vMerge w:val="continue"/>
            <w:tcBorders>
              <w:top w:val="nil"/>
              <w:bottom w:val="nil"/>
            </w:tcBorders>
            <w:vAlign w:val="top"/>
          </w:tcPr>
          <w:p w14:paraId="3E489822">
            <w:pPr>
              <w:rPr>
                <w:rFonts w:ascii="Arial"/>
                <w:sz w:val="21"/>
              </w:rPr>
            </w:pPr>
          </w:p>
        </w:tc>
        <w:tc>
          <w:tcPr>
            <w:tcW w:w="942" w:type="dxa"/>
            <w:vMerge w:val="continue"/>
            <w:tcBorders>
              <w:top w:val="nil"/>
              <w:bottom w:val="nil"/>
            </w:tcBorders>
            <w:vAlign w:val="top"/>
          </w:tcPr>
          <w:p w14:paraId="2BDCF56B">
            <w:pPr>
              <w:rPr>
                <w:rFonts w:ascii="Arial"/>
                <w:sz w:val="21"/>
              </w:rPr>
            </w:pPr>
          </w:p>
        </w:tc>
        <w:tc>
          <w:tcPr>
            <w:tcW w:w="1360" w:type="dxa"/>
            <w:vAlign w:val="top"/>
          </w:tcPr>
          <w:p w14:paraId="21A21218">
            <w:pPr>
              <w:pStyle w:val="51"/>
              <w:spacing w:before="192" w:line="227" w:lineRule="auto"/>
              <w:ind w:left="59"/>
              <w:rPr>
                <w:sz w:val="17"/>
                <w:szCs w:val="17"/>
              </w:rPr>
            </w:pPr>
            <w:r>
              <w:rPr>
                <w:spacing w:val="2"/>
                <w:sz w:val="17"/>
                <w:szCs w:val="17"/>
              </w:rPr>
              <w:t>淀粉制品</w:t>
            </w:r>
            <w:r>
              <w:rPr>
                <w:spacing w:val="-48"/>
                <w:sz w:val="17"/>
                <w:szCs w:val="17"/>
              </w:rPr>
              <w:t xml:space="preserve"> </w:t>
            </w:r>
            <w:r>
              <w:rPr>
                <w:spacing w:val="2"/>
                <w:sz w:val="17"/>
                <w:szCs w:val="17"/>
              </w:rPr>
              <w:t>(自制)</w:t>
            </w:r>
          </w:p>
        </w:tc>
        <w:tc>
          <w:tcPr>
            <w:tcW w:w="1581" w:type="dxa"/>
            <w:vAlign w:val="top"/>
          </w:tcPr>
          <w:p w14:paraId="13D5CF52">
            <w:pPr>
              <w:pStyle w:val="51"/>
              <w:spacing w:before="192" w:line="227" w:lineRule="auto"/>
              <w:ind w:left="169"/>
              <w:rPr>
                <w:sz w:val="17"/>
                <w:szCs w:val="17"/>
              </w:rPr>
            </w:pPr>
            <w:r>
              <w:rPr>
                <w:spacing w:val="7"/>
                <w:sz w:val="17"/>
                <w:szCs w:val="17"/>
              </w:rPr>
              <w:t>粉丝粉条(自制)</w:t>
            </w:r>
          </w:p>
        </w:tc>
        <w:tc>
          <w:tcPr>
            <w:tcW w:w="1586" w:type="dxa"/>
            <w:vAlign w:val="top"/>
          </w:tcPr>
          <w:p w14:paraId="4FC8F64E">
            <w:pPr>
              <w:pStyle w:val="51"/>
              <w:spacing w:before="192" w:line="227" w:lineRule="auto"/>
              <w:ind w:left="172"/>
              <w:rPr>
                <w:sz w:val="17"/>
                <w:szCs w:val="17"/>
              </w:rPr>
            </w:pPr>
            <w:r>
              <w:rPr>
                <w:spacing w:val="7"/>
                <w:sz w:val="17"/>
                <w:szCs w:val="17"/>
              </w:rPr>
              <w:t>粉丝粉条(自制)</w:t>
            </w:r>
          </w:p>
        </w:tc>
        <w:tc>
          <w:tcPr>
            <w:tcW w:w="682" w:type="dxa"/>
            <w:vAlign w:val="top"/>
          </w:tcPr>
          <w:p w14:paraId="390CDFCD">
            <w:pPr>
              <w:pStyle w:val="51"/>
              <w:spacing w:before="192" w:line="227" w:lineRule="auto"/>
              <w:ind w:left="170"/>
              <w:rPr>
                <w:sz w:val="17"/>
                <w:szCs w:val="17"/>
              </w:rPr>
            </w:pPr>
            <w:r>
              <w:rPr>
                <w:spacing w:val="3"/>
                <w:sz w:val="17"/>
                <w:szCs w:val="17"/>
              </w:rPr>
              <w:t>较高</w:t>
            </w:r>
          </w:p>
        </w:tc>
        <w:tc>
          <w:tcPr>
            <w:tcW w:w="8563" w:type="dxa"/>
            <w:vAlign w:val="top"/>
          </w:tcPr>
          <w:p w14:paraId="0509EAB6">
            <w:pPr>
              <w:pStyle w:val="51"/>
              <w:spacing w:before="192" w:line="225" w:lineRule="auto"/>
              <w:ind w:left="38"/>
              <w:rPr>
                <w:sz w:val="17"/>
                <w:szCs w:val="17"/>
              </w:rPr>
            </w:pPr>
            <w:r>
              <w:rPr>
                <w:spacing w:val="9"/>
                <w:sz w:val="17"/>
                <w:szCs w:val="17"/>
              </w:rPr>
              <w:t>铝的残留量(干样品，以</w:t>
            </w:r>
            <w:r>
              <w:rPr>
                <w:sz w:val="17"/>
                <w:szCs w:val="17"/>
              </w:rPr>
              <w:t>Al</w:t>
            </w:r>
            <w:r>
              <w:rPr>
                <w:spacing w:val="9"/>
                <w:sz w:val="17"/>
                <w:szCs w:val="17"/>
              </w:rPr>
              <w:t>计)、脱氢乙酸及其钠盐(以脱氢乙酸计)</w:t>
            </w:r>
          </w:p>
        </w:tc>
      </w:tr>
      <w:tr w14:paraId="00FBB7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459" w:type="dxa"/>
            <w:vMerge w:val="continue"/>
            <w:tcBorders>
              <w:top w:val="nil"/>
            </w:tcBorders>
            <w:vAlign w:val="top"/>
          </w:tcPr>
          <w:p w14:paraId="42A74E0B">
            <w:pPr>
              <w:rPr>
                <w:rFonts w:ascii="Arial"/>
                <w:sz w:val="21"/>
              </w:rPr>
            </w:pPr>
          </w:p>
        </w:tc>
        <w:tc>
          <w:tcPr>
            <w:tcW w:w="942" w:type="dxa"/>
            <w:vMerge w:val="continue"/>
            <w:tcBorders>
              <w:top w:val="nil"/>
            </w:tcBorders>
            <w:vAlign w:val="top"/>
          </w:tcPr>
          <w:p w14:paraId="49581989">
            <w:pPr>
              <w:rPr>
                <w:rFonts w:ascii="Arial"/>
                <w:sz w:val="21"/>
              </w:rPr>
            </w:pPr>
          </w:p>
        </w:tc>
        <w:tc>
          <w:tcPr>
            <w:tcW w:w="1360" w:type="dxa"/>
            <w:vAlign w:val="top"/>
          </w:tcPr>
          <w:p w14:paraId="5C777DFA">
            <w:pPr>
              <w:pStyle w:val="51"/>
              <w:spacing w:before="193" w:line="226" w:lineRule="auto"/>
              <w:ind w:left="146"/>
              <w:rPr>
                <w:sz w:val="17"/>
                <w:szCs w:val="17"/>
              </w:rPr>
            </w:pPr>
            <w:r>
              <w:rPr>
                <w:spacing w:val="5"/>
                <w:sz w:val="17"/>
                <w:szCs w:val="17"/>
              </w:rPr>
              <w:t>饮料（自制）</w:t>
            </w:r>
          </w:p>
        </w:tc>
        <w:tc>
          <w:tcPr>
            <w:tcW w:w="1581" w:type="dxa"/>
            <w:vAlign w:val="top"/>
          </w:tcPr>
          <w:p w14:paraId="3E6DEFD9">
            <w:pPr>
              <w:pStyle w:val="51"/>
              <w:spacing w:before="193" w:line="226" w:lineRule="auto"/>
              <w:ind w:left="257"/>
              <w:rPr>
                <w:sz w:val="17"/>
                <w:szCs w:val="17"/>
              </w:rPr>
            </w:pPr>
            <w:r>
              <w:rPr>
                <w:spacing w:val="5"/>
                <w:sz w:val="17"/>
                <w:szCs w:val="17"/>
              </w:rPr>
              <w:t>饮料（自制）</w:t>
            </w:r>
          </w:p>
        </w:tc>
        <w:tc>
          <w:tcPr>
            <w:tcW w:w="1586" w:type="dxa"/>
            <w:vAlign w:val="top"/>
          </w:tcPr>
          <w:p w14:paraId="595B72CE">
            <w:pPr>
              <w:pStyle w:val="51"/>
              <w:spacing w:before="193" w:line="227" w:lineRule="auto"/>
              <w:ind w:left="260"/>
              <w:rPr>
                <w:sz w:val="17"/>
                <w:szCs w:val="17"/>
              </w:rPr>
            </w:pPr>
            <w:r>
              <w:rPr>
                <w:spacing w:val="5"/>
                <w:sz w:val="17"/>
                <w:szCs w:val="17"/>
              </w:rPr>
              <w:t>奶茶（自制）</w:t>
            </w:r>
          </w:p>
        </w:tc>
        <w:tc>
          <w:tcPr>
            <w:tcW w:w="682" w:type="dxa"/>
            <w:vAlign w:val="top"/>
          </w:tcPr>
          <w:p w14:paraId="40C93540">
            <w:pPr>
              <w:pStyle w:val="51"/>
              <w:spacing w:before="193" w:line="227" w:lineRule="auto"/>
              <w:ind w:left="170"/>
              <w:rPr>
                <w:sz w:val="17"/>
                <w:szCs w:val="17"/>
              </w:rPr>
            </w:pPr>
            <w:r>
              <w:rPr>
                <w:spacing w:val="3"/>
                <w:sz w:val="17"/>
                <w:szCs w:val="17"/>
              </w:rPr>
              <w:t>较高</w:t>
            </w:r>
          </w:p>
        </w:tc>
        <w:tc>
          <w:tcPr>
            <w:tcW w:w="8563" w:type="dxa"/>
            <w:vAlign w:val="top"/>
          </w:tcPr>
          <w:p w14:paraId="4C03E3EC">
            <w:pPr>
              <w:pStyle w:val="51"/>
              <w:spacing w:before="193" w:line="228" w:lineRule="auto"/>
              <w:ind w:left="37"/>
              <w:rPr>
                <w:sz w:val="17"/>
                <w:szCs w:val="17"/>
              </w:rPr>
            </w:pPr>
            <w:r>
              <w:rPr>
                <w:spacing w:val="8"/>
                <w:sz w:val="17"/>
                <w:szCs w:val="17"/>
              </w:rPr>
              <w:t>脱氢乙酸及其钠盐(以脱氢乙酸计)</w:t>
            </w:r>
          </w:p>
        </w:tc>
      </w:tr>
      <w:tr w14:paraId="1E3AE6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459" w:type="dxa"/>
            <w:vMerge w:val="restart"/>
            <w:tcBorders>
              <w:bottom w:val="nil"/>
            </w:tcBorders>
            <w:vAlign w:val="top"/>
          </w:tcPr>
          <w:p w14:paraId="15CC1D60">
            <w:pPr>
              <w:spacing w:line="241" w:lineRule="auto"/>
              <w:rPr>
                <w:rFonts w:ascii="Arial"/>
                <w:sz w:val="21"/>
              </w:rPr>
            </w:pPr>
          </w:p>
          <w:p w14:paraId="1495CAA2">
            <w:pPr>
              <w:spacing w:line="241" w:lineRule="auto"/>
              <w:rPr>
                <w:rFonts w:ascii="Arial"/>
                <w:sz w:val="21"/>
              </w:rPr>
            </w:pPr>
          </w:p>
          <w:p w14:paraId="2514764B">
            <w:pPr>
              <w:spacing w:line="241" w:lineRule="auto"/>
              <w:rPr>
                <w:rFonts w:ascii="Arial"/>
                <w:sz w:val="21"/>
              </w:rPr>
            </w:pPr>
          </w:p>
          <w:p w14:paraId="3CF1540E">
            <w:pPr>
              <w:spacing w:line="241" w:lineRule="auto"/>
              <w:rPr>
                <w:rFonts w:ascii="Arial"/>
                <w:sz w:val="21"/>
              </w:rPr>
            </w:pPr>
          </w:p>
          <w:p w14:paraId="6630471C">
            <w:pPr>
              <w:spacing w:line="241" w:lineRule="auto"/>
              <w:rPr>
                <w:rFonts w:ascii="Arial"/>
                <w:sz w:val="21"/>
              </w:rPr>
            </w:pPr>
          </w:p>
          <w:p w14:paraId="30DA4952">
            <w:pPr>
              <w:spacing w:line="241" w:lineRule="auto"/>
              <w:rPr>
                <w:rFonts w:ascii="Arial"/>
                <w:sz w:val="21"/>
              </w:rPr>
            </w:pPr>
          </w:p>
          <w:p w14:paraId="3E43F8DF">
            <w:pPr>
              <w:spacing w:line="241" w:lineRule="auto"/>
              <w:rPr>
                <w:rFonts w:ascii="Arial"/>
                <w:sz w:val="21"/>
              </w:rPr>
            </w:pPr>
          </w:p>
          <w:p w14:paraId="0A53562D">
            <w:pPr>
              <w:spacing w:line="241" w:lineRule="auto"/>
              <w:rPr>
                <w:rFonts w:ascii="Arial"/>
                <w:sz w:val="21"/>
              </w:rPr>
            </w:pPr>
          </w:p>
          <w:p w14:paraId="5A9B4DAE">
            <w:pPr>
              <w:spacing w:line="241" w:lineRule="auto"/>
              <w:rPr>
                <w:rFonts w:ascii="Arial"/>
                <w:sz w:val="21"/>
              </w:rPr>
            </w:pPr>
          </w:p>
          <w:p w14:paraId="00D21482">
            <w:pPr>
              <w:spacing w:line="241" w:lineRule="auto"/>
              <w:rPr>
                <w:rFonts w:ascii="Arial"/>
                <w:sz w:val="21"/>
              </w:rPr>
            </w:pPr>
          </w:p>
          <w:p w14:paraId="669F20CC">
            <w:pPr>
              <w:spacing w:line="242" w:lineRule="auto"/>
              <w:rPr>
                <w:rFonts w:ascii="Arial"/>
                <w:sz w:val="21"/>
              </w:rPr>
            </w:pPr>
          </w:p>
          <w:p w14:paraId="708ADF84">
            <w:pPr>
              <w:spacing w:line="242" w:lineRule="auto"/>
              <w:rPr>
                <w:rFonts w:ascii="Arial"/>
                <w:sz w:val="21"/>
              </w:rPr>
            </w:pPr>
          </w:p>
          <w:p w14:paraId="24089219">
            <w:pPr>
              <w:spacing w:line="242" w:lineRule="auto"/>
              <w:rPr>
                <w:rFonts w:ascii="Arial"/>
                <w:sz w:val="21"/>
              </w:rPr>
            </w:pPr>
          </w:p>
          <w:p w14:paraId="2ECDDFCC">
            <w:pPr>
              <w:pStyle w:val="51"/>
              <w:spacing w:before="55" w:line="227" w:lineRule="exact"/>
              <w:ind w:left="146"/>
              <w:rPr>
                <w:sz w:val="17"/>
                <w:szCs w:val="17"/>
              </w:rPr>
            </w:pPr>
            <w:r>
              <w:rPr>
                <w:spacing w:val="-1"/>
                <w:position w:val="1"/>
                <w:sz w:val="17"/>
                <w:szCs w:val="17"/>
              </w:rPr>
              <w:t>30</w:t>
            </w:r>
          </w:p>
        </w:tc>
        <w:tc>
          <w:tcPr>
            <w:tcW w:w="942" w:type="dxa"/>
            <w:vMerge w:val="restart"/>
            <w:tcBorders>
              <w:bottom w:val="nil"/>
            </w:tcBorders>
            <w:vAlign w:val="top"/>
          </w:tcPr>
          <w:p w14:paraId="3F36BC90">
            <w:pPr>
              <w:spacing w:line="248" w:lineRule="auto"/>
              <w:rPr>
                <w:rFonts w:ascii="Arial"/>
                <w:sz w:val="21"/>
              </w:rPr>
            </w:pPr>
          </w:p>
          <w:p w14:paraId="59C0582E">
            <w:pPr>
              <w:spacing w:line="248" w:lineRule="auto"/>
              <w:rPr>
                <w:rFonts w:ascii="Arial"/>
                <w:sz w:val="21"/>
              </w:rPr>
            </w:pPr>
          </w:p>
          <w:p w14:paraId="3B3C3872">
            <w:pPr>
              <w:spacing w:line="248" w:lineRule="auto"/>
              <w:rPr>
                <w:rFonts w:ascii="Arial"/>
                <w:sz w:val="21"/>
              </w:rPr>
            </w:pPr>
          </w:p>
          <w:p w14:paraId="27C5E50C">
            <w:pPr>
              <w:spacing w:line="249" w:lineRule="auto"/>
              <w:rPr>
                <w:rFonts w:ascii="Arial"/>
                <w:sz w:val="21"/>
              </w:rPr>
            </w:pPr>
          </w:p>
          <w:p w14:paraId="7F8D3A29">
            <w:pPr>
              <w:spacing w:line="249" w:lineRule="auto"/>
              <w:rPr>
                <w:rFonts w:ascii="Arial"/>
                <w:sz w:val="21"/>
              </w:rPr>
            </w:pPr>
          </w:p>
          <w:p w14:paraId="6E94F7BE">
            <w:pPr>
              <w:spacing w:line="249" w:lineRule="auto"/>
              <w:rPr>
                <w:rFonts w:ascii="Arial"/>
                <w:sz w:val="21"/>
              </w:rPr>
            </w:pPr>
          </w:p>
          <w:p w14:paraId="4F828D6D">
            <w:pPr>
              <w:spacing w:line="249" w:lineRule="auto"/>
              <w:rPr>
                <w:rFonts w:ascii="Arial"/>
                <w:sz w:val="21"/>
              </w:rPr>
            </w:pPr>
          </w:p>
          <w:p w14:paraId="66F2BBB2">
            <w:pPr>
              <w:spacing w:line="249" w:lineRule="auto"/>
              <w:rPr>
                <w:rFonts w:ascii="Arial"/>
                <w:sz w:val="21"/>
              </w:rPr>
            </w:pPr>
          </w:p>
          <w:p w14:paraId="002A72CD">
            <w:pPr>
              <w:spacing w:line="249" w:lineRule="auto"/>
              <w:rPr>
                <w:rFonts w:ascii="Arial"/>
                <w:sz w:val="21"/>
              </w:rPr>
            </w:pPr>
          </w:p>
          <w:p w14:paraId="0426654D">
            <w:pPr>
              <w:spacing w:line="249" w:lineRule="auto"/>
              <w:rPr>
                <w:rFonts w:ascii="Arial"/>
                <w:sz w:val="21"/>
              </w:rPr>
            </w:pPr>
          </w:p>
          <w:p w14:paraId="64201210">
            <w:pPr>
              <w:spacing w:line="249" w:lineRule="auto"/>
              <w:rPr>
                <w:rFonts w:ascii="Arial"/>
                <w:sz w:val="21"/>
              </w:rPr>
            </w:pPr>
          </w:p>
          <w:p w14:paraId="5E952522">
            <w:pPr>
              <w:spacing w:line="249" w:lineRule="auto"/>
              <w:rPr>
                <w:rFonts w:ascii="Arial"/>
                <w:sz w:val="21"/>
              </w:rPr>
            </w:pPr>
          </w:p>
          <w:p w14:paraId="158215A0">
            <w:pPr>
              <w:pStyle w:val="51"/>
              <w:spacing w:before="55" w:line="327" w:lineRule="auto"/>
              <w:ind w:left="387" w:right="112" w:hanging="271"/>
              <w:rPr>
                <w:sz w:val="17"/>
                <w:szCs w:val="17"/>
              </w:rPr>
            </w:pPr>
            <w:r>
              <w:rPr>
                <w:spacing w:val="7"/>
                <w:sz w:val="17"/>
                <w:szCs w:val="17"/>
              </w:rPr>
              <w:t>食品添加</w:t>
            </w:r>
            <w:r>
              <w:rPr>
                <w:sz w:val="17"/>
                <w:szCs w:val="17"/>
              </w:rPr>
              <w:t>剂</w:t>
            </w:r>
          </w:p>
        </w:tc>
        <w:tc>
          <w:tcPr>
            <w:tcW w:w="1360" w:type="dxa"/>
            <w:vMerge w:val="restart"/>
            <w:tcBorders>
              <w:bottom w:val="nil"/>
            </w:tcBorders>
            <w:vAlign w:val="top"/>
          </w:tcPr>
          <w:p w14:paraId="70897899">
            <w:pPr>
              <w:spacing w:line="241" w:lineRule="auto"/>
              <w:rPr>
                <w:rFonts w:ascii="Arial"/>
                <w:sz w:val="21"/>
              </w:rPr>
            </w:pPr>
          </w:p>
          <w:p w14:paraId="5A5AD205">
            <w:pPr>
              <w:spacing w:line="241" w:lineRule="auto"/>
              <w:rPr>
                <w:rFonts w:ascii="Arial"/>
                <w:sz w:val="21"/>
              </w:rPr>
            </w:pPr>
          </w:p>
          <w:p w14:paraId="29F02E43">
            <w:pPr>
              <w:spacing w:line="241" w:lineRule="auto"/>
              <w:rPr>
                <w:rFonts w:ascii="Arial"/>
                <w:sz w:val="21"/>
              </w:rPr>
            </w:pPr>
          </w:p>
          <w:p w14:paraId="287230D1">
            <w:pPr>
              <w:spacing w:line="241" w:lineRule="auto"/>
              <w:rPr>
                <w:rFonts w:ascii="Arial"/>
                <w:sz w:val="21"/>
              </w:rPr>
            </w:pPr>
          </w:p>
          <w:p w14:paraId="790A39EE">
            <w:pPr>
              <w:spacing w:line="241" w:lineRule="auto"/>
              <w:rPr>
                <w:rFonts w:ascii="Arial"/>
                <w:sz w:val="21"/>
              </w:rPr>
            </w:pPr>
          </w:p>
          <w:p w14:paraId="01F56F03">
            <w:pPr>
              <w:spacing w:line="241" w:lineRule="auto"/>
              <w:rPr>
                <w:rFonts w:ascii="Arial"/>
                <w:sz w:val="21"/>
              </w:rPr>
            </w:pPr>
          </w:p>
          <w:p w14:paraId="45EED773">
            <w:pPr>
              <w:spacing w:line="241" w:lineRule="auto"/>
              <w:rPr>
                <w:rFonts w:ascii="Arial"/>
                <w:sz w:val="21"/>
              </w:rPr>
            </w:pPr>
          </w:p>
          <w:p w14:paraId="52B249A1">
            <w:pPr>
              <w:spacing w:line="241" w:lineRule="auto"/>
              <w:rPr>
                <w:rFonts w:ascii="Arial"/>
                <w:sz w:val="21"/>
              </w:rPr>
            </w:pPr>
          </w:p>
          <w:p w14:paraId="73316D13">
            <w:pPr>
              <w:spacing w:line="241" w:lineRule="auto"/>
              <w:rPr>
                <w:rFonts w:ascii="Arial"/>
                <w:sz w:val="21"/>
              </w:rPr>
            </w:pPr>
          </w:p>
          <w:p w14:paraId="609B0B4D">
            <w:pPr>
              <w:spacing w:line="241" w:lineRule="auto"/>
              <w:rPr>
                <w:rFonts w:ascii="Arial"/>
                <w:sz w:val="21"/>
              </w:rPr>
            </w:pPr>
          </w:p>
          <w:p w14:paraId="278651AF">
            <w:pPr>
              <w:spacing w:line="242" w:lineRule="auto"/>
              <w:rPr>
                <w:rFonts w:ascii="Arial"/>
                <w:sz w:val="21"/>
              </w:rPr>
            </w:pPr>
          </w:p>
          <w:p w14:paraId="138BDCF1">
            <w:pPr>
              <w:spacing w:line="242" w:lineRule="auto"/>
              <w:rPr>
                <w:rFonts w:ascii="Arial"/>
                <w:sz w:val="21"/>
              </w:rPr>
            </w:pPr>
          </w:p>
          <w:p w14:paraId="35E1D4C9">
            <w:pPr>
              <w:spacing w:line="242" w:lineRule="auto"/>
              <w:rPr>
                <w:rFonts w:ascii="Arial"/>
                <w:sz w:val="21"/>
              </w:rPr>
            </w:pPr>
          </w:p>
          <w:p w14:paraId="45432CF3">
            <w:pPr>
              <w:pStyle w:val="51"/>
              <w:spacing w:before="55" w:line="229" w:lineRule="auto"/>
              <w:ind w:left="235"/>
              <w:rPr>
                <w:sz w:val="17"/>
                <w:szCs w:val="17"/>
              </w:rPr>
            </w:pPr>
            <w:r>
              <w:rPr>
                <w:spacing w:val="7"/>
                <w:sz w:val="17"/>
                <w:szCs w:val="17"/>
              </w:rPr>
              <w:t>食品添加剂</w:t>
            </w:r>
          </w:p>
        </w:tc>
        <w:tc>
          <w:tcPr>
            <w:tcW w:w="1581" w:type="dxa"/>
            <w:vAlign w:val="top"/>
          </w:tcPr>
          <w:p w14:paraId="4759C16D">
            <w:pPr>
              <w:pStyle w:val="51"/>
              <w:spacing w:before="191" w:line="229" w:lineRule="auto"/>
              <w:ind w:left="177"/>
              <w:rPr>
                <w:sz w:val="17"/>
                <w:szCs w:val="17"/>
              </w:rPr>
            </w:pPr>
            <w:r>
              <w:rPr>
                <w:spacing w:val="7"/>
                <w:sz w:val="17"/>
                <w:szCs w:val="17"/>
              </w:rPr>
              <w:t>复配食品添加剂</w:t>
            </w:r>
          </w:p>
        </w:tc>
        <w:tc>
          <w:tcPr>
            <w:tcW w:w="1586" w:type="dxa"/>
            <w:vAlign w:val="top"/>
          </w:tcPr>
          <w:p w14:paraId="4AB8920D">
            <w:pPr>
              <w:pStyle w:val="51"/>
              <w:spacing w:before="191" w:line="229" w:lineRule="auto"/>
              <w:ind w:left="180"/>
              <w:rPr>
                <w:sz w:val="17"/>
                <w:szCs w:val="17"/>
              </w:rPr>
            </w:pPr>
            <w:r>
              <w:rPr>
                <w:spacing w:val="7"/>
                <w:sz w:val="17"/>
                <w:szCs w:val="17"/>
              </w:rPr>
              <w:t>复配食品添加剂</w:t>
            </w:r>
          </w:p>
        </w:tc>
        <w:tc>
          <w:tcPr>
            <w:tcW w:w="682" w:type="dxa"/>
            <w:vAlign w:val="top"/>
          </w:tcPr>
          <w:p w14:paraId="5CA662DE">
            <w:pPr>
              <w:pStyle w:val="51"/>
              <w:spacing w:before="192" w:line="227" w:lineRule="auto"/>
              <w:ind w:left="170"/>
              <w:rPr>
                <w:sz w:val="17"/>
                <w:szCs w:val="17"/>
              </w:rPr>
            </w:pPr>
            <w:r>
              <w:rPr>
                <w:spacing w:val="3"/>
                <w:sz w:val="17"/>
                <w:szCs w:val="17"/>
              </w:rPr>
              <w:t>较高</w:t>
            </w:r>
          </w:p>
        </w:tc>
        <w:tc>
          <w:tcPr>
            <w:tcW w:w="8563" w:type="dxa"/>
            <w:vAlign w:val="top"/>
          </w:tcPr>
          <w:p w14:paraId="79FBB485">
            <w:pPr>
              <w:pStyle w:val="51"/>
              <w:spacing w:before="191" w:line="226" w:lineRule="auto"/>
              <w:ind w:left="37"/>
              <w:rPr>
                <w:sz w:val="17"/>
                <w:szCs w:val="17"/>
              </w:rPr>
            </w:pPr>
            <w:r>
              <w:rPr>
                <w:spacing w:val="8"/>
                <w:sz w:val="17"/>
                <w:szCs w:val="17"/>
              </w:rPr>
              <w:t>铅(</w:t>
            </w:r>
            <w:r>
              <w:rPr>
                <w:sz w:val="17"/>
                <w:szCs w:val="17"/>
              </w:rPr>
              <w:t>Pb</w:t>
            </w:r>
            <w:r>
              <w:rPr>
                <w:spacing w:val="8"/>
                <w:sz w:val="17"/>
                <w:szCs w:val="17"/>
              </w:rPr>
              <w:t>)、砷(以</w:t>
            </w:r>
            <w:r>
              <w:rPr>
                <w:sz w:val="17"/>
                <w:szCs w:val="17"/>
              </w:rPr>
              <w:t>As</w:t>
            </w:r>
            <w:r>
              <w:rPr>
                <w:spacing w:val="8"/>
                <w:sz w:val="17"/>
                <w:szCs w:val="17"/>
              </w:rPr>
              <w:t>计)、致病性微生物</w:t>
            </w:r>
          </w:p>
        </w:tc>
      </w:tr>
      <w:tr w14:paraId="43BC9F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459" w:type="dxa"/>
            <w:vMerge w:val="continue"/>
            <w:tcBorders>
              <w:top w:val="nil"/>
              <w:bottom w:val="nil"/>
            </w:tcBorders>
            <w:vAlign w:val="top"/>
          </w:tcPr>
          <w:p w14:paraId="63B14FF6">
            <w:pPr>
              <w:rPr>
                <w:rFonts w:ascii="Arial"/>
                <w:sz w:val="21"/>
              </w:rPr>
            </w:pPr>
          </w:p>
        </w:tc>
        <w:tc>
          <w:tcPr>
            <w:tcW w:w="942" w:type="dxa"/>
            <w:vMerge w:val="continue"/>
            <w:tcBorders>
              <w:top w:val="nil"/>
              <w:bottom w:val="nil"/>
            </w:tcBorders>
            <w:vAlign w:val="top"/>
          </w:tcPr>
          <w:p w14:paraId="7AFD1A10">
            <w:pPr>
              <w:rPr>
                <w:rFonts w:ascii="Arial"/>
                <w:sz w:val="21"/>
              </w:rPr>
            </w:pPr>
          </w:p>
        </w:tc>
        <w:tc>
          <w:tcPr>
            <w:tcW w:w="1360" w:type="dxa"/>
            <w:vMerge w:val="continue"/>
            <w:tcBorders>
              <w:top w:val="nil"/>
              <w:bottom w:val="nil"/>
            </w:tcBorders>
            <w:vAlign w:val="top"/>
          </w:tcPr>
          <w:p w14:paraId="100592DD">
            <w:pPr>
              <w:rPr>
                <w:rFonts w:ascii="Arial"/>
                <w:sz w:val="21"/>
              </w:rPr>
            </w:pPr>
          </w:p>
        </w:tc>
        <w:tc>
          <w:tcPr>
            <w:tcW w:w="1581" w:type="dxa"/>
            <w:vAlign w:val="top"/>
          </w:tcPr>
          <w:p w14:paraId="01BA4005">
            <w:pPr>
              <w:pStyle w:val="51"/>
              <w:spacing w:before="192" w:line="228" w:lineRule="auto"/>
              <w:ind w:left="349"/>
              <w:rPr>
                <w:sz w:val="17"/>
                <w:szCs w:val="17"/>
              </w:rPr>
            </w:pPr>
            <w:r>
              <w:rPr>
                <w:spacing w:val="7"/>
                <w:sz w:val="17"/>
                <w:szCs w:val="17"/>
              </w:rPr>
              <w:t>食品用香精</w:t>
            </w:r>
          </w:p>
        </w:tc>
        <w:tc>
          <w:tcPr>
            <w:tcW w:w="1586" w:type="dxa"/>
            <w:vAlign w:val="top"/>
          </w:tcPr>
          <w:p w14:paraId="61EEA83C">
            <w:pPr>
              <w:pStyle w:val="51"/>
              <w:spacing w:before="192" w:line="228" w:lineRule="auto"/>
              <w:ind w:left="352"/>
              <w:rPr>
                <w:sz w:val="17"/>
                <w:szCs w:val="17"/>
              </w:rPr>
            </w:pPr>
            <w:r>
              <w:rPr>
                <w:spacing w:val="7"/>
                <w:sz w:val="17"/>
                <w:szCs w:val="17"/>
              </w:rPr>
              <w:t>食品用香精</w:t>
            </w:r>
          </w:p>
        </w:tc>
        <w:tc>
          <w:tcPr>
            <w:tcW w:w="682" w:type="dxa"/>
            <w:vAlign w:val="top"/>
          </w:tcPr>
          <w:p w14:paraId="37103E1A">
            <w:pPr>
              <w:pStyle w:val="51"/>
              <w:spacing w:before="192" w:line="230" w:lineRule="auto"/>
              <w:ind w:left="173"/>
              <w:rPr>
                <w:sz w:val="17"/>
                <w:szCs w:val="17"/>
              </w:rPr>
            </w:pPr>
            <w:r>
              <w:rPr>
                <w:spacing w:val="2"/>
                <w:sz w:val="17"/>
                <w:szCs w:val="17"/>
              </w:rPr>
              <w:t>一般</w:t>
            </w:r>
          </w:p>
        </w:tc>
        <w:tc>
          <w:tcPr>
            <w:tcW w:w="8563" w:type="dxa"/>
            <w:vAlign w:val="top"/>
          </w:tcPr>
          <w:p w14:paraId="2CD0990D">
            <w:pPr>
              <w:pStyle w:val="51"/>
              <w:spacing w:before="192" w:line="226" w:lineRule="auto"/>
              <w:ind w:left="37"/>
              <w:rPr>
                <w:sz w:val="17"/>
                <w:szCs w:val="17"/>
              </w:rPr>
            </w:pPr>
            <w:r>
              <w:rPr>
                <w:spacing w:val="8"/>
                <w:sz w:val="17"/>
                <w:szCs w:val="17"/>
              </w:rPr>
              <w:t>砷(以</w:t>
            </w:r>
            <w:r>
              <w:rPr>
                <w:sz w:val="17"/>
                <w:szCs w:val="17"/>
              </w:rPr>
              <w:t>As</w:t>
            </w:r>
            <w:r>
              <w:rPr>
                <w:spacing w:val="8"/>
                <w:sz w:val="17"/>
                <w:szCs w:val="17"/>
              </w:rPr>
              <w:t>计)含量/无机砷含量、菌落总数</w:t>
            </w:r>
          </w:p>
        </w:tc>
      </w:tr>
      <w:tr w14:paraId="44A7A1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459" w:type="dxa"/>
            <w:vMerge w:val="continue"/>
            <w:tcBorders>
              <w:top w:val="nil"/>
              <w:bottom w:val="nil"/>
            </w:tcBorders>
            <w:vAlign w:val="top"/>
          </w:tcPr>
          <w:p w14:paraId="4134C10B">
            <w:pPr>
              <w:rPr>
                <w:rFonts w:ascii="Arial"/>
                <w:sz w:val="21"/>
              </w:rPr>
            </w:pPr>
          </w:p>
        </w:tc>
        <w:tc>
          <w:tcPr>
            <w:tcW w:w="942" w:type="dxa"/>
            <w:vMerge w:val="continue"/>
            <w:tcBorders>
              <w:top w:val="nil"/>
              <w:bottom w:val="nil"/>
            </w:tcBorders>
            <w:vAlign w:val="top"/>
          </w:tcPr>
          <w:p w14:paraId="1D86056C">
            <w:pPr>
              <w:rPr>
                <w:rFonts w:ascii="Arial"/>
                <w:sz w:val="21"/>
              </w:rPr>
            </w:pPr>
          </w:p>
        </w:tc>
        <w:tc>
          <w:tcPr>
            <w:tcW w:w="1360" w:type="dxa"/>
            <w:vMerge w:val="continue"/>
            <w:tcBorders>
              <w:top w:val="nil"/>
              <w:bottom w:val="nil"/>
            </w:tcBorders>
            <w:vAlign w:val="top"/>
          </w:tcPr>
          <w:p w14:paraId="39F6D7AB">
            <w:pPr>
              <w:rPr>
                <w:rFonts w:ascii="Arial"/>
                <w:sz w:val="21"/>
              </w:rPr>
            </w:pPr>
          </w:p>
        </w:tc>
        <w:tc>
          <w:tcPr>
            <w:tcW w:w="1581" w:type="dxa"/>
            <w:vMerge w:val="restart"/>
            <w:tcBorders>
              <w:bottom w:val="nil"/>
            </w:tcBorders>
            <w:vAlign w:val="top"/>
          </w:tcPr>
          <w:p w14:paraId="560E464C">
            <w:pPr>
              <w:spacing w:line="261" w:lineRule="auto"/>
              <w:rPr>
                <w:rFonts w:ascii="Arial"/>
                <w:sz w:val="21"/>
              </w:rPr>
            </w:pPr>
          </w:p>
          <w:p w14:paraId="4201F3E0">
            <w:pPr>
              <w:spacing w:line="261" w:lineRule="auto"/>
              <w:rPr>
                <w:rFonts w:ascii="Arial"/>
                <w:sz w:val="21"/>
              </w:rPr>
            </w:pPr>
          </w:p>
          <w:p w14:paraId="17ACDBE4">
            <w:pPr>
              <w:spacing w:line="261" w:lineRule="auto"/>
              <w:rPr>
                <w:rFonts w:ascii="Arial"/>
                <w:sz w:val="21"/>
              </w:rPr>
            </w:pPr>
          </w:p>
          <w:p w14:paraId="549E863F">
            <w:pPr>
              <w:spacing w:line="262" w:lineRule="auto"/>
              <w:rPr>
                <w:rFonts w:ascii="Arial"/>
                <w:sz w:val="21"/>
              </w:rPr>
            </w:pPr>
          </w:p>
          <w:p w14:paraId="4C79AE94">
            <w:pPr>
              <w:spacing w:line="262" w:lineRule="auto"/>
              <w:rPr>
                <w:rFonts w:ascii="Arial"/>
                <w:sz w:val="21"/>
              </w:rPr>
            </w:pPr>
          </w:p>
          <w:p w14:paraId="1225BE3C">
            <w:pPr>
              <w:spacing w:line="262" w:lineRule="auto"/>
              <w:rPr>
                <w:rFonts w:ascii="Arial"/>
                <w:sz w:val="21"/>
              </w:rPr>
            </w:pPr>
          </w:p>
          <w:p w14:paraId="22D3ACB3">
            <w:pPr>
              <w:spacing w:line="262" w:lineRule="auto"/>
              <w:rPr>
                <w:rFonts w:ascii="Arial"/>
                <w:sz w:val="21"/>
              </w:rPr>
            </w:pPr>
          </w:p>
          <w:p w14:paraId="710C874E">
            <w:pPr>
              <w:spacing w:line="262" w:lineRule="auto"/>
              <w:rPr>
                <w:rFonts w:ascii="Arial"/>
                <w:sz w:val="21"/>
              </w:rPr>
            </w:pPr>
          </w:p>
          <w:p w14:paraId="06392151">
            <w:pPr>
              <w:spacing w:line="262" w:lineRule="auto"/>
              <w:rPr>
                <w:rFonts w:ascii="Arial"/>
                <w:sz w:val="21"/>
              </w:rPr>
            </w:pPr>
          </w:p>
          <w:p w14:paraId="5E635EC0">
            <w:pPr>
              <w:spacing w:line="262" w:lineRule="auto"/>
              <w:rPr>
                <w:rFonts w:ascii="Arial"/>
                <w:sz w:val="21"/>
              </w:rPr>
            </w:pPr>
          </w:p>
          <w:p w14:paraId="0FF0F4DD">
            <w:pPr>
              <w:pStyle w:val="51"/>
              <w:spacing w:before="55" w:line="227" w:lineRule="auto"/>
              <w:ind w:left="172"/>
              <w:rPr>
                <w:sz w:val="17"/>
                <w:szCs w:val="17"/>
              </w:rPr>
            </w:pPr>
            <w:r>
              <w:rPr>
                <w:spacing w:val="7"/>
                <w:sz w:val="17"/>
                <w:szCs w:val="17"/>
              </w:rPr>
              <w:t>单一食品添加剂</w:t>
            </w:r>
          </w:p>
        </w:tc>
        <w:tc>
          <w:tcPr>
            <w:tcW w:w="1586" w:type="dxa"/>
            <w:vAlign w:val="top"/>
          </w:tcPr>
          <w:p w14:paraId="24B99217">
            <w:pPr>
              <w:pStyle w:val="51"/>
              <w:spacing w:before="193" w:line="229" w:lineRule="auto"/>
              <w:ind w:left="632"/>
              <w:rPr>
                <w:sz w:val="17"/>
                <w:szCs w:val="17"/>
              </w:rPr>
            </w:pPr>
            <w:r>
              <w:rPr>
                <w:spacing w:val="-1"/>
                <w:sz w:val="17"/>
                <w:szCs w:val="17"/>
              </w:rPr>
              <w:t>明胶</w:t>
            </w:r>
          </w:p>
        </w:tc>
        <w:tc>
          <w:tcPr>
            <w:tcW w:w="682" w:type="dxa"/>
            <w:vAlign w:val="top"/>
          </w:tcPr>
          <w:p w14:paraId="7CB82EBB">
            <w:pPr>
              <w:pStyle w:val="51"/>
              <w:spacing w:before="193" w:line="227" w:lineRule="auto"/>
              <w:ind w:left="170"/>
              <w:rPr>
                <w:sz w:val="17"/>
                <w:szCs w:val="17"/>
              </w:rPr>
            </w:pPr>
            <w:r>
              <w:rPr>
                <w:spacing w:val="3"/>
                <w:sz w:val="17"/>
                <w:szCs w:val="17"/>
              </w:rPr>
              <w:t>较高</w:t>
            </w:r>
          </w:p>
        </w:tc>
        <w:tc>
          <w:tcPr>
            <w:tcW w:w="8563" w:type="dxa"/>
            <w:vAlign w:val="top"/>
          </w:tcPr>
          <w:p w14:paraId="62DDB9C5">
            <w:pPr>
              <w:pStyle w:val="51"/>
              <w:spacing w:before="193" w:line="226" w:lineRule="auto"/>
              <w:ind w:left="38"/>
              <w:rPr>
                <w:sz w:val="17"/>
                <w:szCs w:val="17"/>
              </w:rPr>
            </w:pPr>
            <w:r>
              <w:rPr>
                <w:spacing w:val="8"/>
                <w:sz w:val="17"/>
                <w:szCs w:val="17"/>
              </w:rPr>
              <w:t>铬(</w:t>
            </w:r>
            <w:r>
              <w:rPr>
                <w:sz w:val="17"/>
                <w:szCs w:val="17"/>
              </w:rPr>
              <w:t>Cr</w:t>
            </w:r>
            <w:r>
              <w:rPr>
                <w:spacing w:val="8"/>
                <w:sz w:val="17"/>
                <w:szCs w:val="17"/>
              </w:rPr>
              <w:t>)、铅(</w:t>
            </w:r>
            <w:r>
              <w:rPr>
                <w:sz w:val="17"/>
                <w:szCs w:val="17"/>
              </w:rPr>
              <w:t>Pb</w:t>
            </w:r>
            <w:r>
              <w:rPr>
                <w:spacing w:val="8"/>
                <w:sz w:val="17"/>
                <w:szCs w:val="17"/>
              </w:rPr>
              <w:t>)、总砷(</w:t>
            </w:r>
            <w:r>
              <w:rPr>
                <w:sz w:val="17"/>
                <w:szCs w:val="17"/>
              </w:rPr>
              <w:t>As</w:t>
            </w:r>
            <w:r>
              <w:rPr>
                <w:spacing w:val="8"/>
                <w:sz w:val="17"/>
                <w:szCs w:val="17"/>
              </w:rPr>
              <w:t>)、二氧化硫、过氧化物</w:t>
            </w:r>
          </w:p>
        </w:tc>
      </w:tr>
      <w:tr w14:paraId="2FF2DC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459" w:type="dxa"/>
            <w:vMerge w:val="continue"/>
            <w:tcBorders>
              <w:top w:val="nil"/>
              <w:bottom w:val="nil"/>
            </w:tcBorders>
            <w:vAlign w:val="top"/>
          </w:tcPr>
          <w:p w14:paraId="039F6865">
            <w:pPr>
              <w:rPr>
                <w:rFonts w:ascii="Arial"/>
                <w:sz w:val="21"/>
              </w:rPr>
            </w:pPr>
          </w:p>
        </w:tc>
        <w:tc>
          <w:tcPr>
            <w:tcW w:w="942" w:type="dxa"/>
            <w:vMerge w:val="continue"/>
            <w:tcBorders>
              <w:top w:val="nil"/>
              <w:bottom w:val="nil"/>
            </w:tcBorders>
            <w:vAlign w:val="top"/>
          </w:tcPr>
          <w:p w14:paraId="43DE287B">
            <w:pPr>
              <w:rPr>
                <w:rFonts w:ascii="Arial"/>
                <w:sz w:val="21"/>
              </w:rPr>
            </w:pPr>
          </w:p>
        </w:tc>
        <w:tc>
          <w:tcPr>
            <w:tcW w:w="1360" w:type="dxa"/>
            <w:vMerge w:val="continue"/>
            <w:tcBorders>
              <w:top w:val="nil"/>
              <w:bottom w:val="nil"/>
            </w:tcBorders>
            <w:vAlign w:val="top"/>
          </w:tcPr>
          <w:p w14:paraId="1541CB49">
            <w:pPr>
              <w:rPr>
                <w:rFonts w:ascii="Arial"/>
                <w:sz w:val="21"/>
              </w:rPr>
            </w:pPr>
          </w:p>
        </w:tc>
        <w:tc>
          <w:tcPr>
            <w:tcW w:w="1581" w:type="dxa"/>
            <w:vMerge w:val="continue"/>
            <w:tcBorders>
              <w:top w:val="nil"/>
              <w:bottom w:val="nil"/>
            </w:tcBorders>
            <w:vAlign w:val="top"/>
          </w:tcPr>
          <w:p w14:paraId="2A46063C">
            <w:pPr>
              <w:rPr>
                <w:rFonts w:ascii="Arial"/>
                <w:sz w:val="21"/>
              </w:rPr>
            </w:pPr>
          </w:p>
        </w:tc>
        <w:tc>
          <w:tcPr>
            <w:tcW w:w="1586" w:type="dxa"/>
            <w:vAlign w:val="top"/>
          </w:tcPr>
          <w:p w14:paraId="4361EB61">
            <w:pPr>
              <w:pStyle w:val="51"/>
              <w:spacing w:before="191" w:line="228" w:lineRule="auto"/>
              <w:ind w:left="532"/>
              <w:rPr>
                <w:sz w:val="17"/>
                <w:szCs w:val="17"/>
              </w:rPr>
            </w:pPr>
            <w:r>
              <w:rPr>
                <w:spacing w:val="5"/>
                <w:sz w:val="17"/>
                <w:szCs w:val="17"/>
              </w:rPr>
              <w:t>糖精钠</w:t>
            </w:r>
          </w:p>
        </w:tc>
        <w:tc>
          <w:tcPr>
            <w:tcW w:w="682" w:type="dxa"/>
            <w:vAlign w:val="top"/>
          </w:tcPr>
          <w:p w14:paraId="4067E128">
            <w:pPr>
              <w:pStyle w:val="51"/>
              <w:spacing w:before="191" w:line="230" w:lineRule="auto"/>
              <w:ind w:left="173"/>
              <w:rPr>
                <w:sz w:val="17"/>
                <w:szCs w:val="17"/>
              </w:rPr>
            </w:pPr>
            <w:r>
              <w:rPr>
                <w:spacing w:val="2"/>
                <w:sz w:val="17"/>
                <w:szCs w:val="17"/>
              </w:rPr>
              <w:t>一般</w:t>
            </w:r>
          </w:p>
        </w:tc>
        <w:tc>
          <w:tcPr>
            <w:tcW w:w="8563" w:type="dxa"/>
            <w:vAlign w:val="top"/>
          </w:tcPr>
          <w:p w14:paraId="1B122EDB">
            <w:pPr>
              <w:pStyle w:val="51"/>
              <w:spacing w:before="191" w:line="223" w:lineRule="auto"/>
              <w:ind w:left="38"/>
              <w:rPr>
                <w:sz w:val="17"/>
                <w:szCs w:val="17"/>
              </w:rPr>
            </w:pPr>
            <w:r>
              <w:rPr>
                <w:spacing w:val="9"/>
                <w:sz w:val="17"/>
                <w:szCs w:val="17"/>
              </w:rPr>
              <w:t>糖精钠含量、干燥失重、总砷(以</w:t>
            </w:r>
            <w:r>
              <w:rPr>
                <w:sz w:val="17"/>
                <w:szCs w:val="17"/>
              </w:rPr>
              <w:t>As</w:t>
            </w:r>
            <w:r>
              <w:rPr>
                <w:spacing w:val="9"/>
                <w:sz w:val="17"/>
                <w:szCs w:val="17"/>
              </w:rPr>
              <w:t>计)、铅(</w:t>
            </w:r>
            <w:r>
              <w:rPr>
                <w:sz w:val="17"/>
                <w:szCs w:val="17"/>
              </w:rPr>
              <w:t>Pb</w:t>
            </w:r>
            <w:r>
              <w:rPr>
                <w:spacing w:val="9"/>
                <w:sz w:val="17"/>
                <w:szCs w:val="17"/>
              </w:rPr>
              <w:t>)、酸度和碱度、苯甲酸盐和水杨酸盐</w:t>
            </w:r>
          </w:p>
        </w:tc>
      </w:tr>
      <w:tr w14:paraId="1CF9FC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459" w:type="dxa"/>
            <w:vMerge w:val="continue"/>
            <w:tcBorders>
              <w:top w:val="nil"/>
              <w:bottom w:val="nil"/>
            </w:tcBorders>
            <w:vAlign w:val="top"/>
          </w:tcPr>
          <w:p w14:paraId="7E3DCAD3">
            <w:pPr>
              <w:rPr>
                <w:rFonts w:ascii="Arial"/>
                <w:sz w:val="21"/>
              </w:rPr>
            </w:pPr>
          </w:p>
        </w:tc>
        <w:tc>
          <w:tcPr>
            <w:tcW w:w="942" w:type="dxa"/>
            <w:vMerge w:val="continue"/>
            <w:tcBorders>
              <w:top w:val="nil"/>
              <w:bottom w:val="nil"/>
            </w:tcBorders>
            <w:vAlign w:val="top"/>
          </w:tcPr>
          <w:p w14:paraId="44C09433">
            <w:pPr>
              <w:rPr>
                <w:rFonts w:ascii="Arial"/>
                <w:sz w:val="21"/>
              </w:rPr>
            </w:pPr>
          </w:p>
        </w:tc>
        <w:tc>
          <w:tcPr>
            <w:tcW w:w="1360" w:type="dxa"/>
            <w:vMerge w:val="continue"/>
            <w:tcBorders>
              <w:top w:val="nil"/>
              <w:bottom w:val="nil"/>
            </w:tcBorders>
            <w:vAlign w:val="top"/>
          </w:tcPr>
          <w:p w14:paraId="642F8B41">
            <w:pPr>
              <w:rPr>
                <w:rFonts w:ascii="Arial"/>
                <w:sz w:val="21"/>
              </w:rPr>
            </w:pPr>
          </w:p>
        </w:tc>
        <w:tc>
          <w:tcPr>
            <w:tcW w:w="1581" w:type="dxa"/>
            <w:vMerge w:val="continue"/>
            <w:tcBorders>
              <w:top w:val="nil"/>
              <w:bottom w:val="nil"/>
            </w:tcBorders>
            <w:vAlign w:val="top"/>
          </w:tcPr>
          <w:p w14:paraId="0ED4C372">
            <w:pPr>
              <w:rPr>
                <w:rFonts w:ascii="Arial"/>
                <w:sz w:val="21"/>
              </w:rPr>
            </w:pPr>
          </w:p>
        </w:tc>
        <w:tc>
          <w:tcPr>
            <w:tcW w:w="1586" w:type="dxa"/>
            <w:vAlign w:val="top"/>
          </w:tcPr>
          <w:p w14:paraId="747A0713">
            <w:pPr>
              <w:pStyle w:val="51"/>
              <w:spacing w:before="87" w:line="275" w:lineRule="auto"/>
              <w:ind w:left="286" w:right="71" w:hanging="206"/>
              <w:rPr>
                <w:sz w:val="17"/>
                <w:szCs w:val="17"/>
              </w:rPr>
            </w:pPr>
            <w:r>
              <w:rPr>
                <w:spacing w:val="8"/>
                <w:sz w:val="17"/>
                <w:szCs w:val="17"/>
              </w:rPr>
              <w:t>环己基氨基磺酸钠</w:t>
            </w:r>
            <w:r>
              <w:rPr>
                <w:spacing w:val="3"/>
                <w:sz w:val="17"/>
                <w:szCs w:val="17"/>
              </w:rPr>
              <w:t>(又名甜蜜素)</w:t>
            </w:r>
          </w:p>
        </w:tc>
        <w:tc>
          <w:tcPr>
            <w:tcW w:w="682" w:type="dxa"/>
            <w:vAlign w:val="top"/>
          </w:tcPr>
          <w:p w14:paraId="49D8C985">
            <w:pPr>
              <w:pStyle w:val="51"/>
              <w:spacing w:before="238" w:line="230" w:lineRule="auto"/>
              <w:ind w:left="173"/>
              <w:rPr>
                <w:sz w:val="17"/>
                <w:szCs w:val="17"/>
              </w:rPr>
            </w:pPr>
            <w:r>
              <w:rPr>
                <w:spacing w:val="2"/>
                <w:sz w:val="17"/>
                <w:szCs w:val="17"/>
              </w:rPr>
              <w:t>一般</w:t>
            </w:r>
          </w:p>
        </w:tc>
        <w:tc>
          <w:tcPr>
            <w:tcW w:w="8563" w:type="dxa"/>
            <w:vAlign w:val="top"/>
          </w:tcPr>
          <w:p w14:paraId="4E0A3BF1">
            <w:pPr>
              <w:pStyle w:val="51"/>
              <w:spacing w:before="87" w:line="275" w:lineRule="auto"/>
              <w:ind w:left="37" w:right="60"/>
              <w:rPr>
                <w:sz w:val="17"/>
                <w:szCs w:val="17"/>
              </w:rPr>
            </w:pPr>
            <w:r>
              <w:rPr>
                <w:spacing w:val="8"/>
                <w:sz w:val="17"/>
                <w:szCs w:val="17"/>
              </w:rPr>
              <w:t>环己基氨基磺酸钠含量(以干基计)、硫酸盐(以</w:t>
            </w:r>
            <w:r>
              <w:rPr>
                <w:sz w:val="17"/>
                <w:szCs w:val="17"/>
              </w:rPr>
              <w:t>SO</w:t>
            </w:r>
            <w:r>
              <w:rPr>
                <w:spacing w:val="8"/>
                <w:position w:val="-2"/>
                <w:sz w:val="8"/>
                <w:szCs w:val="8"/>
              </w:rPr>
              <w:t>4</w:t>
            </w:r>
            <w:r>
              <w:rPr>
                <w:spacing w:val="8"/>
                <w:sz w:val="17"/>
                <w:szCs w:val="17"/>
              </w:rPr>
              <w:t>计)、</w:t>
            </w:r>
            <w:r>
              <w:rPr>
                <w:sz w:val="17"/>
                <w:szCs w:val="17"/>
              </w:rPr>
              <w:t>pH</w:t>
            </w:r>
            <w:r>
              <w:rPr>
                <w:spacing w:val="8"/>
                <w:sz w:val="17"/>
                <w:szCs w:val="17"/>
              </w:rPr>
              <w:t>(100g/L水溶液)、干燥减量、氨基磺酸、环己胺、双环己胺、吸光值(100g/L溶液)、透明度(以100g/L溶液的透光率表示)、重金属(以</w:t>
            </w:r>
            <w:r>
              <w:rPr>
                <w:sz w:val="17"/>
                <w:szCs w:val="17"/>
              </w:rPr>
              <w:t>Pb</w:t>
            </w:r>
            <w:r>
              <w:rPr>
                <w:spacing w:val="8"/>
                <w:sz w:val="17"/>
                <w:szCs w:val="17"/>
              </w:rPr>
              <w:t>计)、砷(</w:t>
            </w:r>
            <w:r>
              <w:rPr>
                <w:sz w:val="17"/>
                <w:szCs w:val="17"/>
              </w:rPr>
              <w:t>As</w:t>
            </w:r>
            <w:r>
              <w:rPr>
                <w:spacing w:val="8"/>
                <w:sz w:val="17"/>
                <w:szCs w:val="17"/>
              </w:rPr>
              <w:t>)</w:t>
            </w:r>
          </w:p>
        </w:tc>
      </w:tr>
      <w:tr w14:paraId="043074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459" w:type="dxa"/>
            <w:vMerge w:val="continue"/>
            <w:tcBorders>
              <w:top w:val="nil"/>
              <w:bottom w:val="nil"/>
            </w:tcBorders>
            <w:vAlign w:val="top"/>
          </w:tcPr>
          <w:p w14:paraId="78F1CD47">
            <w:pPr>
              <w:rPr>
                <w:rFonts w:ascii="Arial"/>
                <w:sz w:val="21"/>
              </w:rPr>
            </w:pPr>
          </w:p>
        </w:tc>
        <w:tc>
          <w:tcPr>
            <w:tcW w:w="942" w:type="dxa"/>
            <w:vMerge w:val="continue"/>
            <w:tcBorders>
              <w:top w:val="nil"/>
              <w:bottom w:val="nil"/>
            </w:tcBorders>
            <w:vAlign w:val="top"/>
          </w:tcPr>
          <w:p w14:paraId="292A8770">
            <w:pPr>
              <w:rPr>
                <w:rFonts w:ascii="Arial"/>
                <w:sz w:val="21"/>
              </w:rPr>
            </w:pPr>
          </w:p>
        </w:tc>
        <w:tc>
          <w:tcPr>
            <w:tcW w:w="1360" w:type="dxa"/>
            <w:vMerge w:val="continue"/>
            <w:tcBorders>
              <w:top w:val="nil"/>
              <w:bottom w:val="nil"/>
            </w:tcBorders>
            <w:vAlign w:val="top"/>
          </w:tcPr>
          <w:p w14:paraId="1346D4BD">
            <w:pPr>
              <w:rPr>
                <w:rFonts w:ascii="Arial"/>
                <w:sz w:val="21"/>
              </w:rPr>
            </w:pPr>
          </w:p>
        </w:tc>
        <w:tc>
          <w:tcPr>
            <w:tcW w:w="1581" w:type="dxa"/>
            <w:vMerge w:val="continue"/>
            <w:tcBorders>
              <w:top w:val="nil"/>
              <w:bottom w:val="nil"/>
            </w:tcBorders>
            <w:vAlign w:val="top"/>
          </w:tcPr>
          <w:p w14:paraId="6CDCE7F7">
            <w:pPr>
              <w:rPr>
                <w:rFonts w:ascii="Arial"/>
                <w:sz w:val="21"/>
              </w:rPr>
            </w:pPr>
          </w:p>
        </w:tc>
        <w:tc>
          <w:tcPr>
            <w:tcW w:w="1586" w:type="dxa"/>
            <w:vAlign w:val="top"/>
          </w:tcPr>
          <w:p w14:paraId="73187F7D">
            <w:pPr>
              <w:pStyle w:val="51"/>
              <w:spacing w:before="239" w:line="229" w:lineRule="auto"/>
              <w:ind w:left="532"/>
              <w:rPr>
                <w:sz w:val="17"/>
                <w:szCs w:val="17"/>
              </w:rPr>
            </w:pPr>
            <w:r>
              <w:rPr>
                <w:spacing w:val="6"/>
                <w:sz w:val="17"/>
                <w:szCs w:val="17"/>
              </w:rPr>
              <w:t>碳酸钠</w:t>
            </w:r>
          </w:p>
        </w:tc>
        <w:tc>
          <w:tcPr>
            <w:tcW w:w="682" w:type="dxa"/>
            <w:vAlign w:val="top"/>
          </w:tcPr>
          <w:p w14:paraId="11D2E7AF">
            <w:pPr>
              <w:pStyle w:val="51"/>
              <w:spacing w:before="238" w:line="230" w:lineRule="auto"/>
              <w:ind w:left="173"/>
              <w:rPr>
                <w:sz w:val="17"/>
                <w:szCs w:val="17"/>
              </w:rPr>
            </w:pPr>
            <w:r>
              <w:rPr>
                <w:spacing w:val="2"/>
                <w:sz w:val="17"/>
                <w:szCs w:val="17"/>
              </w:rPr>
              <w:t>一般</w:t>
            </w:r>
          </w:p>
        </w:tc>
        <w:tc>
          <w:tcPr>
            <w:tcW w:w="8563" w:type="dxa"/>
            <w:vAlign w:val="top"/>
          </w:tcPr>
          <w:p w14:paraId="496BBE8F">
            <w:pPr>
              <w:pStyle w:val="51"/>
              <w:spacing w:before="90" w:line="274" w:lineRule="auto"/>
              <w:ind w:left="43" w:right="26" w:firstLine="1"/>
              <w:rPr>
                <w:sz w:val="17"/>
                <w:szCs w:val="17"/>
              </w:rPr>
            </w:pPr>
            <w:r>
              <w:rPr>
                <w:spacing w:val="5"/>
                <w:sz w:val="17"/>
                <w:szCs w:val="17"/>
              </w:rPr>
              <w:t>总碱量(以</w:t>
            </w:r>
            <w:r>
              <w:rPr>
                <w:sz w:val="17"/>
                <w:szCs w:val="17"/>
              </w:rPr>
              <w:t>Na</w:t>
            </w:r>
            <w:r>
              <w:rPr>
                <w:spacing w:val="5"/>
                <w:position w:val="-2"/>
                <w:sz w:val="8"/>
                <w:szCs w:val="8"/>
              </w:rPr>
              <w:t>2</w:t>
            </w:r>
            <w:r>
              <w:rPr>
                <w:sz w:val="17"/>
                <w:szCs w:val="17"/>
              </w:rPr>
              <w:t>CO</w:t>
            </w:r>
            <w:r>
              <w:rPr>
                <w:spacing w:val="5"/>
                <w:position w:val="-2"/>
                <w:sz w:val="8"/>
                <w:szCs w:val="8"/>
              </w:rPr>
              <w:t>3</w:t>
            </w:r>
            <w:r>
              <w:rPr>
                <w:spacing w:val="5"/>
                <w:sz w:val="17"/>
                <w:szCs w:val="17"/>
              </w:rPr>
              <w:t>计)(以干基计)、总碱量(以</w:t>
            </w:r>
            <w:r>
              <w:rPr>
                <w:sz w:val="17"/>
                <w:szCs w:val="17"/>
              </w:rPr>
              <w:t>Na</w:t>
            </w:r>
            <w:r>
              <w:rPr>
                <w:spacing w:val="5"/>
                <w:position w:val="-2"/>
                <w:sz w:val="8"/>
                <w:szCs w:val="8"/>
              </w:rPr>
              <w:t>2</w:t>
            </w:r>
            <w:r>
              <w:rPr>
                <w:sz w:val="17"/>
                <w:szCs w:val="17"/>
              </w:rPr>
              <w:t>CO</w:t>
            </w:r>
            <w:r>
              <w:rPr>
                <w:spacing w:val="5"/>
                <w:position w:val="-2"/>
                <w:sz w:val="8"/>
                <w:szCs w:val="8"/>
              </w:rPr>
              <w:t>3</w:t>
            </w:r>
            <w:r>
              <w:rPr>
                <w:spacing w:val="5"/>
                <w:sz w:val="17"/>
                <w:szCs w:val="17"/>
              </w:rPr>
              <w:t>计)(以湿基计)、水不溶物(以干基计</w:t>
            </w:r>
            <w:r>
              <w:rPr>
                <w:spacing w:val="4"/>
                <w:sz w:val="17"/>
                <w:szCs w:val="17"/>
              </w:rPr>
              <w:t>)、氯化物(以</w:t>
            </w:r>
            <w:r>
              <w:rPr>
                <w:sz w:val="17"/>
                <w:szCs w:val="17"/>
              </w:rPr>
              <w:t>NaCl</w:t>
            </w:r>
            <w:r>
              <w:rPr>
                <w:spacing w:val="4"/>
                <w:sz w:val="17"/>
                <w:szCs w:val="17"/>
              </w:rPr>
              <w:t>计)(以</w:t>
            </w:r>
            <w:r>
              <w:rPr>
                <w:spacing w:val="8"/>
                <w:sz w:val="17"/>
                <w:szCs w:val="17"/>
              </w:rPr>
              <w:t>干基计)、铁(</w:t>
            </w:r>
            <w:r>
              <w:rPr>
                <w:sz w:val="17"/>
                <w:szCs w:val="17"/>
              </w:rPr>
              <w:t>Fe</w:t>
            </w:r>
            <w:r>
              <w:rPr>
                <w:spacing w:val="8"/>
                <w:sz w:val="17"/>
                <w:szCs w:val="17"/>
              </w:rPr>
              <w:t>)(以干基计)、铅(</w:t>
            </w:r>
            <w:r>
              <w:rPr>
                <w:sz w:val="17"/>
                <w:szCs w:val="17"/>
              </w:rPr>
              <w:t>Pb</w:t>
            </w:r>
            <w:r>
              <w:rPr>
                <w:spacing w:val="8"/>
                <w:sz w:val="17"/>
                <w:szCs w:val="17"/>
              </w:rPr>
              <w:t>)(以干基计)、砷(</w:t>
            </w:r>
            <w:r>
              <w:rPr>
                <w:sz w:val="17"/>
                <w:szCs w:val="17"/>
              </w:rPr>
              <w:t>As</w:t>
            </w:r>
            <w:r>
              <w:rPr>
                <w:spacing w:val="8"/>
                <w:sz w:val="17"/>
                <w:szCs w:val="17"/>
              </w:rPr>
              <w:t>)(以干基计)</w:t>
            </w:r>
          </w:p>
        </w:tc>
      </w:tr>
      <w:tr w14:paraId="6E0835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459" w:type="dxa"/>
            <w:vMerge w:val="continue"/>
            <w:tcBorders>
              <w:top w:val="nil"/>
              <w:bottom w:val="nil"/>
            </w:tcBorders>
            <w:vAlign w:val="top"/>
          </w:tcPr>
          <w:p w14:paraId="1C2E9DFD">
            <w:pPr>
              <w:rPr>
                <w:rFonts w:ascii="Arial"/>
                <w:sz w:val="21"/>
              </w:rPr>
            </w:pPr>
          </w:p>
        </w:tc>
        <w:tc>
          <w:tcPr>
            <w:tcW w:w="942" w:type="dxa"/>
            <w:vMerge w:val="continue"/>
            <w:tcBorders>
              <w:top w:val="nil"/>
              <w:bottom w:val="nil"/>
            </w:tcBorders>
            <w:vAlign w:val="top"/>
          </w:tcPr>
          <w:p w14:paraId="7C646F34">
            <w:pPr>
              <w:rPr>
                <w:rFonts w:ascii="Arial"/>
                <w:sz w:val="21"/>
              </w:rPr>
            </w:pPr>
          </w:p>
        </w:tc>
        <w:tc>
          <w:tcPr>
            <w:tcW w:w="1360" w:type="dxa"/>
            <w:vMerge w:val="continue"/>
            <w:tcBorders>
              <w:top w:val="nil"/>
              <w:bottom w:val="nil"/>
            </w:tcBorders>
            <w:vAlign w:val="top"/>
          </w:tcPr>
          <w:p w14:paraId="0D34B771">
            <w:pPr>
              <w:rPr>
                <w:rFonts w:ascii="Arial"/>
                <w:sz w:val="21"/>
              </w:rPr>
            </w:pPr>
          </w:p>
        </w:tc>
        <w:tc>
          <w:tcPr>
            <w:tcW w:w="1581" w:type="dxa"/>
            <w:vMerge w:val="continue"/>
            <w:tcBorders>
              <w:top w:val="nil"/>
              <w:bottom w:val="nil"/>
            </w:tcBorders>
            <w:vAlign w:val="top"/>
          </w:tcPr>
          <w:p w14:paraId="18FE53A6">
            <w:pPr>
              <w:rPr>
                <w:rFonts w:ascii="Arial"/>
                <w:sz w:val="21"/>
              </w:rPr>
            </w:pPr>
          </w:p>
        </w:tc>
        <w:tc>
          <w:tcPr>
            <w:tcW w:w="1586" w:type="dxa"/>
            <w:vAlign w:val="top"/>
          </w:tcPr>
          <w:p w14:paraId="5A3EE253">
            <w:pPr>
              <w:pStyle w:val="51"/>
              <w:spacing w:before="238" w:line="229" w:lineRule="auto"/>
              <w:ind w:left="440"/>
              <w:rPr>
                <w:sz w:val="17"/>
                <w:szCs w:val="17"/>
              </w:rPr>
            </w:pPr>
            <w:r>
              <w:rPr>
                <w:spacing w:val="7"/>
                <w:sz w:val="17"/>
                <w:szCs w:val="17"/>
              </w:rPr>
              <w:t>碳酸氢钠</w:t>
            </w:r>
          </w:p>
        </w:tc>
        <w:tc>
          <w:tcPr>
            <w:tcW w:w="682" w:type="dxa"/>
            <w:vAlign w:val="top"/>
          </w:tcPr>
          <w:p w14:paraId="0F1A0D2C">
            <w:pPr>
              <w:pStyle w:val="51"/>
              <w:spacing w:before="238" w:line="230" w:lineRule="auto"/>
              <w:ind w:left="173"/>
              <w:rPr>
                <w:sz w:val="17"/>
                <w:szCs w:val="17"/>
              </w:rPr>
            </w:pPr>
            <w:r>
              <w:rPr>
                <w:spacing w:val="2"/>
                <w:sz w:val="17"/>
                <w:szCs w:val="17"/>
              </w:rPr>
              <w:t>一般</w:t>
            </w:r>
          </w:p>
        </w:tc>
        <w:tc>
          <w:tcPr>
            <w:tcW w:w="8563" w:type="dxa"/>
            <w:vAlign w:val="top"/>
          </w:tcPr>
          <w:p w14:paraId="0D69667F">
            <w:pPr>
              <w:pStyle w:val="51"/>
              <w:spacing w:before="89" w:line="274" w:lineRule="auto"/>
              <w:ind w:left="37" w:right="39" w:firstLine="7"/>
              <w:rPr>
                <w:sz w:val="17"/>
                <w:szCs w:val="17"/>
              </w:rPr>
            </w:pPr>
            <w:r>
              <w:rPr>
                <w:spacing w:val="8"/>
                <w:sz w:val="17"/>
                <w:szCs w:val="17"/>
              </w:rPr>
              <w:t>总碱量(以</w:t>
            </w:r>
            <w:r>
              <w:rPr>
                <w:sz w:val="17"/>
                <w:szCs w:val="17"/>
              </w:rPr>
              <w:t>NaHCO</w:t>
            </w:r>
            <w:r>
              <w:rPr>
                <w:spacing w:val="8"/>
                <w:position w:val="-2"/>
                <w:sz w:val="8"/>
                <w:szCs w:val="8"/>
              </w:rPr>
              <w:t>3</w:t>
            </w:r>
            <w:r>
              <w:rPr>
                <w:spacing w:val="8"/>
                <w:sz w:val="17"/>
                <w:szCs w:val="17"/>
              </w:rPr>
              <w:t>计)、干燥减量、</w:t>
            </w:r>
            <w:r>
              <w:rPr>
                <w:spacing w:val="-22"/>
                <w:sz w:val="17"/>
                <w:szCs w:val="17"/>
              </w:rPr>
              <w:t xml:space="preserve"> </w:t>
            </w:r>
            <w:r>
              <w:rPr>
                <w:sz w:val="17"/>
                <w:szCs w:val="17"/>
              </w:rPr>
              <w:t>pH</w:t>
            </w:r>
            <w:r>
              <w:rPr>
                <w:spacing w:val="8"/>
                <w:sz w:val="17"/>
                <w:szCs w:val="17"/>
              </w:rPr>
              <w:t>(10g/L水溶液)、铵盐、澄清度、氯化物(</w:t>
            </w:r>
            <w:r>
              <w:rPr>
                <w:spacing w:val="7"/>
                <w:sz w:val="17"/>
                <w:szCs w:val="17"/>
              </w:rPr>
              <w:t>以</w:t>
            </w:r>
            <w:r>
              <w:rPr>
                <w:sz w:val="17"/>
                <w:szCs w:val="17"/>
              </w:rPr>
              <w:t>Cl</w:t>
            </w:r>
            <w:r>
              <w:rPr>
                <w:spacing w:val="7"/>
                <w:sz w:val="17"/>
                <w:szCs w:val="17"/>
              </w:rPr>
              <w:t>计)、白度、砷(</w:t>
            </w:r>
            <w:r>
              <w:rPr>
                <w:sz w:val="17"/>
                <w:szCs w:val="17"/>
              </w:rPr>
              <w:t>As</w:t>
            </w:r>
            <w:r>
              <w:rPr>
                <w:spacing w:val="7"/>
                <w:sz w:val="17"/>
                <w:szCs w:val="17"/>
              </w:rPr>
              <w:t>)、重金属(以</w:t>
            </w:r>
            <w:r>
              <w:rPr>
                <w:sz w:val="17"/>
                <w:szCs w:val="17"/>
              </w:rPr>
              <w:t>Pb</w:t>
            </w:r>
            <w:r>
              <w:rPr>
                <w:spacing w:val="7"/>
                <w:sz w:val="17"/>
                <w:szCs w:val="17"/>
              </w:rPr>
              <w:t>计)</w:t>
            </w:r>
          </w:p>
        </w:tc>
      </w:tr>
      <w:tr w14:paraId="1B3B98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459" w:type="dxa"/>
            <w:vMerge w:val="continue"/>
            <w:tcBorders>
              <w:top w:val="nil"/>
              <w:bottom w:val="nil"/>
            </w:tcBorders>
            <w:vAlign w:val="top"/>
          </w:tcPr>
          <w:p w14:paraId="3DF3F726">
            <w:pPr>
              <w:rPr>
                <w:rFonts w:ascii="Arial"/>
                <w:sz w:val="21"/>
              </w:rPr>
            </w:pPr>
          </w:p>
        </w:tc>
        <w:tc>
          <w:tcPr>
            <w:tcW w:w="942" w:type="dxa"/>
            <w:vMerge w:val="continue"/>
            <w:tcBorders>
              <w:top w:val="nil"/>
              <w:bottom w:val="nil"/>
            </w:tcBorders>
            <w:vAlign w:val="top"/>
          </w:tcPr>
          <w:p w14:paraId="01BD60B7">
            <w:pPr>
              <w:rPr>
                <w:rFonts w:ascii="Arial"/>
                <w:sz w:val="21"/>
              </w:rPr>
            </w:pPr>
          </w:p>
        </w:tc>
        <w:tc>
          <w:tcPr>
            <w:tcW w:w="1360" w:type="dxa"/>
            <w:vMerge w:val="continue"/>
            <w:tcBorders>
              <w:top w:val="nil"/>
              <w:bottom w:val="nil"/>
            </w:tcBorders>
            <w:vAlign w:val="top"/>
          </w:tcPr>
          <w:p w14:paraId="247D25F6">
            <w:pPr>
              <w:rPr>
                <w:rFonts w:ascii="Arial"/>
                <w:sz w:val="21"/>
              </w:rPr>
            </w:pPr>
          </w:p>
        </w:tc>
        <w:tc>
          <w:tcPr>
            <w:tcW w:w="1581" w:type="dxa"/>
            <w:vMerge w:val="continue"/>
            <w:tcBorders>
              <w:top w:val="nil"/>
              <w:bottom w:val="nil"/>
            </w:tcBorders>
            <w:vAlign w:val="top"/>
          </w:tcPr>
          <w:p w14:paraId="3140F39E">
            <w:pPr>
              <w:rPr>
                <w:rFonts w:ascii="Arial"/>
                <w:sz w:val="21"/>
              </w:rPr>
            </w:pPr>
          </w:p>
        </w:tc>
        <w:tc>
          <w:tcPr>
            <w:tcW w:w="1586" w:type="dxa"/>
            <w:vAlign w:val="top"/>
          </w:tcPr>
          <w:p w14:paraId="056D757D">
            <w:pPr>
              <w:pStyle w:val="51"/>
              <w:spacing w:before="238" w:line="228" w:lineRule="auto"/>
              <w:ind w:left="540"/>
              <w:rPr>
                <w:sz w:val="17"/>
                <w:szCs w:val="17"/>
              </w:rPr>
            </w:pPr>
            <w:r>
              <w:rPr>
                <w:spacing w:val="2"/>
                <w:sz w:val="17"/>
                <w:szCs w:val="17"/>
              </w:rPr>
              <w:t>焦糖色</w:t>
            </w:r>
          </w:p>
        </w:tc>
        <w:tc>
          <w:tcPr>
            <w:tcW w:w="682" w:type="dxa"/>
            <w:vAlign w:val="top"/>
          </w:tcPr>
          <w:p w14:paraId="523CDE06">
            <w:pPr>
              <w:pStyle w:val="51"/>
              <w:spacing w:before="239" w:line="230" w:lineRule="auto"/>
              <w:ind w:left="185"/>
              <w:rPr>
                <w:sz w:val="17"/>
                <w:szCs w:val="17"/>
              </w:rPr>
            </w:pPr>
            <w:r>
              <w:rPr>
                <w:spacing w:val="-3"/>
                <w:sz w:val="17"/>
                <w:szCs w:val="17"/>
              </w:rPr>
              <w:t>一般</w:t>
            </w:r>
          </w:p>
        </w:tc>
        <w:tc>
          <w:tcPr>
            <w:tcW w:w="8563" w:type="dxa"/>
            <w:vAlign w:val="top"/>
          </w:tcPr>
          <w:p w14:paraId="3168155E">
            <w:pPr>
              <w:pStyle w:val="51"/>
              <w:spacing w:before="45" w:line="266" w:lineRule="exact"/>
              <w:ind w:left="45"/>
              <w:rPr>
                <w:sz w:val="17"/>
                <w:szCs w:val="17"/>
              </w:rPr>
            </w:pPr>
            <w:r>
              <w:rPr>
                <w:spacing w:val="9"/>
                <w:sz w:val="17"/>
                <w:szCs w:val="17"/>
              </w:rPr>
              <w:t>吸光度E</w:t>
            </w:r>
            <w:r>
              <w:rPr>
                <w:spacing w:val="9"/>
                <w:position w:val="15"/>
                <w:sz w:val="5"/>
                <w:szCs w:val="5"/>
              </w:rPr>
              <w:t>0.</w:t>
            </w:r>
            <w:r>
              <w:fldChar w:fldCharType="begin"/>
            </w:r>
            <w:r>
              <w:instrText xml:space="preserve">EQ \* jc3 \* hps5 \o\al(\s\up 7(</w:instrText>
            </w:r>
            <w:r>
              <w:rPr>
                <w:w w:val="115"/>
                <w:sz w:val="5"/>
                <w:szCs w:val="5"/>
              </w:rPr>
              <w:instrText xml:space="preserve">1%</w:instrText>
            </w:r>
            <w:r>
              <w:instrText xml:space="preserve">),</w:instrText>
            </w:r>
            <w:r>
              <w:rPr>
                <w:w w:val="80"/>
                <w:position w:val="1"/>
                <w:sz w:val="5"/>
                <w:szCs w:val="5"/>
              </w:rPr>
              <w:instrText xml:space="preserve">1CM</w:instrText>
            </w:r>
            <w:r>
              <w:instrText xml:space="preserve">)</w:instrText>
            </w:r>
            <w:r>
              <w:fldChar w:fldCharType="end"/>
            </w:r>
            <w:r>
              <w:rPr>
                <w:spacing w:val="9"/>
                <w:sz w:val="17"/>
                <w:szCs w:val="17"/>
              </w:rPr>
              <w:t>(610</w:t>
            </w:r>
            <w:r>
              <w:rPr>
                <w:sz w:val="17"/>
                <w:szCs w:val="17"/>
              </w:rPr>
              <w:t>nm</w:t>
            </w:r>
            <w:r>
              <w:rPr>
                <w:spacing w:val="9"/>
                <w:sz w:val="17"/>
                <w:szCs w:val="17"/>
              </w:rPr>
              <w:t>)、氨氮(以N计)、二氧化硫(以</w:t>
            </w:r>
            <w:r>
              <w:rPr>
                <w:sz w:val="17"/>
                <w:szCs w:val="17"/>
              </w:rPr>
              <w:t>SO</w:t>
            </w:r>
            <w:r>
              <w:rPr>
                <w:spacing w:val="9"/>
                <w:position w:val="-2"/>
                <w:sz w:val="8"/>
                <w:szCs w:val="8"/>
              </w:rPr>
              <w:t>2</w:t>
            </w:r>
            <w:r>
              <w:rPr>
                <w:spacing w:val="9"/>
                <w:sz w:val="17"/>
                <w:szCs w:val="17"/>
              </w:rPr>
              <w:t>计)、4-甲基咪唑、总氮(以N计)、总硫(以S计)、总砷(以</w:t>
            </w:r>
          </w:p>
          <w:p w14:paraId="38A6DC1A">
            <w:pPr>
              <w:pStyle w:val="51"/>
              <w:spacing w:before="78" w:line="222" w:lineRule="auto"/>
              <w:ind w:left="26"/>
              <w:rPr>
                <w:sz w:val="17"/>
                <w:szCs w:val="17"/>
              </w:rPr>
            </w:pPr>
            <w:r>
              <w:rPr>
                <w:sz w:val="17"/>
                <w:szCs w:val="17"/>
              </w:rPr>
              <w:t>As</w:t>
            </w:r>
            <w:r>
              <w:rPr>
                <w:spacing w:val="11"/>
                <w:sz w:val="17"/>
                <w:szCs w:val="17"/>
              </w:rPr>
              <w:t>计)、铅(</w:t>
            </w:r>
            <w:r>
              <w:rPr>
                <w:sz w:val="17"/>
                <w:szCs w:val="17"/>
              </w:rPr>
              <w:t>Pb</w:t>
            </w:r>
            <w:r>
              <w:rPr>
                <w:spacing w:val="11"/>
                <w:sz w:val="17"/>
                <w:szCs w:val="17"/>
              </w:rPr>
              <w:t>)、总汞(以</w:t>
            </w:r>
            <w:r>
              <w:rPr>
                <w:sz w:val="17"/>
                <w:szCs w:val="17"/>
              </w:rPr>
              <w:t>Hg</w:t>
            </w:r>
            <w:r>
              <w:rPr>
                <w:spacing w:val="11"/>
                <w:sz w:val="17"/>
                <w:szCs w:val="17"/>
              </w:rPr>
              <w:t>计)</w:t>
            </w:r>
          </w:p>
        </w:tc>
      </w:tr>
      <w:tr w14:paraId="08FDCA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459" w:type="dxa"/>
            <w:vMerge w:val="continue"/>
            <w:tcBorders>
              <w:top w:val="nil"/>
              <w:bottom w:val="nil"/>
            </w:tcBorders>
            <w:vAlign w:val="top"/>
          </w:tcPr>
          <w:p w14:paraId="61C3CD3A">
            <w:pPr>
              <w:rPr>
                <w:rFonts w:ascii="Arial"/>
                <w:sz w:val="21"/>
              </w:rPr>
            </w:pPr>
          </w:p>
        </w:tc>
        <w:tc>
          <w:tcPr>
            <w:tcW w:w="942" w:type="dxa"/>
            <w:vMerge w:val="continue"/>
            <w:tcBorders>
              <w:top w:val="nil"/>
              <w:bottom w:val="nil"/>
            </w:tcBorders>
            <w:vAlign w:val="top"/>
          </w:tcPr>
          <w:p w14:paraId="4FCF3BD6">
            <w:pPr>
              <w:rPr>
                <w:rFonts w:ascii="Arial"/>
                <w:sz w:val="21"/>
              </w:rPr>
            </w:pPr>
          </w:p>
        </w:tc>
        <w:tc>
          <w:tcPr>
            <w:tcW w:w="1360" w:type="dxa"/>
            <w:vMerge w:val="continue"/>
            <w:tcBorders>
              <w:top w:val="nil"/>
              <w:bottom w:val="nil"/>
            </w:tcBorders>
            <w:vAlign w:val="top"/>
          </w:tcPr>
          <w:p w14:paraId="5EF77CA8">
            <w:pPr>
              <w:rPr>
                <w:rFonts w:ascii="Arial"/>
                <w:sz w:val="21"/>
              </w:rPr>
            </w:pPr>
          </w:p>
        </w:tc>
        <w:tc>
          <w:tcPr>
            <w:tcW w:w="1581" w:type="dxa"/>
            <w:vMerge w:val="continue"/>
            <w:tcBorders>
              <w:top w:val="nil"/>
              <w:bottom w:val="nil"/>
            </w:tcBorders>
            <w:vAlign w:val="top"/>
          </w:tcPr>
          <w:p w14:paraId="29487658">
            <w:pPr>
              <w:rPr>
                <w:rFonts w:ascii="Arial"/>
                <w:sz w:val="21"/>
              </w:rPr>
            </w:pPr>
          </w:p>
        </w:tc>
        <w:tc>
          <w:tcPr>
            <w:tcW w:w="1586" w:type="dxa"/>
            <w:vAlign w:val="top"/>
          </w:tcPr>
          <w:p w14:paraId="64E2D060">
            <w:pPr>
              <w:pStyle w:val="51"/>
              <w:spacing w:before="241" w:line="227" w:lineRule="auto"/>
              <w:ind w:left="628"/>
              <w:rPr>
                <w:sz w:val="17"/>
                <w:szCs w:val="17"/>
              </w:rPr>
            </w:pPr>
            <w:r>
              <w:rPr>
                <w:sz w:val="17"/>
                <w:szCs w:val="17"/>
              </w:rPr>
              <w:t>蜂蜡</w:t>
            </w:r>
          </w:p>
        </w:tc>
        <w:tc>
          <w:tcPr>
            <w:tcW w:w="682" w:type="dxa"/>
            <w:vAlign w:val="top"/>
          </w:tcPr>
          <w:p w14:paraId="6D8E4C12">
            <w:pPr>
              <w:pStyle w:val="51"/>
              <w:spacing w:before="241" w:line="230" w:lineRule="auto"/>
              <w:ind w:left="185"/>
              <w:rPr>
                <w:sz w:val="17"/>
                <w:szCs w:val="17"/>
              </w:rPr>
            </w:pPr>
            <w:r>
              <w:rPr>
                <w:spacing w:val="-3"/>
                <w:sz w:val="17"/>
                <w:szCs w:val="17"/>
              </w:rPr>
              <w:t>一般</w:t>
            </w:r>
          </w:p>
        </w:tc>
        <w:tc>
          <w:tcPr>
            <w:tcW w:w="8563" w:type="dxa"/>
            <w:vAlign w:val="top"/>
          </w:tcPr>
          <w:p w14:paraId="7407F2C4">
            <w:pPr>
              <w:pStyle w:val="51"/>
              <w:spacing w:before="89" w:line="274" w:lineRule="auto"/>
              <w:ind w:left="37" w:right="24" w:firstLine="2"/>
              <w:rPr>
                <w:sz w:val="17"/>
                <w:szCs w:val="17"/>
              </w:rPr>
            </w:pPr>
            <w:r>
              <w:rPr>
                <w:spacing w:val="9"/>
                <w:sz w:val="17"/>
                <w:szCs w:val="17"/>
              </w:rPr>
              <w:t>过氧化值，酸值(以</w:t>
            </w:r>
            <w:r>
              <w:rPr>
                <w:sz w:val="17"/>
                <w:szCs w:val="17"/>
              </w:rPr>
              <w:t>KOH</w:t>
            </w:r>
            <w:r>
              <w:rPr>
                <w:spacing w:val="9"/>
                <w:sz w:val="17"/>
                <w:szCs w:val="17"/>
              </w:rPr>
              <w:t>计),皂化值(以</w:t>
            </w:r>
            <w:r>
              <w:rPr>
                <w:sz w:val="17"/>
                <w:szCs w:val="17"/>
              </w:rPr>
              <w:t>KOH</w:t>
            </w:r>
            <w:r>
              <w:rPr>
                <w:spacing w:val="9"/>
                <w:sz w:val="17"/>
                <w:szCs w:val="17"/>
              </w:rPr>
              <w:t>计),熔程，甘油和其他多元醇，铅</w:t>
            </w:r>
            <w:r>
              <w:rPr>
                <w:spacing w:val="8"/>
                <w:sz w:val="17"/>
                <w:szCs w:val="17"/>
              </w:rPr>
              <w:t>(</w:t>
            </w:r>
            <w:r>
              <w:rPr>
                <w:sz w:val="17"/>
                <w:szCs w:val="17"/>
              </w:rPr>
              <w:t>Pb</w:t>
            </w:r>
            <w:r>
              <w:rPr>
                <w:spacing w:val="8"/>
                <w:sz w:val="17"/>
                <w:szCs w:val="17"/>
              </w:rPr>
              <w:t>),巴西棕榈蜡，纯白地蜡、石</w:t>
            </w:r>
            <w:r>
              <w:rPr>
                <w:spacing w:val="9"/>
                <w:sz w:val="17"/>
                <w:szCs w:val="17"/>
              </w:rPr>
              <w:t>蜡及其他蜡，脂肪、日本蜡、松脂和皂质</w:t>
            </w:r>
          </w:p>
        </w:tc>
      </w:tr>
      <w:tr w14:paraId="1C0DC4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459" w:type="dxa"/>
            <w:vMerge w:val="continue"/>
            <w:tcBorders>
              <w:top w:val="nil"/>
              <w:bottom w:val="nil"/>
            </w:tcBorders>
            <w:vAlign w:val="top"/>
          </w:tcPr>
          <w:p w14:paraId="45F96EE2">
            <w:pPr>
              <w:rPr>
                <w:rFonts w:ascii="Arial"/>
                <w:sz w:val="21"/>
              </w:rPr>
            </w:pPr>
          </w:p>
        </w:tc>
        <w:tc>
          <w:tcPr>
            <w:tcW w:w="942" w:type="dxa"/>
            <w:vMerge w:val="continue"/>
            <w:tcBorders>
              <w:top w:val="nil"/>
              <w:bottom w:val="nil"/>
            </w:tcBorders>
            <w:vAlign w:val="top"/>
          </w:tcPr>
          <w:p w14:paraId="773AE7ED">
            <w:pPr>
              <w:rPr>
                <w:rFonts w:ascii="Arial"/>
                <w:sz w:val="21"/>
              </w:rPr>
            </w:pPr>
          </w:p>
        </w:tc>
        <w:tc>
          <w:tcPr>
            <w:tcW w:w="1360" w:type="dxa"/>
            <w:vMerge w:val="continue"/>
            <w:tcBorders>
              <w:top w:val="nil"/>
              <w:bottom w:val="nil"/>
            </w:tcBorders>
            <w:vAlign w:val="top"/>
          </w:tcPr>
          <w:p w14:paraId="55FF01E8">
            <w:pPr>
              <w:rPr>
                <w:rFonts w:ascii="Arial"/>
                <w:sz w:val="21"/>
              </w:rPr>
            </w:pPr>
          </w:p>
        </w:tc>
        <w:tc>
          <w:tcPr>
            <w:tcW w:w="1581" w:type="dxa"/>
            <w:vMerge w:val="continue"/>
            <w:tcBorders>
              <w:top w:val="nil"/>
              <w:bottom w:val="nil"/>
            </w:tcBorders>
            <w:vAlign w:val="top"/>
          </w:tcPr>
          <w:p w14:paraId="40BC1C3F">
            <w:pPr>
              <w:rPr>
                <w:rFonts w:ascii="Arial"/>
                <w:sz w:val="21"/>
              </w:rPr>
            </w:pPr>
          </w:p>
        </w:tc>
        <w:tc>
          <w:tcPr>
            <w:tcW w:w="1586" w:type="dxa"/>
            <w:vAlign w:val="top"/>
          </w:tcPr>
          <w:p w14:paraId="01F98B86">
            <w:pPr>
              <w:pStyle w:val="51"/>
              <w:spacing w:before="241" w:line="228" w:lineRule="auto"/>
              <w:ind w:left="525"/>
              <w:rPr>
                <w:sz w:val="17"/>
                <w:szCs w:val="17"/>
              </w:rPr>
            </w:pPr>
            <w:r>
              <w:rPr>
                <w:spacing w:val="8"/>
                <w:sz w:val="17"/>
                <w:szCs w:val="17"/>
              </w:rPr>
              <w:t>红曲米</w:t>
            </w:r>
          </w:p>
        </w:tc>
        <w:tc>
          <w:tcPr>
            <w:tcW w:w="682" w:type="dxa"/>
            <w:vAlign w:val="top"/>
          </w:tcPr>
          <w:p w14:paraId="5F981C2B">
            <w:pPr>
              <w:pStyle w:val="51"/>
              <w:spacing w:before="241" w:line="230" w:lineRule="auto"/>
              <w:ind w:left="185"/>
              <w:rPr>
                <w:sz w:val="17"/>
                <w:szCs w:val="17"/>
              </w:rPr>
            </w:pPr>
            <w:r>
              <w:rPr>
                <w:spacing w:val="-3"/>
                <w:sz w:val="17"/>
                <w:szCs w:val="17"/>
              </w:rPr>
              <w:t>一般</w:t>
            </w:r>
          </w:p>
        </w:tc>
        <w:tc>
          <w:tcPr>
            <w:tcW w:w="8563" w:type="dxa"/>
            <w:vAlign w:val="top"/>
          </w:tcPr>
          <w:p w14:paraId="10AAF920">
            <w:pPr>
              <w:pStyle w:val="51"/>
              <w:spacing w:before="90" w:line="274" w:lineRule="auto"/>
              <w:ind w:left="55" w:right="40" w:hanging="18"/>
              <w:rPr>
                <w:sz w:val="17"/>
                <w:szCs w:val="17"/>
              </w:rPr>
            </w:pPr>
            <w:r>
              <w:rPr>
                <w:spacing w:val="11"/>
                <w:sz w:val="17"/>
                <w:szCs w:val="17"/>
              </w:rPr>
              <w:t>水分、黄曲霉毒素B</w:t>
            </w:r>
            <w:r>
              <w:rPr>
                <w:spacing w:val="11"/>
                <w:position w:val="-2"/>
                <w:sz w:val="8"/>
                <w:szCs w:val="8"/>
              </w:rPr>
              <w:t>1</w:t>
            </w:r>
            <w:r>
              <w:rPr>
                <w:spacing w:val="11"/>
                <w:sz w:val="17"/>
                <w:szCs w:val="17"/>
              </w:rPr>
              <w:t>、色价、细度150</w:t>
            </w:r>
            <w:r>
              <w:rPr>
                <w:spacing w:val="-28"/>
                <w:sz w:val="17"/>
                <w:szCs w:val="17"/>
              </w:rPr>
              <w:t xml:space="preserve"> </w:t>
            </w:r>
            <w:r>
              <w:rPr>
                <w:spacing w:val="11"/>
                <w:sz w:val="17"/>
                <w:szCs w:val="17"/>
              </w:rPr>
              <w:t>μm(100目)通过率、总砷(以</w:t>
            </w:r>
            <w:r>
              <w:rPr>
                <w:sz w:val="17"/>
                <w:szCs w:val="17"/>
              </w:rPr>
              <w:t>As</w:t>
            </w:r>
            <w:r>
              <w:rPr>
                <w:spacing w:val="11"/>
                <w:sz w:val="17"/>
                <w:szCs w:val="17"/>
              </w:rPr>
              <w:t>计)、重金属(</w:t>
            </w:r>
            <w:r>
              <w:rPr>
                <w:spacing w:val="10"/>
                <w:sz w:val="17"/>
                <w:szCs w:val="17"/>
              </w:rPr>
              <w:t>以</w:t>
            </w:r>
            <w:r>
              <w:rPr>
                <w:sz w:val="17"/>
                <w:szCs w:val="17"/>
              </w:rPr>
              <w:t>Pb</w:t>
            </w:r>
            <w:r>
              <w:rPr>
                <w:spacing w:val="10"/>
                <w:sz w:val="17"/>
                <w:szCs w:val="17"/>
              </w:rPr>
              <w:t>计)、大肠菌群、沙</w:t>
            </w:r>
            <w:r>
              <w:rPr>
                <w:spacing w:val="7"/>
                <w:sz w:val="17"/>
                <w:szCs w:val="17"/>
              </w:rPr>
              <w:t>门氏菌、志贺氏菌、金黄色葡萄球菌</w:t>
            </w:r>
          </w:p>
        </w:tc>
      </w:tr>
      <w:tr w14:paraId="7282D2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459" w:type="dxa"/>
            <w:vMerge w:val="continue"/>
            <w:tcBorders>
              <w:top w:val="nil"/>
              <w:bottom w:val="nil"/>
            </w:tcBorders>
            <w:vAlign w:val="top"/>
          </w:tcPr>
          <w:p w14:paraId="3229F7AB">
            <w:pPr>
              <w:rPr>
                <w:rFonts w:ascii="Arial"/>
                <w:sz w:val="21"/>
              </w:rPr>
            </w:pPr>
          </w:p>
        </w:tc>
        <w:tc>
          <w:tcPr>
            <w:tcW w:w="942" w:type="dxa"/>
            <w:vMerge w:val="continue"/>
            <w:tcBorders>
              <w:top w:val="nil"/>
              <w:bottom w:val="nil"/>
            </w:tcBorders>
            <w:vAlign w:val="top"/>
          </w:tcPr>
          <w:p w14:paraId="226C2E81">
            <w:pPr>
              <w:rPr>
                <w:rFonts w:ascii="Arial"/>
                <w:sz w:val="21"/>
              </w:rPr>
            </w:pPr>
          </w:p>
        </w:tc>
        <w:tc>
          <w:tcPr>
            <w:tcW w:w="1360" w:type="dxa"/>
            <w:vMerge w:val="continue"/>
            <w:tcBorders>
              <w:top w:val="nil"/>
              <w:bottom w:val="nil"/>
            </w:tcBorders>
            <w:vAlign w:val="top"/>
          </w:tcPr>
          <w:p w14:paraId="272F737E">
            <w:pPr>
              <w:rPr>
                <w:rFonts w:ascii="Arial"/>
                <w:sz w:val="21"/>
              </w:rPr>
            </w:pPr>
          </w:p>
        </w:tc>
        <w:tc>
          <w:tcPr>
            <w:tcW w:w="1581" w:type="dxa"/>
            <w:vMerge w:val="continue"/>
            <w:tcBorders>
              <w:top w:val="nil"/>
              <w:bottom w:val="nil"/>
            </w:tcBorders>
            <w:vAlign w:val="top"/>
          </w:tcPr>
          <w:p w14:paraId="43470B4E">
            <w:pPr>
              <w:rPr>
                <w:rFonts w:ascii="Arial"/>
                <w:sz w:val="21"/>
              </w:rPr>
            </w:pPr>
          </w:p>
        </w:tc>
        <w:tc>
          <w:tcPr>
            <w:tcW w:w="1586" w:type="dxa"/>
            <w:vAlign w:val="top"/>
          </w:tcPr>
          <w:p w14:paraId="0AC29BC1">
            <w:pPr>
              <w:pStyle w:val="51"/>
              <w:spacing w:before="137" w:line="236" w:lineRule="auto"/>
              <w:ind w:left="540"/>
              <w:rPr>
                <w:sz w:val="17"/>
                <w:szCs w:val="17"/>
              </w:rPr>
            </w:pPr>
            <w:r>
              <w:rPr>
                <w:spacing w:val="1"/>
                <w:sz w:val="17"/>
                <w:szCs w:val="17"/>
              </w:rPr>
              <w:t>红曲红</w:t>
            </w:r>
          </w:p>
        </w:tc>
        <w:tc>
          <w:tcPr>
            <w:tcW w:w="682" w:type="dxa"/>
            <w:vAlign w:val="top"/>
          </w:tcPr>
          <w:p w14:paraId="55266FE1">
            <w:pPr>
              <w:pStyle w:val="51"/>
              <w:spacing w:before="138" w:line="230" w:lineRule="auto"/>
              <w:ind w:left="182"/>
              <w:rPr>
                <w:sz w:val="17"/>
                <w:szCs w:val="17"/>
              </w:rPr>
            </w:pPr>
            <w:r>
              <w:rPr>
                <w:spacing w:val="-3"/>
                <w:sz w:val="17"/>
                <w:szCs w:val="17"/>
              </w:rPr>
              <w:t>一般</w:t>
            </w:r>
          </w:p>
        </w:tc>
        <w:tc>
          <w:tcPr>
            <w:tcW w:w="8563" w:type="dxa"/>
            <w:vAlign w:val="top"/>
          </w:tcPr>
          <w:p w14:paraId="4203FCFA">
            <w:pPr>
              <w:pStyle w:val="51"/>
              <w:spacing w:before="118" w:line="242" w:lineRule="auto"/>
              <w:ind w:left="40"/>
              <w:rPr>
                <w:sz w:val="17"/>
                <w:szCs w:val="17"/>
              </w:rPr>
            </w:pPr>
            <w:r>
              <w:rPr>
                <w:spacing w:val="8"/>
                <w:sz w:val="17"/>
                <w:szCs w:val="17"/>
              </w:rPr>
              <w:t>色价</w:t>
            </w:r>
            <w:r>
              <w:rPr>
                <w:rFonts w:ascii="Times New Roman" w:hAnsi="Times New Roman" w:eastAsia="Times New Roman" w:cs="Times New Roman"/>
                <w:spacing w:val="8"/>
                <w:position w:val="2"/>
                <w:sz w:val="16"/>
                <w:szCs w:val="16"/>
              </w:rPr>
              <w:t>E</w:t>
            </w:r>
            <w:r>
              <w:fldChar w:fldCharType="begin"/>
            </w:r>
            <w:r>
              <w:instrText xml:space="preserve">EQ \* jc3 \* hps6 \o\al(\s\up 6(</w:instrText>
            </w:r>
            <w:r>
              <w:rPr>
                <w:rFonts w:ascii="Times New Roman" w:hAnsi="Times New Roman" w:eastAsia="Times New Roman" w:cs="Times New Roman"/>
                <w:w w:val="102"/>
                <w:sz w:val="6"/>
                <w:szCs w:val="6"/>
              </w:rPr>
              <w:instrText xml:space="preserve">1%</w:instrText>
            </w:r>
            <w:r>
              <w:instrText xml:space="preserve">),</w:instrText>
            </w:r>
            <w:r>
              <w:rPr>
                <w:rFonts w:ascii="Times New Roman" w:hAnsi="Times New Roman" w:eastAsia="Times New Roman" w:cs="Times New Roman"/>
                <w:w w:val="102"/>
                <w:position w:val="2"/>
                <w:sz w:val="6"/>
                <w:szCs w:val="6"/>
              </w:rPr>
              <w:instrText xml:space="preserve">1</w:instrText>
            </w:r>
            <w:r>
              <w:rPr>
                <w:rFonts w:ascii="Times New Roman" w:hAnsi="Times New Roman" w:eastAsia="Times New Roman" w:cs="Times New Roman"/>
                <w:position w:val="2"/>
                <w:sz w:val="6"/>
                <w:szCs w:val="6"/>
              </w:rPr>
              <w:instrText xml:space="preserve">cm</w:instrText>
            </w:r>
            <w:r>
              <w:instrText xml:space="preserve">)</w:instrText>
            </w:r>
            <w:r>
              <w:fldChar w:fldCharType="end"/>
            </w:r>
            <w:r>
              <w:rPr>
                <w:rFonts w:ascii="Times New Roman" w:hAnsi="Times New Roman" w:eastAsia="Times New Roman" w:cs="Times New Roman"/>
                <w:spacing w:val="27"/>
                <w:w w:val="101"/>
                <w:position w:val="2"/>
                <w:sz w:val="16"/>
                <w:szCs w:val="16"/>
              </w:rPr>
              <w:t xml:space="preserve"> </w:t>
            </w:r>
            <w:r>
              <w:rPr>
                <w:spacing w:val="8"/>
                <w:sz w:val="17"/>
                <w:szCs w:val="17"/>
              </w:rPr>
              <w:t>(495±10)</w:t>
            </w:r>
            <w:r>
              <w:rPr>
                <w:sz w:val="17"/>
                <w:szCs w:val="17"/>
              </w:rPr>
              <w:t>nm</w:t>
            </w:r>
            <w:r>
              <w:rPr>
                <w:spacing w:val="8"/>
                <w:sz w:val="17"/>
                <w:szCs w:val="17"/>
              </w:rPr>
              <w:t>、干燥减量、铅(</w:t>
            </w:r>
            <w:r>
              <w:rPr>
                <w:sz w:val="17"/>
                <w:szCs w:val="17"/>
              </w:rPr>
              <w:t>Pb</w:t>
            </w:r>
            <w:r>
              <w:rPr>
                <w:spacing w:val="8"/>
                <w:sz w:val="17"/>
                <w:szCs w:val="17"/>
              </w:rPr>
              <w:t>)、砷(</w:t>
            </w:r>
            <w:r>
              <w:rPr>
                <w:sz w:val="17"/>
                <w:szCs w:val="17"/>
              </w:rPr>
              <w:t>As</w:t>
            </w:r>
            <w:r>
              <w:rPr>
                <w:spacing w:val="8"/>
                <w:sz w:val="17"/>
                <w:szCs w:val="17"/>
              </w:rPr>
              <w:t>)</w:t>
            </w:r>
          </w:p>
        </w:tc>
      </w:tr>
      <w:tr w14:paraId="1C1F40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459" w:type="dxa"/>
            <w:vMerge w:val="continue"/>
            <w:tcBorders>
              <w:top w:val="nil"/>
            </w:tcBorders>
            <w:vAlign w:val="top"/>
          </w:tcPr>
          <w:p w14:paraId="3CA8E6C6">
            <w:pPr>
              <w:rPr>
                <w:rFonts w:ascii="Arial"/>
                <w:sz w:val="21"/>
              </w:rPr>
            </w:pPr>
          </w:p>
        </w:tc>
        <w:tc>
          <w:tcPr>
            <w:tcW w:w="942" w:type="dxa"/>
            <w:vMerge w:val="continue"/>
            <w:tcBorders>
              <w:top w:val="nil"/>
            </w:tcBorders>
            <w:vAlign w:val="top"/>
          </w:tcPr>
          <w:p w14:paraId="4021DDAC">
            <w:pPr>
              <w:rPr>
                <w:rFonts w:ascii="Arial"/>
                <w:sz w:val="21"/>
              </w:rPr>
            </w:pPr>
          </w:p>
        </w:tc>
        <w:tc>
          <w:tcPr>
            <w:tcW w:w="1360" w:type="dxa"/>
            <w:vMerge w:val="continue"/>
            <w:tcBorders>
              <w:top w:val="nil"/>
            </w:tcBorders>
            <w:vAlign w:val="top"/>
          </w:tcPr>
          <w:p w14:paraId="2F24D1C6">
            <w:pPr>
              <w:rPr>
                <w:rFonts w:ascii="Arial"/>
                <w:sz w:val="21"/>
              </w:rPr>
            </w:pPr>
          </w:p>
        </w:tc>
        <w:tc>
          <w:tcPr>
            <w:tcW w:w="1581" w:type="dxa"/>
            <w:vMerge w:val="continue"/>
            <w:tcBorders>
              <w:top w:val="nil"/>
            </w:tcBorders>
            <w:vAlign w:val="top"/>
          </w:tcPr>
          <w:p w14:paraId="62A00BA0">
            <w:pPr>
              <w:rPr>
                <w:rFonts w:ascii="Arial"/>
                <w:sz w:val="21"/>
              </w:rPr>
            </w:pPr>
          </w:p>
        </w:tc>
        <w:tc>
          <w:tcPr>
            <w:tcW w:w="1586" w:type="dxa"/>
            <w:vAlign w:val="top"/>
          </w:tcPr>
          <w:p w14:paraId="0F2AB284">
            <w:pPr>
              <w:pStyle w:val="51"/>
              <w:spacing w:before="139" w:line="229" w:lineRule="auto"/>
              <w:ind w:left="362"/>
              <w:rPr>
                <w:sz w:val="17"/>
                <w:szCs w:val="17"/>
              </w:rPr>
            </w:pPr>
            <w:r>
              <w:rPr>
                <w:spacing w:val="4"/>
                <w:sz w:val="17"/>
                <w:szCs w:val="17"/>
              </w:rPr>
              <w:t>红曲黄色素</w:t>
            </w:r>
          </w:p>
        </w:tc>
        <w:tc>
          <w:tcPr>
            <w:tcW w:w="682" w:type="dxa"/>
            <w:vAlign w:val="top"/>
          </w:tcPr>
          <w:p w14:paraId="2AE74ADE">
            <w:pPr>
              <w:pStyle w:val="51"/>
              <w:spacing w:before="139" w:line="230" w:lineRule="auto"/>
              <w:ind w:left="173"/>
              <w:rPr>
                <w:sz w:val="17"/>
                <w:szCs w:val="17"/>
              </w:rPr>
            </w:pPr>
            <w:r>
              <w:rPr>
                <w:spacing w:val="2"/>
                <w:sz w:val="17"/>
                <w:szCs w:val="17"/>
              </w:rPr>
              <w:t>一般</w:t>
            </w:r>
          </w:p>
        </w:tc>
        <w:tc>
          <w:tcPr>
            <w:tcW w:w="8563" w:type="dxa"/>
            <w:vAlign w:val="top"/>
          </w:tcPr>
          <w:p w14:paraId="3D5C768B">
            <w:pPr>
              <w:pStyle w:val="51"/>
              <w:spacing w:before="119" w:line="242" w:lineRule="auto"/>
              <w:ind w:left="40"/>
              <w:rPr>
                <w:sz w:val="17"/>
                <w:szCs w:val="17"/>
              </w:rPr>
            </w:pPr>
            <w:r>
              <w:rPr>
                <w:spacing w:val="9"/>
                <w:sz w:val="17"/>
                <w:szCs w:val="17"/>
              </w:rPr>
              <w:t>色价</w:t>
            </w:r>
            <w:r>
              <w:rPr>
                <w:rFonts w:ascii="Times New Roman" w:hAnsi="Times New Roman" w:eastAsia="Times New Roman" w:cs="Times New Roman"/>
                <w:spacing w:val="9"/>
                <w:position w:val="2"/>
                <w:sz w:val="16"/>
                <w:szCs w:val="16"/>
              </w:rPr>
              <w:t>E</w:t>
            </w:r>
            <w:r>
              <w:fldChar w:fldCharType="begin"/>
            </w:r>
            <w:r>
              <w:instrText xml:space="preserve">EQ \* jc3 \* hps6 \o\al(\s\up 6(</w:instrText>
            </w:r>
            <w:r>
              <w:rPr>
                <w:rFonts w:ascii="Times New Roman" w:hAnsi="Times New Roman" w:eastAsia="Times New Roman" w:cs="Times New Roman"/>
                <w:w w:val="102"/>
                <w:sz w:val="6"/>
                <w:szCs w:val="6"/>
              </w:rPr>
              <w:instrText xml:space="preserve">1%</w:instrText>
            </w:r>
            <w:r>
              <w:instrText xml:space="preserve">),</w:instrText>
            </w:r>
            <w:r>
              <w:rPr>
                <w:rFonts w:ascii="Times New Roman" w:hAnsi="Times New Roman" w:eastAsia="Times New Roman" w:cs="Times New Roman"/>
                <w:w w:val="102"/>
                <w:position w:val="2"/>
                <w:sz w:val="6"/>
                <w:szCs w:val="6"/>
              </w:rPr>
              <w:instrText xml:space="preserve">1</w:instrText>
            </w:r>
            <w:r>
              <w:rPr>
                <w:rFonts w:ascii="Times New Roman" w:hAnsi="Times New Roman" w:eastAsia="Times New Roman" w:cs="Times New Roman"/>
                <w:position w:val="2"/>
                <w:sz w:val="6"/>
                <w:szCs w:val="6"/>
              </w:rPr>
              <w:instrText xml:space="preserve">cm</w:instrText>
            </w:r>
            <w:r>
              <w:instrText xml:space="preserve">)</w:instrText>
            </w:r>
            <w:r>
              <w:fldChar w:fldCharType="end"/>
            </w:r>
            <w:r>
              <w:rPr>
                <w:rFonts w:ascii="Times New Roman" w:hAnsi="Times New Roman" w:eastAsia="Times New Roman" w:cs="Times New Roman"/>
                <w:spacing w:val="25"/>
                <w:w w:val="101"/>
                <w:position w:val="2"/>
                <w:sz w:val="16"/>
                <w:szCs w:val="16"/>
              </w:rPr>
              <w:t xml:space="preserve"> </w:t>
            </w:r>
            <w:r>
              <w:rPr>
                <w:spacing w:val="9"/>
                <w:sz w:val="17"/>
                <w:szCs w:val="17"/>
              </w:rPr>
              <w:t>(476±10)</w:t>
            </w:r>
            <w:r>
              <w:rPr>
                <w:sz w:val="17"/>
                <w:szCs w:val="17"/>
              </w:rPr>
              <w:t>nm</w:t>
            </w:r>
            <w:r>
              <w:rPr>
                <w:spacing w:val="9"/>
                <w:sz w:val="17"/>
                <w:szCs w:val="17"/>
              </w:rPr>
              <w:t>、干燥减量、灼烧残渣、铅(</w:t>
            </w:r>
            <w:r>
              <w:rPr>
                <w:sz w:val="17"/>
                <w:szCs w:val="17"/>
              </w:rPr>
              <w:t>Pb</w:t>
            </w:r>
            <w:r>
              <w:rPr>
                <w:spacing w:val="9"/>
                <w:sz w:val="17"/>
                <w:szCs w:val="17"/>
              </w:rPr>
              <w:t>)、总砷(以</w:t>
            </w:r>
            <w:r>
              <w:rPr>
                <w:sz w:val="17"/>
                <w:szCs w:val="17"/>
              </w:rPr>
              <w:t>As</w:t>
            </w:r>
            <w:r>
              <w:rPr>
                <w:spacing w:val="9"/>
                <w:sz w:val="17"/>
                <w:szCs w:val="17"/>
              </w:rPr>
              <w:t>计)</w:t>
            </w:r>
          </w:p>
        </w:tc>
      </w:tr>
    </w:tbl>
    <w:p w14:paraId="5061FDC3">
      <w:pPr>
        <w:rPr>
          <w:rFonts w:ascii="Arial"/>
          <w:sz w:val="21"/>
        </w:rPr>
      </w:pPr>
    </w:p>
    <w:p w14:paraId="319E822E">
      <w:pPr>
        <w:rPr>
          <w:rFonts w:ascii="Arial" w:hAnsi="Arial" w:eastAsia="Arial" w:cs="Arial"/>
          <w:sz w:val="21"/>
          <w:szCs w:val="21"/>
        </w:rPr>
        <w:sectPr>
          <w:pgSz w:w="16838" w:h="11906"/>
          <w:pgMar w:top="1011" w:right="829" w:bottom="400" w:left="366" w:header="567" w:footer="567" w:gutter="0"/>
          <w:pgNumType w:fmt="decimal"/>
          <w:cols w:space="720" w:num="1"/>
        </w:sectPr>
      </w:pPr>
    </w:p>
    <w:p w14:paraId="531CEBEF">
      <w:pPr>
        <w:spacing w:before="18"/>
      </w:pPr>
    </w:p>
    <w:p w14:paraId="4FFD65DD">
      <w:pPr>
        <w:spacing w:before="18"/>
      </w:pPr>
    </w:p>
    <w:tbl>
      <w:tblPr>
        <w:tblStyle w:val="50"/>
        <w:tblW w:w="15173" w:type="dxa"/>
        <w:tblInd w:w="46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59"/>
        <w:gridCol w:w="942"/>
        <w:gridCol w:w="1360"/>
        <w:gridCol w:w="1581"/>
        <w:gridCol w:w="1586"/>
        <w:gridCol w:w="682"/>
        <w:gridCol w:w="8563"/>
      </w:tblGrid>
      <w:tr w14:paraId="6F3718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459" w:type="dxa"/>
            <w:vAlign w:val="top"/>
          </w:tcPr>
          <w:p w14:paraId="3401CEC0">
            <w:pPr>
              <w:spacing w:before="241" w:line="234" w:lineRule="auto"/>
              <w:ind w:left="52"/>
              <w:rPr>
                <w:rFonts w:ascii="黑体" w:hAnsi="黑体" w:eastAsia="黑体" w:cs="黑体"/>
                <w:sz w:val="17"/>
                <w:szCs w:val="17"/>
              </w:rPr>
            </w:pPr>
            <w:r>
              <w:rPr>
                <w:rFonts w:ascii="黑体" w:hAnsi="黑体" w:eastAsia="黑体" w:cs="黑体"/>
                <w:spacing w:val="6"/>
                <w:sz w:val="17"/>
                <w:szCs w:val="17"/>
              </w:rPr>
              <w:t>序号</w:t>
            </w:r>
          </w:p>
        </w:tc>
        <w:tc>
          <w:tcPr>
            <w:tcW w:w="942" w:type="dxa"/>
            <w:vAlign w:val="top"/>
          </w:tcPr>
          <w:p w14:paraId="6D20EFE4">
            <w:pPr>
              <w:spacing w:before="90" w:line="232" w:lineRule="auto"/>
              <w:ind w:left="111"/>
              <w:rPr>
                <w:rFonts w:ascii="黑体" w:hAnsi="黑体" w:eastAsia="黑体" w:cs="黑体"/>
                <w:sz w:val="17"/>
                <w:szCs w:val="17"/>
              </w:rPr>
            </w:pPr>
            <w:r>
              <w:rPr>
                <w:rFonts w:ascii="黑体" w:hAnsi="黑体" w:eastAsia="黑体" w:cs="黑体"/>
                <w:spacing w:val="8"/>
                <w:sz w:val="17"/>
                <w:szCs w:val="17"/>
              </w:rPr>
              <w:t>食品大类</w:t>
            </w:r>
          </w:p>
          <w:p w14:paraId="772377EA">
            <w:pPr>
              <w:spacing w:before="86" w:line="227" w:lineRule="auto"/>
              <w:ind w:left="237"/>
              <w:rPr>
                <w:rFonts w:ascii="黑体" w:hAnsi="黑体" w:eastAsia="黑体" w:cs="黑体"/>
                <w:sz w:val="17"/>
                <w:szCs w:val="17"/>
              </w:rPr>
            </w:pPr>
            <w:r>
              <w:rPr>
                <w:rFonts w:ascii="黑体" w:hAnsi="黑体" w:eastAsia="黑体" w:cs="黑体"/>
                <w:spacing w:val="-4"/>
                <w:sz w:val="17"/>
                <w:szCs w:val="17"/>
              </w:rPr>
              <w:t>(一级)</w:t>
            </w:r>
          </w:p>
        </w:tc>
        <w:tc>
          <w:tcPr>
            <w:tcW w:w="1360" w:type="dxa"/>
            <w:vAlign w:val="top"/>
          </w:tcPr>
          <w:p w14:paraId="57B75AB8">
            <w:pPr>
              <w:spacing w:before="90" w:line="232" w:lineRule="auto"/>
              <w:ind w:left="321"/>
              <w:rPr>
                <w:rFonts w:ascii="黑体" w:hAnsi="黑体" w:eastAsia="黑体" w:cs="黑体"/>
                <w:sz w:val="17"/>
                <w:szCs w:val="17"/>
              </w:rPr>
            </w:pPr>
            <w:r>
              <w:rPr>
                <w:rFonts w:ascii="黑体" w:hAnsi="黑体" w:eastAsia="黑体" w:cs="黑体"/>
                <w:spacing w:val="8"/>
                <w:sz w:val="17"/>
                <w:szCs w:val="17"/>
              </w:rPr>
              <w:t>食品亚类</w:t>
            </w:r>
          </w:p>
          <w:p w14:paraId="2AC623B3">
            <w:pPr>
              <w:spacing w:before="86" w:line="227" w:lineRule="auto"/>
              <w:ind w:left="444"/>
              <w:rPr>
                <w:rFonts w:ascii="黑体" w:hAnsi="黑体" w:eastAsia="黑体" w:cs="黑体"/>
                <w:sz w:val="17"/>
                <w:szCs w:val="17"/>
              </w:rPr>
            </w:pPr>
            <w:r>
              <w:rPr>
                <w:rFonts w:ascii="黑体" w:hAnsi="黑体" w:eastAsia="黑体" w:cs="黑体"/>
                <w:spacing w:val="-3"/>
                <w:sz w:val="17"/>
                <w:szCs w:val="17"/>
              </w:rPr>
              <w:t>(二级)</w:t>
            </w:r>
          </w:p>
        </w:tc>
        <w:tc>
          <w:tcPr>
            <w:tcW w:w="1581" w:type="dxa"/>
            <w:vAlign w:val="top"/>
          </w:tcPr>
          <w:p w14:paraId="1252EEF5">
            <w:pPr>
              <w:spacing w:before="90" w:line="232" w:lineRule="auto"/>
              <w:ind w:left="433"/>
              <w:rPr>
                <w:rFonts w:ascii="黑体" w:hAnsi="黑体" w:eastAsia="黑体" w:cs="黑体"/>
                <w:sz w:val="17"/>
                <w:szCs w:val="17"/>
              </w:rPr>
            </w:pPr>
            <w:r>
              <w:rPr>
                <w:rFonts w:ascii="黑体" w:hAnsi="黑体" w:eastAsia="黑体" w:cs="黑体"/>
                <w:spacing w:val="8"/>
                <w:sz w:val="17"/>
                <w:szCs w:val="17"/>
              </w:rPr>
              <w:t>食品品种</w:t>
            </w:r>
          </w:p>
          <w:p w14:paraId="48C26A58">
            <w:pPr>
              <w:spacing w:before="86" w:line="227" w:lineRule="auto"/>
              <w:ind w:left="558"/>
              <w:rPr>
                <w:rFonts w:ascii="黑体" w:hAnsi="黑体" w:eastAsia="黑体" w:cs="黑体"/>
                <w:sz w:val="17"/>
                <w:szCs w:val="17"/>
              </w:rPr>
            </w:pPr>
            <w:r>
              <w:rPr>
                <w:rFonts w:ascii="黑体" w:hAnsi="黑体" w:eastAsia="黑体" w:cs="黑体"/>
                <w:spacing w:val="-4"/>
                <w:sz w:val="17"/>
                <w:szCs w:val="17"/>
              </w:rPr>
              <w:t>(三级)</w:t>
            </w:r>
          </w:p>
        </w:tc>
        <w:tc>
          <w:tcPr>
            <w:tcW w:w="1586" w:type="dxa"/>
            <w:vAlign w:val="top"/>
          </w:tcPr>
          <w:p w14:paraId="4B57F2F3">
            <w:pPr>
              <w:spacing w:before="90" w:line="232" w:lineRule="auto"/>
              <w:ind w:left="436"/>
              <w:rPr>
                <w:rFonts w:ascii="黑体" w:hAnsi="黑体" w:eastAsia="黑体" w:cs="黑体"/>
                <w:sz w:val="17"/>
                <w:szCs w:val="17"/>
              </w:rPr>
            </w:pPr>
            <w:r>
              <w:rPr>
                <w:rFonts w:ascii="黑体" w:hAnsi="黑体" w:eastAsia="黑体" w:cs="黑体"/>
                <w:spacing w:val="8"/>
                <w:sz w:val="17"/>
                <w:szCs w:val="17"/>
              </w:rPr>
              <w:t>食品细类</w:t>
            </w:r>
          </w:p>
          <w:p w14:paraId="5610D5A9">
            <w:pPr>
              <w:spacing w:before="86" w:line="227" w:lineRule="auto"/>
              <w:ind w:left="561"/>
              <w:rPr>
                <w:rFonts w:ascii="黑体" w:hAnsi="黑体" w:eastAsia="黑体" w:cs="黑体"/>
                <w:sz w:val="17"/>
                <w:szCs w:val="17"/>
              </w:rPr>
            </w:pPr>
            <w:r>
              <w:rPr>
                <w:rFonts w:ascii="黑体" w:hAnsi="黑体" w:eastAsia="黑体" w:cs="黑体"/>
                <w:spacing w:val="-4"/>
                <w:sz w:val="17"/>
                <w:szCs w:val="17"/>
              </w:rPr>
              <w:t>(四级)</w:t>
            </w:r>
          </w:p>
        </w:tc>
        <w:tc>
          <w:tcPr>
            <w:tcW w:w="682" w:type="dxa"/>
            <w:vAlign w:val="top"/>
          </w:tcPr>
          <w:p w14:paraId="7B2864AA">
            <w:pPr>
              <w:spacing w:before="89" w:line="233" w:lineRule="auto"/>
              <w:ind w:left="166"/>
              <w:rPr>
                <w:rFonts w:ascii="黑体" w:hAnsi="黑体" w:eastAsia="黑体" w:cs="黑体"/>
                <w:sz w:val="17"/>
                <w:szCs w:val="17"/>
              </w:rPr>
            </w:pPr>
            <w:r>
              <w:rPr>
                <w:rFonts w:ascii="黑体" w:hAnsi="黑体" w:eastAsia="黑体" w:cs="黑体"/>
                <w:spacing w:val="6"/>
                <w:sz w:val="17"/>
                <w:szCs w:val="17"/>
              </w:rPr>
              <w:t>风险</w:t>
            </w:r>
          </w:p>
          <w:p w14:paraId="3A944FBA">
            <w:pPr>
              <w:spacing w:before="85" w:line="227" w:lineRule="auto"/>
              <w:ind w:left="163"/>
              <w:rPr>
                <w:rFonts w:ascii="黑体" w:hAnsi="黑体" w:eastAsia="黑体" w:cs="黑体"/>
                <w:sz w:val="17"/>
                <w:szCs w:val="17"/>
              </w:rPr>
            </w:pPr>
            <w:r>
              <w:rPr>
                <w:rFonts w:ascii="黑体" w:hAnsi="黑体" w:eastAsia="黑体" w:cs="黑体"/>
                <w:spacing w:val="7"/>
                <w:sz w:val="17"/>
                <w:szCs w:val="17"/>
              </w:rPr>
              <w:t>等级</w:t>
            </w:r>
          </w:p>
        </w:tc>
        <w:tc>
          <w:tcPr>
            <w:tcW w:w="8563" w:type="dxa"/>
            <w:vAlign w:val="top"/>
          </w:tcPr>
          <w:p w14:paraId="14FF57B6">
            <w:pPr>
              <w:spacing w:before="241" w:line="232" w:lineRule="auto"/>
              <w:ind w:left="3744"/>
              <w:rPr>
                <w:rFonts w:ascii="黑体" w:hAnsi="黑体" w:eastAsia="黑体" w:cs="黑体"/>
                <w:sz w:val="17"/>
                <w:szCs w:val="17"/>
              </w:rPr>
            </w:pPr>
            <w:r>
              <w:rPr>
                <w:rFonts w:ascii="黑体" w:hAnsi="黑体" w:eastAsia="黑体" w:cs="黑体"/>
                <w:spacing w:val="8"/>
                <w:sz w:val="17"/>
                <w:szCs w:val="17"/>
              </w:rPr>
              <w:t>监督抽检项目</w:t>
            </w:r>
          </w:p>
        </w:tc>
      </w:tr>
      <w:tr w14:paraId="0DD695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459" w:type="dxa"/>
            <w:vMerge w:val="restart"/>
            <w:tcBorders>
              <w:bottom w:val="nil"/>
            </w:tcBorders>
            <w:vAlign w:val="top"/>
          </w:tcPr>
          <w:p w14:paraId="0305282D">
            <w:pPr>
              <w:rPr>
                <w:rFonts w:ascii="Arial"/>
                <w:sz w:val="21"/>
              </w:rPr>
            </w:pPr>
          </w:p>
        </w:tc>
        <w:tc>
          <w:tcPr>
            <w:tcW w:w="942" w:type="dxa"/>
            <w:vMerge w:val="restart"/>
            <w:tcBorders>
              <w:bottom w:val="nil"/>
            </w:tcBorders>
            <w:vAlign w:val="top"/>
          </w:tcPr>
          <w:p w14:paraId="11C452F7">
            <w:pPr>
              <w:rPr>
                <w:rFonts w:ascii="Arial"/>
                <w:sz w:val="21"/>
              </w:rPr>
            </w:pPr>
          </w:p>
        </w:tc>
        <w:tc>
          <w:tcPr>
            <w:tcW w:w="1360" w:type="dxa"/>
            <w:vMerge w:val="restart"/>
            <w:tcBorders>
              <w:bottom w:val="nil"/>
            </w:tcBorders>
            <w:vAlign w:val="top"/>
          </w:tcPr>
          <w:p w14:paraId="1E435409">
            <w:pPr>
              <w:rPr>
                <w:rFonts w:ascii="Arial"/>
                <w:sz w:val="21"/>
              </w:rPr>
            </w:pPr>
          </w:p>
        </w:tc>
        <w:tc>
          <w:tcPr>
            <w:tcW w:w="1581" w:type="dxa"/>
            <w:vAlign w:val="top"/>
          </w:tcPr>
          <w:p w14:paraId="100A3C23">
            <w:pPr>
              <w:pStyle w:val="51"/>
              <w:spacing w:before="134" w:line="229" w:lineRule="auto"/>
              <w:ind w:left="618"/>
              <w:rPr>
                <w:sz w:val="17"/>
                <w:szCs w:val="17"/>
              </w:rPr>
            </w:pPr>
            <w:r>
              <w:rPr>
                <w:spacing w:val="3"/>
                <w:sz w:val="17"/>
                <w:szCs w:val="17"/>
              </w:rPr>
              <w:t>胶基</w:t>
            </w:r>
          </w:p>
        </w:tc>
        <w:tc>
          <w:tcPr>
            <w:tcW w:w="1586" w:type="dxa"/>
            <w:vAlign w:val="top"/>
          </w:tcPr>
          <w:p w14:paraId="6444575B">
            <w:pPr>
              <w:pStyle w:val="51"/>
              <w:spacing w:before="134" w:line="229" w:lineRule="auto"/>
              <w:ind w:left="621"/>
              <w:rPr>
                <w:sz w:val="17"/>
                <w:szCs w:val="17"/>
              </w:rPr>
            </w:pPr>
            <w:r>
              <w:rPr>
                <w:spacing w:val="3"/>
                <w:sz w:val="17"/>
                <w:szCs w:val="17"/>
              </w:rPr>
              <w:t>胶基</w:t>
            </w:r>
          </w:p>
        </w:tc>
        <w:tc>
          <w:tcPr>
            <w:tcW w:w="682" w:type="dxa"/>
            <w:vAlign w:val="top"/>
          </w:tcPr>
          <w:p w14:paraId="3212B7F6">
            <w:pPr>
              <w:pStyle w:val="51"/>
              <w:spacing w:before="134" w:line="230" w:lineRule="auto"/>
              <w:ind w:left="173"/>
              <w:rPr>
                <w:sz w:val="17"/>
                <w:szCs w:val="17"/>
              </w:rPr>
            </w:pPr>
            <w:r>
              <w:rPr>
                <w:spacing w:val="2"/>
                <w:sz w:val="17"/>
                <w:szCs w:val="17"/>
              </w:rPr>
              <w:t>一般</w:t>
            </w:r>
          </w:p>
        </w:tc>
        <w:tc>
          <w:tcPr>
            <w:tcW w:w="8563" w:type="dxa"/>
            <w:vAlign w:val="top"/>
          </w:tcPr>
          <w:p w14:paraId="249DA806">
            <w:pPr>
              <w:pStyle w:val="51"/>
              <w:spacing w:before="134" w:line="226" w:lineRule="auto"/>
              <w:ind w:left="37"/>
              <w:rPr>
                <w:sz w:val="17"/>
                <w:szCs w:val="17"/>
              </w:rPr>
            </w:pPr>
            <w:r>
              <w:rPr>
                <w:spacing w:val="8"/>
                <w:sz w:val="17"/>
                <w:szCs w:val="17"/>
              </w:rPr>
              <w:t>铅(</w:t>
            </w:r>
            <w:r>
              <w:rPr>
                <w:sz w:val="17"/>
                <w:szCs w:val="17"/>
              </w:rPr>
              <w:t>Pb</w:t>
            </w:r>
            <w:r>
              <w:rPr>
                <w:spacing w:val="8"/>
                <w:sz w:val="17"/>
                <w:szCs w:val="17"/>
              </w:rPr>
              <w:t>)、总砷(以</w:t>
            </w:r>
            <w:r>
              <w:rPr>
                <w:sz w:val="17"/>
                <w:szCs w:val="17"/>
              </w:rPr>
              <w:t>As</w:t>
            </w:r>
            <w:r>
              <w:rPr>
                <w:spacing w:val="8"/>
                <w:sz w:val="17"/>
                <w:szCs w:val="17"/>
              </w:rPr>
              <w:t>计)</w:t>
            </w:r>
          </w:p>
        </w:tc>
      </w:tr>
      <w:tr w14:paraId="72047F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459" w:type="dxa"/>
            <w:vMerge w:val="continue"/>
            <w:tcBorders>
              <w:top w:val="nil"/>
            </w:tcBorders>
            <w:vAlign w:val="top"/>
          </w:tcPr>
          <w:p w14:paraId="51F9E3AB">
            <w:pPr>
              <w:rPr>
                <w:rFonts w:ascii="Arial"/>
                <w:sz w:val="21"/>
              </w:rPr>
            </w:pPr>
          </w:p>
        </w:tc>
        <w:tc>
          <w:tcPr>
            <w:tcW w:w="942" w:type="dxa"/>
            <w:vMerge w:val="continue"/>
            <w:tcBorders>
              <w:top w:val="nil"/>
            </w:tcBorders>
            <w:vAlign w:val="top"/>
          </w:tcPr>
          <w:p w14:paraId="23534FB5">
            <w:pPr>
              <w:rPr>
                <w:rFonts w:ascii="Arial"/>
                <w:sz w:val="21"/>
              </w:rPr>
            </w:pPr>
          </w:p>
        </w:tc>
        <w:tc>
          <w:tcPr>
            <w:tcW w:w="1360" w:type="dxa"/>
            <w:vMerge w:val="continue"/>
            <w:tcBorders>
              <w:top w:val="nil"/>
            </w:tcBorders>
            <w:vAlign w:val="top"/>
          </w:tcPr>
          <w:p w14:paraId="6E004D55">
            <w:pPr>
              <w:rPr>
                <w:rFonts w:ascii="Arial"/>
                <w:sz w:val="21"/>
              </w:rPr>
            </w:pPr>
          </w:p>
        </w:tc>
        <w:tc>
          <w:tcPr>
            <w:tcW w:w="1581" w:type="dxa"/>
            <w:vAlign w:val="top"/>
          </w:tcPr>
          <w:p w14:paraId="3D9E2A5F">
            <w:pPr>
              <w:pStyle w:val="51"/>
              <w:spacing w:before="135" w:line="227" w:lineRule="auto"/>
              <w:ind w:left="78"/>
              <w:rPr>
                <w:sz w:val="17"/>
                <w:szCs w:val="17"/>
              </w:rPr>
            </w:pPr>
            <w:r>
              <w:rPr>
                <w:spacing w:val="8"/>
                <w:sz w:val="17"/>
                <w:szCs w:val="17"/>
              </w:rPr>
              <w:t>食品工业用酶制剂</w:t>
            </w:r>
          </w:p>
        </w:tc>
        <w:tc>
          <w:tcPr>
            <w:tcW w:w="1586" w:type="dxa"/>
            <w:vAlign w:val="top"/>
          </w:tcPr>
          <w:p w14:paraId="3DAB0B13">
            <w:pPr>
              <w:pStyle w:val="51"/>
              <w:spacing w:before="135" w:line="227" w:lineRule="auto"/>
              <w:ind w:left="80"/>
              <w:rPr>
                <w:sz w:val="17"/>
                <w:szCs w:val="17"/>
              </w:rPr>
            </w:pPr>
            <w:r>
              <w:rPr>
                <w:spacing w:val="8"/>
                <w:sz w:val="17"/>
                <w:szCs w:val="17"/>
              </w:rPr>
              <w:t>食品工业用酶制剂</w:t>
            </w:r>
          </w:p>
        </w:tc>
        <w:tc>
          <w:tcPr>
            <w:tcW w:w="682" w:type="dxa"/>
            <w:vAlign w:val="top"/>
          </w:tcPr>
          <w:p w14:paraId="456FFD79">
            <w:pPr>
              <w:pStyle w:val="51"/>
              <w:spacing w:before="135" w:line="230" w:lineRule="auto"/>
              <w:ind w:left="173"/>
              <w:rPr>
                <w:sz w:val="17"/>
                <w:szCs w:val="17"/>
              </w:rPr>
            </w:pPr>
            <w:r>
              <w:rPr>
                <w:spacing w:val="2"/>
                <w:sz w:val="17"/>
                <w:szCs w:val="17"/>
              </w:rPr>
              <w:t>一般</w:t>
            </w:r>
          </w:p>
        </w:tc>
        <w:tc>
          <w:tcPr>
            <w:tcW w:w="8563" w:type="dxa"/>
            <w:vAlign w:val="top"/>
          </w:tcPr>
          <w:p w14:paraId="42FFF4A6">
            <w:pPr>
              <w:pStyle w:val="51"/>
              <w:spacing w:before="135" w:line="226" w:lineRule="auto"/>
              <w:ind w:left="37"/>
              <w:rPr>
                <w:sz w:val="17"/>
                <w:szCs w:val="17"/>
              </w:rPr>
            </w:pPr>
            <w:r>
              <w:rPr>
                <w:spacing w:val="9"/>
                <w:sz w:val="17"/>
                <w:szCs w:val="17"/>
              </w:rPr>
              <w:t>铅(</w:t>
            </w:r>
            <w:r>
              <w:rPr>
                <w:sz w:val="17"/>
                <w:szCs w:val="17"/>
              </w:rPr>
              <w:t>Pb</w:t>
            </w:r>
            <w:r>
              <w:rPr>
                <w:spacing w:val="9"/>
                <w:sz w:val="17"/>
                <w:szCs w:val="17"/>
              </w:rPr>
              <w:t>)、总砷(以</w:t>
            </w:r>
            <w:r>
              <w:rPr>
                <w:sz w:val="17"/>
                <w:szCs w:val="17"/>
              </w:rPr>
              <w:t>As</w:t>
            </w:r>
            <w:r>
              <w:rPr>
                <w:spacing w:val="9"/>
                <w:sz w:val="17"/>
                <w:szCs w:val="17"/>
              </w:rPr>
              <w:t>计)、菌落总数、大肠菌群、大肠埃希氏菌、沙门氏菌、抗菌活性</w:t>
            </w:r>
          </w:p>
        </w:tc>
      </w:tr>
      <w:tr w14:paraId="313011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4" w:hRule="atLeast"/>
        </w:trPr>
        <w:tc>
          <w:tcPr>
            <w:tcW w:w="459" w:type="dxa"/>
            <w:vMerge w:val="restart"/>
            <w:tcBorders>
              <w:bottom w:val="nil"/>
            </w:tcBorders>
            <w:vAlign w:val="top"/>
          </w:tcPr>
          <w:p w14:paraId="47EE8B4A">
            <w:pPr>
              <w:spacing w:line="250" w:lineRule="auto"/>
              <w:rPr>
                <w:rFonts w:ascii="Arial"/>
                <w:sz w:val="21"/>
              </w:rPr>
            </w:pPr>
          </w:p>
          <w:p w14:paraId="3D604AB6">
            <w:pPr>
              <w:spacing w:line="250" w:lineRule="auto"/>
              <w:rPr>
                <w:rFonts w:ascii="Arial"/>
                <w:sz w:val="21"/>
              </w:rPr>
            </w:pPr>
          </w:p>
          <w:p w14:paraId="7FCC9894">
            <w:pPr>
              <w:spacing w:line="250" w:lineRule="auto"/>
              <w:rPr>
                <w:rFonts w:ascii="Arial"/>
                <w:sz w:val="21"/>
              </w:rPr>
            </w:pPr>
          </w:p>
          <w:p w14:paraId="75269099">
            <w:pPr>
              <w:spacing w:line="250" w:lineRule="auto"/>
              <w:rPr>
                <w:rFonts w:ascii="Arial"/>
                <w:sz w:val="21"/>
              </w:rPr>
            </w:pPr>
          </w:p>
          <w:p w14:paraId="59F8767B">
            <w:pPr>
              <w:spacing w:line="250" w:lineRule="auto"/>
              <w:rPr>
                <w:rFonts w:ascii="Arial"/>
                <w:sz w:val="21"/>
              </w:rPr>
            </w:pPr>
          </w:p>
          <w:p w14:paraId="2F0D51E6">
            <w:pPr>
              <w:spacing w:line="250" w:lineRule="auto"/>
              <w:rPr>
                <w:rFonts w:ascii="Arial"/>
                <w:sz w:val="21"/>
              </w:rPr>
            </w:pPr>
          </w:p>
          <w:p w14:paraId="652A3F91">
            <w:pPr>
              <w:spacing w:line="250" w:lineRule="auto"/>
              <w:rPr>
                <w:rFonts w:ascii="Arial"/>
                <w:sz w:val="21"/>
              </w:rPr>
            </w:pPr>
          </w:p>
          <w:p w14:paraId="7150582C">
            <w:pPr>
              <w:spacing w:line="250" w:lineRule="auto"/>
              <w:rPr>
                <w:rFonts w:ascii="Arial"/>
                <w:sz w:val="21"/>
              </w:rPr>
            </w:pPr>
          </w:p>
          <w:p w14:paraId="436C514B">
            <w:pPr>
              <w:spacing w:line="250" w:lineRule="auto"/>
              <w:rPr>
                <w:rFonts w:ascii="Arial"/>
                <w:sz w:val="21"/>
              </w:rPr>
            </w:pPr>
          </w:p>
          <w:p w14:paraId="38E46ADA">
            <w:pPr>
              <w:spacing w:line="251" w:lineRule="auto"/>
              <w:rPr>
                <w:rFonts w:ascii="Arial"/>
                <w:sz w:val="21"/>
              </w:rPr>
            </w:pPr>
          </w:p>
          <w:p w14:paraId="3D30A171">
            <w:pPr>
              <w:spacing w:line="251" w:lineRule="auto"/>
              <w:rPr>
                <w:rFonts w:ascii="Arial"/>
                <w:sz w:val="21"/>
              </w:rPr>
            </w:pPr>
          </w:p>
          <w:p w14:paraId="02FDB7CF">
            <w:pPr>
              <w:spacing w:line="251" w:lineRule="auto"/>
              <w:rPr>
                <w:rFonts w:ascii="Arial"/>
                <w:sz w:val="21"/>
              </w:rPr>
            </w:pPr>
          </w:p>
          <w:p w14:paraId="3CF837D6">
            <w:pPr>
              <w:spacing w:line="251" w:lineRule="auto"/>
              <w:rPr>
                <w:rFonts w:ascii="Arial"/>
                <w:sz w:val="21"/>
              </w:rPr>
            </w:pPr>
          </w:p>
          <w:p w14:paraId="4D501C8B">
            <w:pPr>
              <w:spacing w:line="251" w:lineRule="auto"/>
              <w:rPr>
                <w:rFonts w:ascii="Arial"/>
                <w:sz w:val="21"/>
              </w:rPr>
            </w:pPr>
          </w:p>
          <w:p w14:paraId="54446CBE">
            <w:pPr>
              <w:pStyle w:val="51"/>
              <w:spacing w:before="56" w:line="227" w:lineRule="exact"/>
              <w:ind w:left="146"/>
              <w:rPr>
                <w:sz w:val="17"/>
                <w:szCs w:val="17"/>
              </w:rPr>
            </w:pPr>
            <w:r>
              <w:rPr>
                <w:spacing w:val="-1"/>
                <w:position w:val="1"/>
                <w:sz w:val="17"/>
                <w:szCs w:val="17"/>
              </w:rPr>
              <w:t>31</w:t>
            </w:r>
          </w:p>
        </w:tc>
        <w:tc>
          <w:tcPr>
            <w:tcW w:w="942" w:type="dxa"/>
            <w:vMerge w:val="restart"/>
            <w:tcBorders>
              <w:bottom w:val="nil"/>
            </w:tcBorders>
            <w:vAlign w:val="top"/>
          </w:tcPr>
          <w:p w14:paraId="41569933">
            <w:pPr>
              <w:spacing w:line="258" w:lineRule="auto"/>
              <w:rPr>
                <w:rFonts w:ascii="Arial"/>
                <w:sz w:val="21"/>
              </w:rPr>
            </w:pPr>
          </w:p>
          <w:p w14:paraId="12193AE0">
            <w:pPr>
              <w:spacing w:line="258" w:lineRule="auto"/>
              <w:rPr>
                <w:rFonts w:ascii="Arial"/>
                <w:sz w:val="21"/>
              </w:rPr>
            </w:pPr>
          </w:p>
          <w:p w14:paraId="08D0C383">
            <w:pPr>
              <w:spacing w:line="258" w:lineRule="auto"/>
              <w:rPr>
                <w:rFonts w:ascii="Arial"/>
                <w:sz w:val="21"/>
              </w:rPr>
            </w:pPr>
          </w:p>
          <w:p w14:paraId="73787DE5">
            <w:pPr>
              <w:spacing w:line="258" w:lineRule="auto"/>
              <w:rPr>
                <w:rFonts w:ascii="Arial"/>
                <w:sz w:val="21"/>
              </w:rPr>
            </w:pPr>
          </w:p>
          <w:p w14:paraId="34618C46">
            <w:pPr>
              <w:spacing w:line="258" w:lineRule="auto"/>
              <w:rPr>
                <w:rFonts w:ascii="Arial"/>
                <w:sz w:val="21"/>
              </w:rPr>
            </w:pPr>
          </w:p>
          <w:p w14:paraId="112DBD30">
            <w:pPr>
              <w:spacing w:line="258" w:lineRule="auto"/>
              <w:rPr>
                <w:rFonts w:ascii="Arial"/>
                <w:sz w:val="21"/>
              </w:rPr>
            </w:pPr>
          </w:p>
          <w:p w14:paraId="19DC80E2">
            <w:pPr>
              <w:spacing w:line="258" w:lineRule="auto"/>
              <w:rPr>
                <w:rFonts w:ascii="Arial"/>
                <w:sz w:val="21"/>
              </w:rPr>
            </w:pPr>
          </w:p>
          <w:p w14:paraId="3989B2A4">
            <w:pPr>
              <w:spacing w:line="258" w:lineRule="auto"/>
              <w:rPr>
                <w:rFonts w:ascii="Arial"/>
                <w:sz w:val="21"/>
              </w:rPr>
            </w:pPr>
          </w:p>
          <w:p w14:paraId="27403A2F">
            <w:pPr>
              <w:spacing w:line="258" w:lineRule="auto"/>
              <w:rPr>
                <w:rFonts w:ascii="Arial"/>
                <w:sz w:val="21"/>
              </w:rPr>
            </w:pPr>
          </w:p>
          <w:p w14:paraId="4975E34A">
            <w:pPr>
              <w:spacing w:line="258" w:lineRule="auto"/>
              <w:rPr>
                <w:rFonts w:ascii="Arial"/>
                <w:sz w:val="21"/>
              </w:rPr>
            </w:pPr>
          </w:p>
          <w:p w14:paraId="7F7F533C">
            <w:pPr>
              <w:spacing w:line="258" w:lineRule="auto"/>
              <w:rPr>
                <w:rFonts w:ascii="Arial"/>
                <w:sz w:val="21"/>
              </w:rPr>
            </w:pPr>
          </w:p>
          <w:p w14:paraId="25A1EAC2">
            <w:pPr>
              <w:spacing w:line="258" w:lineRule="auto"/>
              <w:rPr>
                <w:rFonts w:ascii="Arial"/>
                <w:sz w:val="21"/>
              </w:rPr>
            </w:pPr>
          </w:p>
          <w:p w14:paraId="26EB2C25">
            <w:pPr>
              <w:spacing w:line="259" w:lineRule="auto"/>
              <w:rPr>
                <w:rFonts w:ascii="Arial"/>
                <w:sz w:val="21"/>
              </w:rPr>
            </w:pPr>
          </w:p>
          <w:p w14:paraId="4158A4B4">
            <w:pPr>
              <w:pStyle w:val="51"/>
              <w:spacing w:before="55" w:line="327" w:lineRule="auto"/>
              <w:ind w:left="212" w:right="112" w:hanging="89"/>
              <w:rPr>
                <w:sz w:val="17"/>
                <w:szCs w:val="17"/>
              </w:rPr>
            </w:pPr>
            <w:r>
              <w:rPr>
                <w:spacing w:val="5"/>
                <w:sz w:val="17"/>
                <w:szCs w:val="17"/>
              </w:rPr>
              <w:t>畜禽肉及</w:t>
            </w:r>
            <w:r>
              <w:rPr>
                <w:spacing w:val="4"/>
                <w:sz w:val="17"/>
                <w:szCs w:val="17"/>
              </w:rPr>
              <w:t>副产品</w:t>
            </w:r>
          </w:p>
        </w:tc>
        <w:tc>
          <w:tcPr>
            <w:tcW w:w="1360" w:type="dxa"/>
            <w:vMerge w:val="restart"/>
            <w:tcBorders>
              <w:bottom w:val="nil"/>
            </w:tcBorders>
            <w:vAlign w:val="top"/>
          </w:tcPr>
          <w:p w14:paraId="7B344837">
            <w:pPr>
              <w:spacing w:line="250" w:lineRule="auto"/>
              <w:rPr>
                <w:rFonts w:ascii="Arial"/>
                <w:sz w:val="21"/>
              </w:rPr>
            </w:pPr>
          </w:p>
          <w:p w14:paraId="7D135464">
            <w:pPr>
              <w:spacing w:line="250" w:lineRule="auto"/>
              <w:rPr>
                <w:rFonts w:ascii="Arial"/>
                <w:sz w:val="21"/>
              </w:rPr>
            </w:pPr>
          </w:p>
          <w:p w14:paraId="771A8810">
            <w:pPr>
              <w:spacing w:line="250" w:lineRule="auto"/>
              <w:rPr>
                <w:rFonts w:ascii="Arial"/>
                <w:sz w:val="21"/>
              </w:rPr>
            </w:pPr>
          </w:p>
          <w:p w14:paraId="77D0C66D">
            <w:pPr>
              <w:spacing w:line="250" w:lineRule="auto"/>
              <w:rPr>
                <w:rFonts w:ascii="Arial"/>
                <w:sz w:val="21"/>
              </w:rPr>
            </w:pPr>
          </w:p>
          <w:p w14:paraId="5B7D48F2">
            <w:pPr>
              <w:spacing w:line="250" w:lineRule="auto"/>
              <w:rPr>
                <w:rFonts w:ascii="Arial"/>
                <w:sz w:val="21"/>
              </w:rPr>
            </w:pPr>
          </w:p>
          <w:p w14:paraId="667451BD">
            <w:pPr>
              <w:spacing w:line="250" w:lineRule="auto"/>
              <w:rPr>
                <w:rFonts w:ascii="Arial"/>
                <w:sz w:val="21"/>
              </w:rPr>
            </w:pPr>
          </w:p>
          <w:p w14:paraId="645AC981">
            <w:pPr>
              <w:spacing w:line="250" w:lineRule="auto"/>
              <w:rPr>
                <w:rFonts w:ascii="Arial"/>
                <w:sz w:val="21"/>
              </w:rPr>
            </w:pPr>
          </w:p>
          <w:p w14:paraId="40703B69">
            <w:pPr>
              <w:spacing w:line="250" w:lineRule="auto"/>
              <w:rPr>
                <w:rFonts w:ascii="Arial"/>
                <w:sz w:val="21"/>
              </w:rPr>
            </w:pPr>
          </w:p>
          <w:p w14:paraId="3B8F4895">
            <w:pPr>
              <w:spacing w:line="250" w:lineRule="auto"/>
              <w:rPr>
                <w:rFonts w:ascii="Arial"/>
                <w:sz w:val="21"/>
              </w:rPr>
            </w:pPr>
          </w:p>
          <w:p w14:paraId="76A6C131">
            <w:pPr>
              <w:spacing w:line="251" w:lineRule="auto"/>
              <w:rPr>
                <w:rFonts w:ascii="Arial"/>
                <w:sz w:val="21"/>
              </w:rPr>
            </w:pPr>
          </w:p>
          <w:p w14:paraId="146A03AF">
            <w:pPr>
              <w:spacing w:line="251" w:lineRule="auto"/>
              <w:rPr>
                <w:rFonts w:ascii="Arial"/>
                <w:sz w:val="21"/>
              </w:rPr>
            </w:pPr>
          </w:p>
          <w:p w14:paraId="2A2E5737">
            <w:pPr>
              <w:spacing w:line="251" w:lineRule="auto"/>
              <w:rPr>
                <w:rFonts w:ascii="Arial"/>
                <w:sz w:val="21"/>
              </w:rPr>
            </w:pPr>
          </w:p>
          <w:p w14:paraId="1457B93A">
            <w:pPr>
              <w:spacing w:line="251" w:lineRule="auto"/>
              <w:rPr>
                <w:rFonts w:ascii="Arial"/>
                <w:sz w:val="21"/>
              </w:rPr>
            </w:pPr>
          </w:p>
          <w:p w14:paraId="4B507331">
            <w:pPr>
              <w:spacing w:line="251" w:lineRule="auto"/>
              <w:rPr>
                <w:rFonts w:ascii="Arial"/>
                <w:sz w:val="21"/>
              </w:rPr>
            </w:pPr>
          </w:p>
          <w:p w14:paraId="07D8EC3A">
            <w:pPr>
              <w:pStyle w:val="51"/>
              <w:spacing w:before="55" w:line="229" w:lineRule="auto"/>
              <w:ind w:left="62"/>
              <w:rPr>
                <w:sz w:val="17"/>
                <w:szCs w:val="17"/>
              </w:rPr>
            </w:pPr>
            <w:r>
              <w:rPr>
                <w:spacing w:val="7"/>
                <w:sz w:val="17"/>
                <w:szCs w:val="17"/>
              </w:rPr>
              <w:t>畜禽肉及副产品</w:t>
            </w:r>
          </w:p>
        </w:tc>
        <w:tc>
          <w:tcPr>
            <w:tcW w:w="1581" w:type="dxa"/>
            <w:vMerge w:val="restart"/>
            <w:tcBorders>
              <w:bottom w:val="nil"/>
            </w:tcBorders>
            <w:vAlign w:val="top"/>
          </w:tcPr>
          <w:p w14:paraId="5EA82140">
            <w:pPr>
              <w:spacing w:line="276" w:lineRule="auto"/>
              <w:rPr>
                <w:rFonts w:ascii="Arial"/>
                <w:sz w:val="21"/>
              </w:rPr>
            </w:pPr>
          </w:p>
          <w:p w14:paraId="709E8181">
            <w:pPr>
              <w:spacing w:line="276" w:lineRule="auto"/>
              <w:rPr>
                <w:rFonts w:ascii="Arial"/>
                <w:sz w:val="21"/>
              </w:rPr>
            </w:pPr>
          </w:p>
          <w:p w14:paraId="3FB82D6A">
            <w:pPr>
              <w:spacing w:line="276" w:lineRule="auto"/>
              <w:rPr>
                <w:rFonts w:ascii="Arial"/>
                <w:sz w:val="21"/>
              </w:rPr>
            </w:pPr>
          </w:p>
          <w:p w14:paraId="64E76051">
            <w:pPr>
              <w:spacing w:line="277" w:lineRule="auto"/>
              <w:rPr>
                <w:rFonts w:ascii="Arial"/>
                <w:sz w:val="21"/>
              </w:rPr>
            </w:pPr>
          </w:p>
          <w:p w14:paraId="5E67CF95">
            <w:pPr>
              <w:spacing w:line="277" w:lineRule="auto"/>
              <w:rPr>
                <w:rFonts w:ascii="Arial"/>
                <w:sz w:val="21"/>
              </w:rPr>
            </w:pPr>
          </w:p>
          <w:p w14:paraId="591AA2F1">
            <w:pPr>
              <w:pStyle w:val="51"/>
              <w:spacing w:before="56" w:line="229" w:lineRule="auto"/>
              <w:ind w:left="624"/>
              <w:rPr>
                <w:sz w:val="17"/>
                <w:szCs w:val="17"/>
              </w:rPr>
            </w:pPr>
            <w:r>
              <w:rPr>
                <w:sz w:val="17"/>
                <w:szCs w:val="17"/>
              </w:rPr>
              <w:t>畜肉</w:t>
            </w:r>
          </w:p>
        </w:tc>
        <w:tc>
          <w:tcPr>
            <w:tcW w:w="1586" w:type="dxa"/>
            <w:vAlign w:val="top"/>
          </w:tcPr>
          <w:p w14:paraId="33E370BA">
            <w:pPr>
              <w:spacing w:line="329" w:lineRule="auto"/>
              <w:rPr>
                <w:rFonts w:ascii="Arial"/>
                <w:sz w:val="21"/>
              </w:rPr>
            </w:pPr>
          </w:p>
          <w:p w14:paraId="188F8C02">
            <w:pPr>
              <w:pStyle w:val="51"/>
              <w:spacing w:before="55" w:line="227" w:lineRule="auto"/>
              <w:ind w:left="622"/>
              <w:rPr>
                <w:sz w:val="17"/>
                <w:szCs w:val="17"/>
              </w:rPr>
            </w:pPr>
            <w:r>
              <w:rPr>
                <w:spacing w:val="3"/>
                <w:sz w:val="17"/>
                <w:szCs w:val="17"/>
              </w:rPr>
              <w:t>猪肉</w:t>
            </w:r>
          </w:p>
        </w:tc>
        <w:tc>
          <w:tcPr>
            <w:tcW w:w="682" w:type="dxa"/>
            <w:vAlign w:val="top"/>
          </w:tcPr>
          <w:p w14:paraId="199EAFE7">
            <w:pPr>
              <w:spacing w:line="328" w:lineRule="auto"/>
              <w:rPr>
                <w:rFonts w:ascii="Arial"/>
                <w:sz w:val="21"/>
              </w:rPr>
            </w:pPr>
          </w:p>
          <w:p w14:paraId="3F5FD86D">
            <w:pPr>
              <w:pStyle w:val="51"/>
              <w:spacing w:before="56" w:line="230" w:lineRule="auto"/>
              <w:ind w:left="267"/>
              <w:rPr>
                <w:sz w:val="17"/>
                <w:szCs w:val="17"/>
              </w:rPr>
            </w:pPr>
            <w:r>
              <w:rPr>
                <w:sz w:val="17"/>
                <w:szCs w:val="17"/>
              </w:rPr>
              <w:t>高</w:t>
            </w:r>
          </w:p>
        </w:tc>
        <w:tc>
          <w:tcPr>
            <w:tcW w:w="8563" w:type="dxa"/>
            <w:vAlign w:val="top"/>
          </w:tcPr>
          <w:p w14:paraId="050EA7E5">
            <w:pPr>
              <w:pStyle w:val="51"/>
              <w:spacing w:before="87" w:line="292" w:lineRule="auto"/>
              <w:ind w:left="38" w:right="29"/>
              <w:rPr>
                <w:sz w:val="17"/>
                <w:szCs w:val="17"/>
              </w:rPr>
            </w:pPr>
            <w:r>
              <w:rPr>
                <w:spacing w:val="10"/>
                <w:sz w:val="17"/>
                <w:szCs w:val="17"/>
              </w:rPr>
              <w:t>挥发性盐基氮、呋喃唑酮代谢物、呋喃西林代谢物、氯霉素、克伦特罗、莱克多巴胺、沙丁胺醇、喹乙醇、恩诺沙星、替米考星、磺胺类(总量)、甲氧</w:t>
            </w:r>
            <w:r>
              <w:rPr>
                <w:spacing w:val="9"/>
                <w:sz w:val="17"/>
                <w:szCs w:val="17"/>
              </w:rPr>
              <w:t>苄啶、氟苯尼考、多西环素、地塞米松、甲硝唑、氯丙嗪、</w:t>
            </w:r>
            <w:r>
              <w:rPr>
                <w:spacing w:val="-38"/>
                <w:sz w:val="17"/>
                <w:szCs w:val="17"/>
              </w:rPr>
              <w:t xml:space="preserve"> </w:t>
            </w:r>
            <w:r>
              <w:rPr>
                <w:spacing w:val="9"/>
                <w:sz w:val="17"/>
                <w:szCs w:val="17"/>
              </w:rPr>
              <w:t>林可</w:t>
            </w:r>
            <w:r>
              <w:rPr>
                <w:spacing w:val="8"/>
                <w:sz w:val="17"/>
                <w:szCs w:val="17"/>
              </w:rPr>
              <w:t>霉素、土霉素/金霉素/四环素(组合含量)、水分</w:t>
            </w:r>
          </w:p>
        </w:tc>
      </w:tr>
      <w:tr w14:paraId="5ED76A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4" w:hRule="atLeast"/>
        </w:trPr>
        <w:tc>
          <w:tcPr>
            <w:tcW w:w="459" w:type="dxa"/>
            <w:vMerge w:val="continue"/>
            <w:tcBorders>
              <w:top w:val="nil"/>
              <w:bottom w:val="nil"/>
            </w:tcBorders>
            <w:vAlign w:val="top"/>
          </w:tcPr>
          <w:p w14:paraId="2CB2461D">
            <w:pPr>
              <w:rPr>
                <w:rFonts w:ascii="Arial"/>
                <w:sz w:val="21"/>
              </w:rPr>
            </w:pPr>
          </w:p>
        </w:tc>
        <w:tc>
          <w:tcPr>
            <w:tcW w:w="942" w:type="dxa"/>
            <w:vMerge w:val="continue"/>
            <w:tcBorders>
              <w:top w:val="nil"/>
              <w:bottom w:val="nil"/>
            </w:tcBorders>
            <w:vAlign w:val="top"/>
          </w:tcPr>
          <w:p w14:paraId="5D792D4D">
            <w:pPr>
              <w:rPr>
                <w:rFonts w:ascii="Arial"/>
                <w:sz w:val="21"/>
              </w:rPr>
            </w:pPr>
          </w:p>
        </w:tc>
        <w:tc>
          <w:tcPr>
            <w:tcW w:w="1360" w:type="dxa"/>
            <w:vMerge w:val="continue"/>
            <w:tcBorders>
              <w:top w:val="nil"/>
              <w:bottom w:val="nil"/>
            </w:tcBorders>
            <w:vAlign w:val="top"/>
          </w:tcPr>
          <w:p w14:paraId="14D0FAF6">
            <w:pPr>
              <w:rPr>
                <w:rFonts w:ascii="Arial"/>
                <w:sz w:val="21"/>
              </w:rPr>
            </w:pPr>
          </w:p>
        </w:tc>
        <w:tc>
          <w:tcPr>
            <w:tcW w:w="1581" w:type="dxa"/>
            <w:vMerge w:val="continue"/>
            <w:tcBorders>
              <w:top w:val="nil"/>
              <w:bottom w:val="nil"/>
            </w:tcBorders>
            <w:vAlign w:val="top"/>
          </w:tcPr>
          <w:p w14:paraId="53F2A005">
            <w:pPr>
              <w:rPr>
                <w:rFonts w:ascii="Arial"/>
                <w:sz w:val="21"/>
              </w:rPr>
            </w:pPr>
          </w:p>
        </w:tc>
        <w:tc>
          <w:tcPr>
            <w:tcW w:w="1586" w:type="dxa"/>
            <w:vAlign w:val="top"/>
          </w:tcPr>
          <w:p w14:paraId="18C81D3B">
            <w:pPr>
              <w:spacing w:line="331" w:lineRule="auto"/>
              <w:rPr>
                <w:rFonts w:ascii="Arial"/>
                <w:sz w:val="21"/>
              </w:rPr>
            </w:pPr>
          </w:p>
          <w:p w14:paraId="1890D7FF">
            <w:pPr>
              <w:pStyle w:val="51"/>
              <w:spacing w:before="55" w:line="228" w:lineRule="auto"/>
              <w:ind w:left="622"/>
              <w:rPr>
                <w:sz w:val="17"/>
                <w:szCs w:val="17"/>
              </w:rPr>
            </w:pPr>
            <w:r>
              <w:rPr>
                <w:spacing w:val="3"/>
                <w:sz w:val="17"/>
                <w:szCs w:val="17"/>
              </w:rPr>
              <w:t>牛肉</w:t>
            </w:r>
          </w:p>
        </w:tc>
        <w:tc>
          <w:tcPr>
            <w:tcW w:w="682" w:type="dxa"/>
            <w:vAlign w:val="top"/>
          </w:tcPr>
          <w:p w14:paraId="5E0C725E">
            <w:pPr>
              <w:spacing w:line="331" w:lineRule="auto"/>
              <w:rPr>
                <w:rFonts w:ascii="Arial"/>
                <w:sz w:val="21"/>
              </w:rPr>
            </w:pPr>
          </w:p>
          <w:p w14:paraId="7DA916B2">
            <w:pPr>
              <w:pStyle w:val="51"/>
              <w:spacing w:before="56" w:line="230" w:lineRule="auto"/>
              <w:ind w:left="267"/>
              <w:rPr>
                <w:sz w:val="17"/>
                <w:szCs w:val="17"/>
              </w:rPr>
            </w:pPr>
            <w:r>
              <w:rPr>
                <w:sz w:val="17"/>
                <w:szCs w:val="17"/>
              </w:rPr>
              <w:t>高</w:t>
            </w:r>
          </w:p>
        </w:tc>
        <w:tc>
          <w:tcPr>
            <w:tcW w:w="8563" w:type="dxa"/>
            <w:vAlign w:val="top"/>
          </w:tcPr>
          <w:p w14:paraId="345DB504">
            <w:pPr>
              <w:pStyle w:val="51"/>
              <w:spacing w:before="90" w:line="291" w:lineRule="auto"/>
              <w:ind w:left="41" w:hanging="2"/>
              <w:jc w:val="both"/>
              <w:rPr>
                <w:sz w:val="17"/>
                <w:szCs w:val="17"/>
              </w:rPr>
            </w:pPr>
            <w:r>
              <w:rPr>
                <w:spacing w:val="8"/>
                <w:sz w:val="17"/>
                <w:szCs w:val="17"/>
              </w:rPr>
              <w:t>挥发性盐基氮、呋喃唑酮代谢物、呋喃西林代谢</w:t>
            </w:r>
            <w:r>
              <w:rPr>
                <w:spacing w:val="7"/>
                <w:sz w:val="17"/>
                <w:szCs w:val="17"/>
              </w:rPr>
              <w:t>物、氯霉素、克伦特罗、莱克多巴胺、沙丁胺醇、恩诺沙星、</w:t>
            </w:r>
            <w:r>
              <w:rPr>
                <w:spacing w:val="4"/>
                <w:sz w:val="17"/>
                <w:szCs w:val="17"/>
              </w:rPr>
              <w:t>磺胺类(总量)、甲氧苄啶、氟苯尼考、多西环素、地塞米松、林可霉素、倍他米松、土霉素/金霉素/四环素(组</w:t>
            </w:r>
            <w:r>
              <w:rPr>
                <w:spacing w:val="6"/>
                <w:sz w:val="17"/>
                <w:szCs w:val="17"/>
              </w:rPr>
              <w:t>合含量)、水分、氟尼辛</w:t>
            </w:r>
          </w:p>
        </w:tc>
      </w:tr>
      <w:tr w14:paraId="36ECDE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459" w:type="dxa"/>
            <w:vMerge w:val="continue"/>
            <w:tcBorders>
              <w:top w:val="nil"/>
              <w:bottom w:val="nil"/>
            </w:tcBorders>
            <w:vAlign w:val="top"/>
          </w:tcPr>
          <w:p w14:paraId="35202D68">
            <w:pPr>
              <w:rPr>
                <w:rFonts w:ascii="Arial"/>
                <w:sz w:val="21"/>
              </w:rPr>
            </w:pPr>
          </w:p>
        </w:tc>
        <w:tc>
          <w:tcPr>
            <w:tcW w:w="942" w:type="dxa"/>
            <w:vMerge w:val="continue"/>
            <w:tcBorders>
              <w:top w:val="nil"/>
              <w:bottom w:val="nil"/>
            </w:tcBorders>
            <w:vAlign w:val="top"/>
          </w:tcPr>
          <w:p w14:paraId="48106843">
            <w:pPr>
              <w:rPr>
                <w:rFonts w:ascii="Arial"/>
                <w:sz w:val="21"/>
              </w:rPr>
            </w:pPr>
          </w:p>
        </w:tc>
        <w:tc>
          <w:tcPr>
            <w:tcW w:w="1360" w:type="dxa"/>
            <w:vMerge w:val="continue"/>
            <w:tcBorders>
              <w:top w:val="nil"/>
              <w:bottom w:val="nil"/>
            </w:tcBorders>
            <w:vAlign w:val="top"/>
          </w:tcPr>
          <w:p w14:paraId="2CF55CFB">
            <w:pPr>
              <w:rPr>
                <w:rFonts w:ascii="Arial"/>
                <w:sz w:val="21"/>
              </w:rPr>
            </w:pPr>
          </w:p>
        </w:tc>
        <w:tc>
          <w:tcPr>
            <w:tcW w:w="1581" w:type="dxa"/>
            <w:vMerge w:val="continue"/>
            <w:tcBorders>
              <w:top w:val="nil"/>
              <w:bottom w:val="nil"/>
            </w:tcBorders>
            <w:vAlign w:val="top"/>
          </w:tcPr>
          <w:p w14:paraId="6B16445D">
            <w:pPr>
              <w:rPr>
                <w:rFonts w:ascii="Arial"/>
                <w:sz w:val="21"/>
              </w:rPr>
            </w:pPr>
          </w:p>
        </w:tc>
        <w:tc>
          <w:tcPr>
            <w:tcW w:w="1586" w:type="dxa"/>
            <w:vAlign w:val="top"/>
          </w:tcPr>
          <w:p w14:paraId="3DFECB40">
            <w:pPr>
              <w:pStyle w:val="51"/>
              <w:spacing w:before="279" w:line="227" w:lineRule="auto"/>
              <w:ind w:left="627"/>
              <w:rPr>
                <w:sz w:val="17"/>
                <w:szCs w:val="17"/>
              </w:rPr>
            </w:pPr>
            <w:r>
              <w:rPr>
                <w:sz w:val="17"/>
                <w:szCs w:val="17"/>
              </w:rPr>
              <w:t>羊肉</w:t>
            </w:r>
          </w:p>
        </w:tc>
        <w:tc>
          <w:tcPr>
            <w:tcW w:w="682" w:type="dxa"/>
            <w:vAlign w:val="top"/>
          </w:tcPr>
          <w:p w14:paraId="421F9808">
            <w:pPr>
              <w:pStyle w:val="51"/>
              <w:spacing w:before="279" w:line="230" w:lineRule="auto"/>
              <w:ind w:left="267"/>
              <w:rPr>
                <w:sz w:val="17"/>
                <w:szCs w:val="17"/>
              </w:rPr>
            </w:pPr>
            <w:r>
              <w:rPr>
                <w:sz w:val="17"/>
                <w:szCs w:val="17"/>
              </w:rPr>
              <w:t>高</w:t>
            </w:r>
          </w:p>
        </w:tc>
        <w:tc>
          <w:tcPr>
            <w:tcW w:w="8563" w:type="dxa"/>
            <w:vAlign w:val="top"/>
          </w:tcPr>
          <w:p w14:paraId="068EEE55">
            <w:pPr>
              <w:pStyle w:val="51"/>
              <w:spacing w:before="128" w:line="296" w:lineRule="auto"/>
              <w:ind w:left="42" w:firstLine="2"/>
              <w:rPr>
                <w:sz w:val="17"/>
                <w:szCs w:val="17"/>
              </w:rPr>
            </w:pPr>
            <w:r>
              <w:rPr>
                <w:spacing w:val="7"/>
                <w:sz w:val="17"/>
                <w:szCs w:val="17"/>
              </w:rPr>
              <w:t>呋喃唑酮代谢物、呋喃西林代谢物、氯霉素、克伦特罗、莱克多巴胺、沙丁胺醇、恩诺沙星、磺胺类(总量)、</w:t>
            </w:r>
            <w:r>
              <w:rPr>
                <w:spacing w:val="8"/>
                <w:sz w:val="17"/>
                <w:szCs w:val="17"/>
              </w:rPr>
              <w:t>氟苯尼考、林可霉素、土霉素/金霉素/四环素(</w:t>
            </w:r>
            <w:r>
              <w:rPr>
                <w:spacing w:val="7"/>
                <w:sz w:val="17"/>
                <w:szCs w:val="17"/>
              </w:rPr>
              <w:t>组合含量)、水分</w:t>
            </w:r>
          </w:p>
        </w:tc>
      </w:tr>
      <w:tr w14:paraId="51FD17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459" w:type="dxa"/>
            <w:vMerge w:val="continue"/>
            <w:tcBorders>
              <w:top w:val="nil"/>
              <w:bottom w:val="nil"/>
            </w:tcBorders>
            <w:vAlign w:val="top"/>
          </w:tcPr>
          <w:p w14:paraId="68935207">
            <w:pPr>
              <w:rPr>
                <w:rFonts w:ascii="Arial"/>
                <w:sz w:val="21"/>
              </w:rPr>
            </w:pPr>
          </w:p>
        </w:tc>
        <w:tc>
          <w:tcPr>
            <w:tcW w:w="942" w:type="dxa"/>
            <w:vMerge w:val="continue"/>
            <w:tcBorders>
              <w:top w:val="nil"/>
              <w:bottom w:val="nil"/>
            </w:tcBorders>
            <w:vAlign w:val="top"/>
          </w:tcPr>
          <w:p w14:paraId="4CC2B753">
            <w:pPr>
              <w:rPr>
                <w:rFonts w:ascii="Arial"/>
                <w:sz w:val="21"/>
              </w:rPr>
            </w:pPr>
          </w:p>
        </w:tc>
        <w:tc>
          <w:tcPr>
            <w:tcW w:w="1360" w:type="dxa"/>
            <w:vMerge w:val="continue"/>
            <w:tcBorders>
              <w:top w:val="nil"/>
              <w:bottom w:val="nil"/>
            </w:tcBorders>
            <w:vAlign w:val="top"/>
          </w:tcPr>
          <w:p w14:paraId="54FD8BD9">
            <w:pPr>
              <w:rPr>
                <w:rFonts w:ascii="Arial"/>
                <w:sz w:val="21"/>
              </w:rPr>
            </w:pPr>
          </w:p>
        </w:tc>
        <w:tc>
          <w:tcPr>
            <w:tcW w:w="1581" w:type="dxa"/>
            <w:vMerge w:val="continue"/>
            <w:tcBorders>
              <w:top w:val="nil"/>
            </w:tcBorders>
            <w:vAlign w:val="top"/>
          </w:tcPr>
          <w:p w14:paraId="51FB4511">
            <w:pPr>
              <w:rPr>
                <w:rFonts w:ascii="Arial"/>
                <w:sz w:val="21"/>
              </w:rPr>
            </w:pPr>
          </w:p>
        </w:tc>
        <w:tc>
          <w:tcPr>
            <w:tcW w:w="1586" w:type="dxa"/>
            <w:vAlign w:val="top"/>
          </w:tcPr>
          <w:p w14:paraId="0D4E7991">
            <w:pPr>
              <w:pStyle w:val="51"/>
              <w:spacing w:before="195" w:line="227" w:lineRule="auto"/>
              <w:ind w:left="442"/>
              <w:rPr>
                <w:sz w:val="17"/>
                <w:szCs w:val="17"/>
              </w:rPr>
            </w:pPr>
            <w:r>
              <w:rPr>
                <w:spacing w:val="6"/>
                <w:sz w:val="17"/>
                <w:szCs w:val="17"/>
              </w:rPr>
              <w:t>其他畜肉</w:t>
            </w:r>
          </w:p>
        </w:tc>
        <w:tc>
          <w:tcPr>
            <w:tcW w:w="682" w:type="dxa"/>
            <w:vAlign w:val="top"/>
          </w:tcPr>
          <w:p w14:paraId="308C1171">
            <w:pPr>
              <w:pStyle w:val="51"/>
              <w:spacing w:before="195" w:line="230" w:lineRule="auto"/>
              <w:ind w:left="267"/>
              <w:rPr>
                <w:sz w:val="17"/>
                <w:szCs w:val="17"/>
              </w:rPr>
            </w:pPr>
            <w:r>
              <w:rPr>
                <w:sz w:val="17"/>
                <w:szCs w:val="17"/>
              </w:rPr>
              <w:t>高</w:t>
            </w:r>
          </w:p>
        </w:tc>
        <w:tc>
          <w:tcPr>
            <w:tcW w:w="8563" w:type="dxa"/>
            <w:vAlign w:val="top"/>
          </w:tcPr>
          <w:p w14:paraId="2DD44755">
            <w:pPr>
              <w:pStyle w:val="51"/>
              <w:spacing w:before="194" w:line="227" w:lineRule="auto"/>
              <w:ind w:left="45"/>
              <w:rPr>
                <w:sz w:val="17"/>
                <w:szCs w:val="17"/>
              </w:rPr>
            </w:pPr>
            <w:r>
              <w:rPr>
                <w:spacing w:val="9"/>
                <w:sz w:val="17"/>
                <w:szCs w:val="17"/>
              </w:rPr>
              <w:t>呋喃唑酮代谢物、氯霉素、克伦特罗、莱克多巴胺、沙丁胺醇、氧氟沙星</w:t>
            </w:r>
          </w:p>
        </w:tc>
      </w:tr>
      <w:tr w14:paraId="0A2D2C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4" w:hRule="atLeast"/>
        </w:trPr>
        <w:tc>
          <w:tcPr>
            <w:tcW w:w="459" w:type="dxa"/>
            <w:vMerge w:val="continue"/>
            <w:tcBorders>
              <w:top w:val="nil"/>
              <w:bottom w:val="nil"/>
            </w:tcBorders>
            <w:vAlign w:val="top"/>
          </w:tcPr>
          <w:p w14:paraId="007353DF">
            <w:pPr>
              <w:rPr>
                <w:rFonts w:ascii="Arial"/>
                <w:sz w:val="21"/>
              </w:rPr>
            </w:pPr>
          </w:p>
        </w:tc>
        <w:tc>
          <w:tcPr>
            <w:tcW w:w="942" w:type="dxa"/>
            <w:vMerge w:val="continue"/>
            <w:tcBorders>
              <w:top w:val="nil"/>
              <w:bottom w:val="nil"/>
            </w:tcBorders>
            <w:vAlign w:val="top"/>
          </w:tcPr>
          <w:p w14:paraId="2407C393">
            <w:pPr>
              <w:rPr>
                <w:rFonts w:ascii="Arial"/>
                <w:sz w:val="21"/>
              </w:rPr>
            </w:pPr>
          </w:p>
        </w:tc>
        <w:tc>
          <w:tcPr>
            <w:tcW w:w="1360" w:type="dxa"/>
            <w:vMerge w:val="continue"/>
            <w:tcBorders>
              <w:top w:val="nil"/>
              <w:bottom w:val="nil"/>
            </w:tcBorders>
            <w:vAlign w:val="top"/>
          </w:tcPr>
          <w:p w14:paraId="274B4438">
            <w:pPr>
              <w:rPr>
                <w:rFonts w:ascii="Arial"/>
                <w:sz w:val="21"/>
              </w:rPr>
            </w:pPr>
          </w:p>
        </w:tc>
        <w:tc>
          <w:tcPr>
            <w:tcW w:w="1581" w:type="dxa"/>
            <w:vMerge w:val="restart"/>
            <w:tcBorders>
              <w:bottom w:val="nil"/>
            </w:tcBorders>
            <w:vAlign w:val="top"/>
          </w:tcPr>
          <w:p w14:paraId="22CC5B50">
            <w:pPr>
              <w:spacing w:line="313" w:lineRule="auto"/>
              <w:rPr>
                <w:rFonts w:ascii="Arial"/>
                <w:sz w:val="21"/>
              </w:rPr>
            </w:pPr>
          </w:p>
          <w:p w14:paraId="5421E09C">
            <w:pPr>
              <w:spacing w:line="313" w:lineRule="auto"/>
              <w:rPr>
                <w:rFonts w:ascii="Arial"/>
                <w:sz w:val="21"/>
              </w:rPr>
            </w:pPr>
          </w:p>
          <w:p w14:paraId="77EEF803">
            <w:pPr>
              <w:spacing w:line="313" w:lineRule="auto"/>
              <w:rPr>
                <w:rFonts w:ascii="Arial"/>
                <w:sz w:val="21"/>
              </w:rPr>
            </w:pPr>
          </w:p>
          <w:p w14:paraId="4246AF36">
            <w:pPr>
              <w:pStyle w:val="51"/>
              <w:spacing w:before="55" w:line="229" w:lineRule="auto"/>
              <w:ind w:left="619"/>
              <w:rPr>
                <w:sz w:val="17"/>
                <w:szCs w:val="17"/>
              </w:rPr>
            </w:pPr>
            <w:r>
              <w:rPr>
                <w:spacing w:val="3"/>
                <w:sz w:val="17"/>
                <w:szCs w:val="17"/>
              </w:rPr>
              <w:t>禽肉</w:t>
            </w:r>
          </w:p>
        </w:tc>
        <w:tc>
          <w:tcPr>
            <w:tcW w:w="1586" w:type="dxa"/>
            <w:vAlign w:val="top"/>
          </w:tcPr>
          <w:p w14:paraId="27755FFA">
            <w:pPr>
              <w:spacing w:line="333" w:lineRule="auto"/>
              <w:rPr>
                <w:rFonts w:ascii="Arial"/>
                <w:sz w:val="21"/>
              </w:rPr>
            </w:pPr>
          </w:p>
          <w:p w14:paraId="66BB9AEE">
            <w:pPr>
              <w:pStyle w:val="51"/>
              <w:spacing w:before="55" w:line="229" w:lineRule="auto"/>
              <w:ind w:left="620"/>
              <w:rPr>
                <w:sz w:val="17"/>
                <w:szCs w:val="17"/>
              </w:rPr>
            </w:pPr>
            <w:r>
              <w:rPr>
                <w:spacing w:val="4"/>
                <w:sz w:val="17"/>
                <w:szCs w:val="17"/>
              </w:rPr>
              <w:t>鸡肉</w:t>
            </w:r>
          </w:p>
        </w:tc>
        <w:tc>
          <w:tcPr>
            <w:tcW w:w="682" w:type="dxa"/>
            <w:vAlign w:val="top"/>
          </w:tcPr>
          <w:p w14:paraId="6F6B3D54">
            <w:pPr>
              <w:spacing w:line="333" w:lineRule="auto"/>
              <w:rPr>
                <w:rFonts w:ascii="Arial"/>
                <w:sz w:val="21"/>
              </w:rPr>
            </w:pPr>
          </w:p>
          <w:p w14:paraId="24C61F79">
            <w:pPr>
              <w:pStyle w:val="51"/>
              <w:spacing w:before="55" w:line="230" w:lineRule="auto"/>
              <w:ind w:left="267"/>
              <w:rPr>
                <w:sz w:val="17"/>
                <w:szCs w:val="17"/>
              </w:rPr>
            </w:pPr>
            <w:r>
              <w:rPr>
                <w:sz w:val="17"/>
                <w:szCs w:val="17"/>
              </w:rPr>
              <w:t>高</w:t>
            </w:r>
          </w:p>
        </w:tc>
        <w:tc>
          <w:tcPr>
            <w:tcW w:w="8563" w:type="dxa"/>
            <w:vAlign w:val="top"/>
          </w:tcPr>
          <w:p w14:paraId="6617EAFD">
            <w:pPr>
              <w:pStyle w:val="51"/>
              <w:spacing w:before="90" w:line="291" w:lineRule="auto"/>
              <w:ind w:left="40" w:right="24" w:hanging="1"/>
              <w:jc w:val="both"/>
              <w:rPr>
                <w:sz w:val="17"/>
                <w:szCs w:val="17"/>
              </w:rPr>
            </w:pPr>
            <w:r>
              <w:rPr>
                <w:spacing w:val="11"/>
                <w:sz w:val="17"/>
                <w:szCs w:val="17"/>
              </w:rPr>
              <w:t>挥发性盐基氮、呋喃唑酮代谢物、呋喃西林代谢物、呋喃它酮代谢物、氯霉</w:t>
            </w:r>
            <w:r>
              <w:rPr>
                <w:spacing w:val="10"/>
                <w:sz w:val="17"/>
                <w:szCs w:val="17"/>
              </w:rPr>
              <w:t>素、氧氟沙星、培氟沙星、诺氟沙星、恩诺沙星、沙拉沙星、替米考星、磺胺类(总量)、甲氧苄啶、氟苯尼考、多西环素、甲硝唑、尼卡巴</w:t>
            </w:r>
            <w:r>
              <w:rPr>
                <w:spacing w:val="8"/>
                <w:sz w:val="17"/>
                <w:szCs w:val="17"/>
              </w:rPr>
              <w:t>嗪、环丙氨嗪、土霉素/金霉素/四环素(组合含量)、水分</w:t>
            </w:r>
          </w:p>
        </w:tc>
      </w:tr>
      <w:tr w14:paraId="709B77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459" w:type="dxa"/>
            <w:vMerge w:val="continue"/>
            <w:tcBorders>
              <w:top w:val="nil"/>
              <w:bottom w:val="nil"/>
            </w:tcBorders>
            <w:vAlign w:val="top"/>
          </w:tcPr>
          <w:p w14:paraId="55347EEF">
            <w:pPr>
              <w:rPr>
                <w:rFonts w:ascii="Arial"/>
                <w:sz w:val="21"/>
              </w:rPr>
            </w:pPr>
          </w:p>
        </w:tc>
        <w:tc>
          <w:tcPr>
            <w:tcW w:w="942" w:type="dxa"/>
            <w:vMerge w:val="continue"/>
            <w:tcBorders>
              <w:top w:val="nil"/>
              <w:bottom w:val="nil"/>
            </w:tcBorders>
            <w:vAlign w:val="top"/>
          </w:tcPr>
          <w:p w14:paraId="68E191AC">
            <w:pPr>
              <w:rPr>
                <w:rFonts w:ascii="Arial"/>
                <w:sz w:val="21"/>
              </w:rPr>
            </w:pPr>
          </w:p>
        </w:tc>
        <w:tc>
          <w:tcPr>
            <w:tcW w:w="1360" w:type="dxa"/>
            <w:vMerge w:val="continue"/>
            <w:tcBorders>
              <w:top w:val="nil"/>
              <w:bottom w:val="nil"/>
            </w:tcBorders>
            <w:vAlign w:val="top"/>
          </w:tcPr>
          <w:p w14:paraId="7B7B9345">
            <w:pPr>
              <w:rPr>
                <w:rFonts w:ascii="Arial"/>
                <w:sz w:val="21"/>
              </w:rPr>
            </w:pPr>
          </w:p>
        </w:tc>
        <w:tc>
          <w:tcPr>
            <w:tcW w:w="1581" w:type="dxa"/>
            <w:vMerge w:val="continue"/>
            <w:tcBorders>
              <w:top w:val="nil"/>
              <w:bottom w:val="nil"/>
            </w:tcBorders>
            <w:vAlign w:val="top"/>
          </w:tcPr>
          <w:p w14:paraId="7DA896E1">
            <w:pPr>
              <w:rPr>
                <w:rFonts w:ascii="Arial"/>
                <w:sz w:val="21"/>
              </w:rPr>
            </w:pPr>
          </w:p>
        </w:tc>
        <w:tc>
          <w:tcPr>
            <w:tcW w:w="1586" w:type="dxa"/>
            <w:vAlign w:val="top"/>
          </w:tcPr>
          <w:p w14:paraId="2FEDD165">
            <w:pPr>
              <w:pStyle w:val="51"/>
              <w:spacing w:before="241" w:line="229" w:lineRule="auto"/>
              <w:ind w:left="627"/>
              <w:rPr>
                <w:sz w:val="17"/>
                <w:szCs w:val="17"/>
              </w:rPr>
            </w:pPr>
            <w:r>
              <w:rPr>
                <w:sz w:val="17"/>
                <w:szCs w:val="17"/>
              </w:rPr>
              <w:t>鸭肉</w:t>
            </w:r>
          </w:p>
        </w:tc>
        <w:tc>
          <w:tcPr>
            <w:tcW w:w="682" w:type="dxa"/>
            <w:vAlign w:val="top"/>
          </w:tcPr>
          <w:p w14:paraId="2B1D0BCA">
            <w:pPr>
              <w:pStyle w:val="51"/>
              <w:spacing w:before="242" w:line="230" w:lineRule="auto"/>
              <w:ind w:left="267"/>
              <w:rPr>
                <w:sz w:val="17"/>
                <w:szCs w:val="17"/>
              </w:rPr>
            </w:pPr>
            <w:r>
              <w:rPr>
                <w:sz w:val="17"/>
                <w:szCs w:val="17"/>
              </w:rPr>
              <w:t>高</w:t>
            </w:r>
          </w:p>
        </w:tc>
        <w:tc>
          <w:tcPr>
            <w:tcW w:w="8563" w:type="dxa"/>
            <w:vAlign w:val="top"/>
          </w:tcPr>
          <w:p w14:paraId="23AE9470">
            <w:pPr>
              <w:pStyle w:val="51"/>
              <w:spacing w:before="90" w:line="274" w:lineRule="auto"/>
              <w:ind w:left="61" w:right="62" w:hanging="16"/>
              <w:rPr>
                <w:sz w:val="17"/>
                <w:szCs w:val="17"/>
              </w:rPr>
            </w:pPr>
            <w:r>
              <w:rPr>
                <w:spacing w:val="10"/>
                <w:sz w:val="17"/>
                <w:szCs w:val="17"/>
              </w:rPr>
              <w:t>呋喃唑酮代谢物、呋喃妥因代谢物、氯霉素、氧氟沙星、恩诺</w:t>
            </w:r>
            <w:r>
              <w:rPr>
                <w:spacing w:val="9"/>
                <w:sz w:val="17"/>
                <w:szCs w:val="17"/>
              </w:rPr>
              <w:t>沙星、磺胺类(总量)、氟苯尼考、多西环素、</w:t>
            </w:r>
            <w:r>
              <w:rPr>
                <w:spacing w:val="-2"/>
                <w:sz w:val="17"/>
                <w:szCs w:val="17"/>
              </w:rPr>
              <w:t>甲硝唑</w:t>
            </w:r>
          </w:p>
        </w:tc>
      </w:tr>
      <w:tr w14:paraId="472AD6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459" w:type="dxa"/>
            <w:vMerge w:val="continue"/>
            <w:tcBorders>
              <w:top w:val="nil"/>
              <w:bottom w:val="nil"/>
            </w:tcBorders>
            <w:vAlign w:val="top"/>
          </w:tcPr>
          <w:p w14:paraId="2255F683">
            <w:pPr>
              <w:rPr>
                <w:rFonts w:ascii="Arial"/>
                <w:sz w:val="21"/>
              </w:rPr>
            </w:pPr>
          </w:p>
        </w:tc>
        <w:tc>
          <w:tcPr>
            <w:tcW w:w="942" w:type="dxa"/>
            <w:vMerge w:val="continue"/>
            <w:tcBorders>
              <w:top w:val="nil"/>
              <w:bottom w:val="nil"/>
            </w:tcBorders>
            <w:vAlign w:val="top"/>
          </w:tcPr>
          <w:p w14:paraId="2D71D4A0">
            <w:pPr>
              <w:rPr>
                <w:rFonts w:ascii="Arial"/>
                <w:sz w:val="21"/>
              </w:rPr>
            </w:pPr>
          </w:p>
        </w:tc>
        <w:tc>
          <w:tcPr>
            <w:tcW w:w="1360" w:type="dxa"/>
            <w:vMerge w:val="continue"/>
            <w:tcBorders>
              <w:top w:val="nil"/>
              <w:bottom w:val="nil"/>
            </w:tcBorders>
            <w:vAlign w:val="top"/>
          </w:tcPr>
          <w:p w14:paraId="070136BC">
            <w:pPr>
              <w:rPr>
                <w:rFonts w:ascii="Arial"/>
                <w:sz w:val="21"/>
              </w:rPr>
            </w:pPr>
          </w:p>
        </w:tc>
        <w:tc>
          <w:tcPr>
            <w:tcW w:w="1581" w:type="dxa"/>
            <w:vMerge w:val="continue"/>
            <w:tcBorders>
              <w:top w:val="nil"/>
            </w:tcBorders>
            <w:vAlign w:val="top"/>
          </w:tcPr>
          <w:p w14:paraId="2B4683A0">
            <w:pPr>
              <w:rPr>
                <w:rFonts w:ascii="Arial"/>
                <w:sz w:val="21"/>
              </w:rPr>
            </w:pPr>
          </w:p>
        </w:tc>
        <w:tc>
          <w:tcPr>
            <w:tcW w:w="1586" w:type="dxa"/>
            <w:vAlign w:val="top"/>
          </w:tcPr>
          <w:p w14:paraId="30AD3C0A">
            <w:pPr>
              <w:pStyle w:val="51"/>
              <w:spacing w:before="241" w:line="227" w:lineRule="auto"/>
              <w:ind w:left="442"/>
              <w:rPr>
                <w:sz w:val="17"/>
                <w:szCs w:val="17"/>
              </w:rPr>
            </w:pPr>
            <w:r>
              <w:rPr>
                <w:spacing w:val="6"/>
                <w:sz w:val="17"/>
                <w:szCs w:val="17"/>
              </w:rPr>
              <w:t>其他禽肉</w:t>
            </w:r>
          </w:p>
        </w:tc>
        <w:tc>
          <w:tcPr>
            <w:tcW w:w="682" w:type="dxa"/>
            <w:vAlign w:val="top"/>
          </w:tcPr>
          <w:p w14:paraId="66D9F268">
            <w:pPr>
              <w:pStyle w:val="51"/>
              <w:spacing w:before="241" w:line="230" w:lineRule="auto"/>
              <w:ind w:left="267"/>
              <w:rPr>
                <w:sz w:val="17"/>
                <w:szCs w:val="17"/>
              </w:rPr>
            </w:pPr>
            <w:r>
              <w:rPr>
                <w:sz w:val="17"/>
                <w:szCs w:val="17"/>
              </w:rPr>
              <w:t>高</w:t>
            </w:r>
          </w:p>
        </w:tc>
        <w:tc>
          <w:tcPr>
            <w:tcW w:w="8563" w:type="dxa"/>
            <w:vAlign w:val="top"/>
          </w:tcPr>
          <w:p w14:paraId="34272EFE">
            <w:pPr>
              <w:pStyle w:val="51"/>
              <w:spacing w:before="90" w:line="274" w:lineRule="auto"/>
              <w:ind w:left="39" w:firstLine="6"/>
              <w:rPr>
                <w:sz w:val="17"/>
                <w:szCs w:val="17"/>
              </w:rPr>
            </w:pPr>
            <w:r>
              <w:rPr>
                <w:spacing w:val="7"/>
                <w:sz w:val="17"/>
                <w:szCs w:val="17"/>
              </w:rPr>
              <w:t>呋喃唑酮代谢物、氯霉素、氧氟沙星、恩诺沙</w:t>
            </w:r>
            <w:r>
              <w:rPr>
                <w:spacing w:val="6"/>
                <w:sz w:val="17"/>
                <w:szCs w:val="17"/>
              </w:rPr>
              <w:t>星、磺胺类(总量)、多西环素、</w:t>
            </w:r>
            <w:r>
              <w:rPr>
                <w:spacing w:val="-48"/>
                <w:sz w:val="17"/>
                <w:szCs w:val="17"/>
              </w:rPr>
              <w:t xml:space="preserve"> </w:t>
            </w:r>
            <w:r>
              <w:rPr>
                <w:spacing w:val="6"/>
                <w:sz w:val="17"/>
                <w:szCs w:val="17"/>
              </w:rPr>
              <w:t>甲硝唑、环丙氨嗪、培氟沙星、</w:t>
            </w:r>
            <w:r>
              <w:rPr>
                <w:spacing w:val="7"/>
                <w:sz w:val="17"/>
                <w:szCs w:val="17"/>
              </w:rPr>
              <w:t>洛美沙星、达氟沙星</w:t>
            </w:r>
          </w:p>
        </w:tc>
      </w:tr>
      <w:tr w14:paraId="694CDA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459" w:type="dxa"/>
            <w:vMerge w:val="continue"/>
            <w:tcBorders>
              <w:top w:val="nil"/>
              <w:bottom w:val="nil"/>
            </w:tcBorders>
            <w:vAlign w:val="top"/>
          </w:tcPr>
          <w:p w14:paraId="3B948594">
            <w:pPr>
              <w:rPr>
                <w:rFonts w:ascii="Arial"/>
                <w:sz w:val="21"/>
              </w:rPr>
            </w:pPr>
          </w:p>
        </w:tc>
        <w:tc>
          <w:tcPr>
            <w:tcW w:w="942" w:type="dxa"/>
            <w:vMerge w:val="continue"/>
            <w:tcBorders>
              <w:top w:val="nil"/>
              <w:bottom w:val="nil"/>
            </w:tcBorders>
            <w:vAlign w:val="top"/>
          </w:tcPr>
          <w:p w14:paraId="3CD1DB21">
            <w:pPr>
              <w:rPr>
                <w:rFonts w:ascii="Arial"/>
                <w:sz w:val="21"/>
              </w:rPr>
            </w:pPr>
          </w:p>
        </w:tc>
        <w:tc>
          <w:tcPr>
            <w:tcW w:w="1360" w:type="dxa"/>
            <w:vMerge w:val="continue"/>
            <w:tcBorders>
              <w:top w:val="nil"/>
              <w:bottom w:val="nil"/>
            </w:tcBorders>
            <w:vAlign w:val="top"/>
          </w:tcPr>
          <w:p w14:paraId="441868E4">
            <w:pPr>
              <w:rPr>
                <w:rFonts w:ascii="Arial"/>
                <w:sz w:val="21"/>
              </w:rPr>
            </w:pPr>
          </w:p>
        </w:tc>
        <w:tc>
          <w:tcPr>
            <w:tcW w:w="1581" w:type="dxa"/>
            <w:vMerge w:val="restart"/>
            <w:tcBorders>
              <w:bottom w:val="nil"/>
            </w:tcBorders>
            <w:vAlign w:val="top"/>
          </w:tcPr>
          <w:p w14:paraId="0C58CD28">
            <w:pPr>
              <w:spacing w:line="315" w:lineRule="auto"/>
              <w:rPr>
                <w:rFonts w:ascii="Arial"/>
                <w:sz w:val="21"/>
              </w:rPr>
            </w:pPr>
          </w:p>
          <w:p w14:paraId="2213B627">
            <w:pPr>
              <w:spacing w:line="315" w:lineRule="auto"/>
              <w:rPr>
                <w:rFonts w:ascii="Arial"/>
                <w:sz w:val="21"/>
              </w:rPr>
            </w:pPr>
          </w:p>
          <w:p w14:paraId="6F641F67">
            <w:pPr>
              <w:spacing w:line="315" w:lineRule="auto"/>
              <w:rPr>
                <w:rFonts w:ascii="Arial"/>
                <w:sz w:val="21"/>
              </w:rPr>
            </w:pPr>
          </w:p>
          <w:p w14:paraId="05F8DF95">
            <w:pPr>
              <w:pStyle w:val="51"/>
              <w:spacing w:before="55" w:line="229" w:lineRule="auto"/>
              <w:ind w:left="444"/>
              <w:rPr>
                <w:sz w:val="17"/>
                <w:szCs w:val="17"/>
              </w:rPr>
            </w:pPr>
            <w:r>
              <w:rPr>
                <w:spacing w:val="5"/>
                <w:sz w:val="17"/>
                <w:szCs w:val="17"/>
              </w:rPr>
              <w:t>畜副产品</w:t>
            </w:r>
          </w:p>
        </w:tc>
        <w:tc>
          <w:tcPr>
            <w:tcW w:w="1586" w:type="dxa"/>
            <w:vAlign w:val="top"/>
          </w:tcPr>
          <w:p w14:paraId="4916286A">
            <w:pPr>
              <w:pStyle w:val="51"/>
              <w:spacing w:before="241" w:line="227" w:lineRule="auto"/>
              <w:ind w:left="622"/>
              <w:rPr>
                <w:sz w:val="17"/>
                <w:szCs w:val="17"/>
              </w:rPr>
            </w:pPr>
            <w:r>
              <w:rPr>
                <w:spacing w:val="3"/>
                <w:sz w:val="17"/>
                <w:szCs w:val="17"/>
              </w:rPr>
              <w:t>猪肝</w:t>
            </w:r>
          </w:p>
        </w:tc>
        <w:tc>
          <w:tcPr>
            <w:tcW w:w="682" w:type="dxa"/>
            <w:vAlign w:val="top"/>
          </w:tcPr>
          <w:p w14:paraId="1706FD7B">
            <w:pPr>
              <w:pStyle w:val="51"/>
              <w:spacing w:before="241" w:line="230" w:lineRule="auto"/>
              <w:ind w:left="267"/>
              <w:rPr>
                <w:sz w:val="17"/>
                <w:szCs w:val="17"/>
              </w:rPr>
            </w:pPr>
            <w:r>
              <w:rPr>
                <w:sz w:val="17"/>
                <w:szCs w:val="17"/>
              </w:rPr>
              <w:t>高</w:t>
            </w:r>
          </w:p>
        </w:tc>
        <w:tc>
          <w:tcPr>
            <w:tcW w:w="8563" w:type="dxa"/>
            <w:vAlign w:val="top"/>
          </w:tcPr>
          <w:p w14:paraId="54C09E9F">
            <w:pPr>
              <w:pStyle w:val="51"/>
              <w:spacing w:before="90" w:line="274" w:lineRule="auto"/>
              <w:ind w:left="40" w:right="60" w:hanging="2"/>
              <w:rPr>
                <w:sz w:val="17"/>
                <w:szCs w:val="17"/>
              </w:rPr>
            </w:pPr>
            <w:r>
              <w:rPr>
                <w:spacing w:val="10"/>
                <w:sz w:val="17"/>
                <w:szCs w:val="17"/>
              </w:rPr>
              <w:t>镉(以</w:t>
            </w:r>
            <w:r>
              <w:rPr>
                <w:sz w:val="17"/>
                <w:szCs w:val="17"/>
              </w:rPr>
              <w:t>Cd</w:t>
            </w:r>
            <w:r>
              <w:rPr>
                <w:spacing w:val="10"/>
                <w:sz w:val="17"/>
                <w:szCs w:val="17"/>
              </w:rPr>
              <w:t>计)、呋喃唑酮代谢物、呋喃西林代谢物、氯霉素、克伦特罗、莱克多巴胺、沙丁胺醇、恩诺</w:t>
            </w:r>
            <w:r>
              <w:rPr>
                <w:spacing w:val="9"/>
                <w:sz w:val="17"/>
                <w:szCs w:val="17"/>
              </w:rPr>
              <w:t>沙星、</w:t>
            </w:r>
            <w:r>
              <w:rPr>
                <w:spacing w:val="2"/>
                <w:sz w:val="17"/>
                <w:szCs w:val="17"/>
              </w:rPr>
              <w:t>磺胺类(总量)、甲氧苄啶、氯丙嗪、</w:t>
            </w:r>
            <w:r>
              <w:rPr>
                <w:spacing w:val="56"/>
                <w:sz w:val="17"/>
                <w:szCs w:val="17"/>
              </w:rPr>
              <w:t xml:space="preserve"> </w:t>
            </w:r>
            <w:r>
              <w:rPr>
                <w:spacing w:val="2"/>
                <w:sz w:val="17"/>
                <w:szCs w:val="17"/>
              </w:rPr>
              <w:t>双氯芬酸</w:t>
            </w:r>
          </w:p>
        </w:tc>
      </w:tr>
      <w:tr w14:paraId="07C1D3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459" w:type="dxa"/>
            <w:vMerge w:val="continue"/>
            <w:tcBorders>
              <w:top w:val="nil"/>
              <w:bottom w:val="nil"/>
            </w:tcBorders>
            <w:vAlign w:val="top"/>
          </w:tcPr>
          <w:p w14:paraId="30477EF6">
            <w:pPr>
              <w:rPr>
                <w:rFonts w:ascii="Arial"/>
                <w:sz w:val="21"/>
              </w:rPr>
            </w:pPr>
          </w:p>
        </w:tc>
        <w:tc>
          <w:tcPr>
            <w:tcW w:w="942" w:type="dxa"/>
            <w:vMerge w:val="continue"/>
            <w:tcBorders>
              <w:top w:val="nil"/>
              <w:bottom w:val="nil"/>
            </w:tcBorders>
            <w:vAlign w:val="top"/>
          </w:tcPr>
          <w:p w14:paraId="379888CF">
            <w:pPr>
              <w:rPr>
                <w:rFonts w:ascii="Arial"/>
                <w:sz w:val="21"/>
              </w:rPr>
            </w:pPr>
          </w:p>
        </w:tc>
        <w:tc>
          <w:tcPr>
            <w:tcW w:w="1360" w:type="dxa"/>
            <w:vMerge w:val="continue"/>
            <w:tcBorders>
              <w:top w:val="nil"/>
              <w:bottom w:val="nil"/>
            </w:tcBorders>
            <w:vAlign w:val="top"/>
          </w:tcPr>
          <w:p w14:paraId="3EFF502A">
            <w:pPr>
              <w:rPr>
                <w:rFonts w:ascii="Arial"/>
                <w:sz w:val="21"/>
              </w:rPr>
            </w:pPr>
          </w:p>
        </w:tc>
        <w:tc>
          <w:tcPr>
            <w:tcW w:w="1581" w:type="dxa"/>
            <w:vMerge w:val="continue"/>
            <w:tcBorders>
              <w:top w:val="nil"/>
              <w:bottom w:val="nil"/>
            </w:tcBorders>
            <w:vAlign w:val="top"/>
          </w:tcPr>
          <w:p w14:paraId="73BF0484">
            <w:pPr>
              <w:rPr>
                <w:rFonts w:ascii="Arial"/>
                <w:sz w:val="21"/>
              </w:rPr>
            </w:pPr>
          </w:p>
        </w:tc>
        <w:tc>
          <w:tcPr>
            <w:tcW w:w="1586" w:type="dxa"/>
            <w:vAlign w:val="top"/>
          </w:tcPr>
          <w:p w14:paraId="2E80BE78">
            <w:pPr>
              <w:pStyle w:val="51"/>
              <w:spacing w:before="139" w:line="228" w:lineRule="auto"/>
              <w:ind w:left="622"/>
              <w:rPr>
                <w:sz w:val="17"/>
                <w:szCs w:val="17"/>
              </w:rPr>
            </w:pPr>
            <w:r>
              <w:rPr>
                <w:spacing w:val="3"/>
                <w:sz w:val="17"/>
                <w:szCs w:val="17"/>
              </w:rPr>
              <w:t>牛肝</w:t>
            </w:r>
          </w:p>
        </w:tc>
        <w:tc>
          <w:tcPr>
            <w:tcW w:w="682" w:type="dxa"/>
            <w:vAlign w:val="top"/>
          </w:tcPr>
          <w:p w14:paraId="074CB7B3">
            <w:pPr>
              <w:pStyle w:val="51"/>
              <w:spacing w:before="140" w:line="230" w:lineRule="auto"/>
              <w:ind w:left="267"/>
              <w:rPr>
                <w:sz w:val="17"/>
                <w:szCs w:val="17"/>
              </w:rPr>
            </w:pPr>
            <w:r>
              <w:rPr>
                <w:sz w:val="17"/>
                <w:szCs w:val="17"/>
              </w:rPr>
              <w:t>高</w:t>
            </w:r>
          </w:p>
        </w:tc>
        <w:tc>
          <w:tcPr>
            <w:tcW w:w="8563" w:type="dxa"/>
            <w:vAlign w:val="top"/>
          </w:tcPr>
          <w:p w14:paraId="4C5E2D7C">
            <w:pPr>
              <w:pStyle w:val="51"/>
              <w:spacing w:before="139" w:line="228" w:lineRule="auto"/>
              <w:ind w:left="42"/>
              <w:rPr>
                <w:sz w:val="17"/>
                <w:szCs w:val="17"/>
              </w:rPr>
            </w:pPr>
            <w:r>
              <w:rPr>
                <w:spacing w:val="8"/>
                <w:sz w:val="17"/>
                <w:szCs w:val="17"/>
              </w:rPr>
              <w:t>克伦特罗、莱克多巴胺、沙丁胺醇</w:t>
            </w:r>
          </w:p>
        </w:tc>
      </w:tr>
      <w:tr w14:paraId="5FD246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459" w:type="dxa"/>
            <w:vMerge w:val="continue"/>
            <w:tcBorders>
              <w:top w:val="nil"/>
              <w:bottom w:val="nil"/>
            </w:tcBorders>
            <w:vAlign w:val="top"/>
          </w:tcPr>
          <w:p w14:paraId="5E326831">
            <w:pPr>
              <w:rPr>
                <w:rFonts w:ascii="Arial"/>
                <w:sz w:val="21"/>
              </w:rPr>
            </w:pPr>
          </w:p>
        </w:tc>
        <w:tc>
          <w:tcPr>
            <w:tcW w:w="942" w:type="dxa"/>
            <w:vMerge w:val="continue"/>
            <w:tcBorders>
              <w:top w:val="nil"/>
              <w:bottom w:val="nil"/>
            </w:tcBorders>
            <w:vAlign w:val="top"/>
          </w:tcPr>
          <w:p w14:paraId="24C290C2">
            <w:pPr>
              <w:rPr>
                <w:rFonts w:ascii="Arial"/>
                <w:sz w:val="21"/>
              </w:rPr>
            </w:pPr>
          </w:p>
        </w:tc>
        <w:tc>
          <w:tcPr>
            <w:tcW w:w="1360" w:type="dxa"/>
            <w:vMerge w:val="continue"/>
            <w:tcBorders>
              <w:top w:val="nil"/>
              <w:bottom w:val="nil"/>
            </w:tcBorders>
            <w:vAlign w:val="top"/>
          </w:tcPr>
          <w:p w14:paraId="64FEF817">
            <w:pPr>
              <w:rPr>
                <w:rFonts w:ascii="Arial"/>
                <w:sz w:val="21"/>
              </w:rPr>
            </w:pPr>
          </w:p>
        </w:tc>
        <w:tc>
          <w:tcPr>
            <w:tcW w:w="1581" w:type="dxa"/>
            <w:vMerge w:val="continue"/>
            <w:tcBorders>
              <w:top w:val="nil"/>
              <w:bottom w:val="nil"/>
            </w:tcBorders>
            <w:vAlign w:val="top"/>
          </w:tcPr>
          <w:p w14:paraId="2400873B">
            <w:pPr>
              <w:rPr>
                <w:rFonts w:ascii="Arial"/>
                <w:sz w:val="21"/>
              </w:rPr>
            </w:pPr>
          </w:p>
        </w:tc>
        <w:tc>
          <w:tcPr>
            <w:tcW w:w="1586" w:type="dxa"/>
            <w:vAlign w:val="top"/>
          </w:tcPr>
          <w:p w14:paraId="2DF93765">
            <w:pPr>
              <w:pStyle w:val="51"/>
              <w:spacing w:before="138" w:line="227" w:lineRule="auto"/>
              <w:ind w:left="627"/>
              <w:rPr>
                <w:sz w:val="17"/>
                <w:szCs w:val="17"/>
              </w:rPr>
            </w:pPr>
            <w:r>
              <w:rPr>
                <w:sz w:val="17"/>
                <w:szCs w:val="17"/>
              </w:rPr>
              <w:t>羊肝</w:t>
            </w:r>
          </w:p>
        </w:tc>
        <w:tc>
          <w:tcPr>
            <w:tcW w:w="682" w:type="dxa"/>
            <w:vAlign w:val="top"/>
          </w:tcPr>
          <w:p w14:paraId="39F60441">
            <w:pPr>
              <w:pStyle w:val="51"/>
              <w:spacing w:before="138" w:line="230" w:lineRule="auto"/>
              <w:ind w:left="267"/>
              <w:rPr>
                <w:sz w:val="17"/>
                <w:szCs w:val="17"/>
              </w:rPr>
            </w:pPr>
            <w:r>
              <w:rPr>
                <w:sz w:val="17"/>
                <w:szCs w:val="17"/>
              </w:rPr>
              <w:t>高</w:t>
            </w:r>
          </w:p>
        </w:tc>
        <w:tc>
          <w:tcPr>
            <w:tcW w:w="8563" w:type="dxa"/>
            <w:vAlign w:val="top"/>
          </w:tcPr>
          <w:p w14:paraId="65F88425">
            <w:pPr>
              <w:pStyle w:val="51"/>
              <w:spacing w:before="138" w:line="228" w:lineRule="auto"/>
              <w:ind w:left="42"/>
              <w:rPr>
                <w:sz w:val="17"/>
                <w:szCs w:val="17"/>
              </w:rPr>
            </w:pPr>
            <w:r>
              <w:rPr>
                <w:spacing w:val="8"/>
                <w:sz w:val="17"/>
                <w:szCs w:val="17"/>
              </w:rPr>
              <w:t>克伦特罗、莱克多巴胺、沙丁胺醇</w:t>
            </w:r>
          </w:p>
        </w:tc>
      </w:tr>
      <w:tr w14:paraId="2D8451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459" w:type="dxa"/>
            <w:vMerge w:val="continue"/>
            <w:tcBorders>
              <w:top w:val="nil"/>
              <w:bottom w:val="nil"/>
            </w:tcBorders>
            <w:vAlign w:val="top"/>
          </w:tcPr>
          <w:p w14:paraId="79D4B3FF">
            <w:pPr>
              <w:rPr>
                <w:rFonts w:ascii="Arial"/>
                <w:sz w:val="21"/>
              </w:rPr>
            </w:pPr>
          </w:p>
        </w:tc>
        <w:tc>
          <w:tcPr>
            <w:tcW w:w="942" w:type="dxa"/>
            <w:vMerge w:val="continue"/>
            <w:tcBorders>
              <w:top w:val="nil"/>
              <w:bottom w:val="nil"/>
            </w:tcBorders>
            <w:vAlign w:val="top"/>
          </w:tcPr>
          <w:p w14:paraId="227927DB">
            <w:pPr>
              <w:rPr>
                <w:rFonts w:ascii="Arial"/>
                <w:sz w:val="21"/>
              </w:rPr>
            </w:pPr>
          </w:p>
        </w:tc>
        <w:tc>
          <w:tcPr>
            <w:tcW w:w="1360" w:type="dxa"/>
            <w:vMerge w:val="continue"/>
            <w:tcBorders>
              <w:top w:val="nil"/>
              <w:bottom w:val="nil"/>
            </w:tcBorders>
            <w:vAlign w:val="top"/>
          </w:tcPr>
          <w:p w14:paraId="2A7A03E8">
            <w:pPr>
              <w:rPr>
                <w:rFonts w:ascii="Arial"/>
                <w:sz w:val="21"/>
              </w:rPr>
            </w:pPr>
          </w:p>
        </w:tc>
        <w:tc>
          <w:tcPr>
            <w:tcW w:w="1581" w:type="dxa"/>
            <w:vMerge w:val="continue"/>
            <w:tcBorders>
              <w:top w:val="nil"/>
              <w:bottom w:val="nil"/>
            </w:tcBorders>
            <w:vAlign w:val="top"/>
          </w:tcPr>
          <w:p w14:paraId="3F22C200">
            <w:pPr>
              <w:rPr>
                <w:rFonts w:ascii="Arial"/>
                <w:sz w:val="21"/>
              </w:rPr>
            </w:pPr>
          </w:p>
        </w:tc>
        <w:tc>
          <w:tcPr>
            <w:tcW w:w="1586" w:type="dxa"/>
            <w:vAlign w:val="top"/>
          </w:tcPr>
          <w:p w14:paraId="1C5809B1">
            <w:pPr>
              <w:pStyle w:val="51"/>
              <w:spacing w:before="139" w:line="227" w:lineRule="auto"/>
              <w:ind w:left="622"/>
              <w:rPr>
                <w:sz w:val="17"/>
                <w:szCs w:val="17"/>
              </w:rPr>
            </w:pPr>
            <w:r>
              <w:rPr>
                <w:spacing w:val="3"/>
                <w:sz w:val="17"/>
                <w:szCs w:val="17"/>
              </w:rPr>
              <w:t>猪肾</w:t>
            </w:r>
          </w:p>
        </w:tc>
        <w:tc>
          <w:tcPr>
            <w:tcW w:w="682" w:type="dxa"/>
            <w:vAlign w:val="top"/>
          </w:tcPr>
          <w:p w14:paraId="79E0BA49">
            <w:pPr>
              <w:pStyle w:val="51"/>
              <w:spacing w:before="139" w:line="230" w:lineRule="auto"/>
              <w:ind w:left="267"/>
              <w:rPr>
                <w:sz w:val="17"/>
                <w:szCs w:val="17"/>
              </w:rPr>
            </w:pPr>
            <w:r>
              <w:rPr>
                <w:sz w:val="17"/>
                <w:szCs w:val="17"/>
              </w:rPr>
              <w:t>高</w:t>
            </w:r>
          </w:p>
        </w:tc>
        <w:tc>
          <w:tcPr>
            <w:tcW w:w="8563" w:type="dxa"/>
            <w:vAlign w:val="top"/>
          </w:tcPr>
          <w:p w14:paraId="458761F2">
            <w:pPr>
              <w:pStyle w:val="51"/>
              <w:spacing w:before="139" w:line="227" w:lineRule="auto"/>
              <w:ind w:left="45"/>
              <w:rPr>
                <w:sz w:val="17"/>
                <w:szCs w:val="17"/>
              </w:rPr>
            </w:pPr>
            <w:r>
              <w:rPr>
                <w:spacing w:val="9"/>
                <w:sz w:val="17"/>
                <w:szCs w:val="17"/>
              </w:rPr>
              <w:t>呋喃西林代谢物、氯霉素、克伦特罗、莱克多巴胺、沙丁胺醇、恩诺沙星、磺胺类(总量)、甲氧苄啶</w:t>
            </w:r>
          </w:p>
        </w:tc>
      </w:tr>
      <w:tr w14:paraId="2E7D04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7" w:hRule="atLeast"/>
        </w:trPr>
        <w:tc>
          <w:tcPr>
            <w:tcW w:w="459" w:type="dxa"/>
            <w:vMerge w:val="continue"/>
            <w:tcBorders>
              <w:top w:val="nil"/>
            </w:tcBorders>
            <w:vAlign w:val="top"/>
          </w:tcPr>
          <w:p w14:paraId="4602ECA5">
            <w:pPr>
              <w:rPr>
                <w:rFonts w:ascii="Arial"/>
                <w:sz w:val="21"/>
              </w:rPr>
            </w:pPr>
          </w:p>
        </w:tc>
        <w:tc>
          <w:tcPr>
            <w:tcW w:w="942" w:type="dxa"/>
            <w:vMerge w:val="continue"/>
            <w:tcBorders>
              <w:top w:val="nil"/>
            </w:tcBorders>
            <w:vAlign w:val="top"/>
          </w:tcPr>
          <w:p w14:paraId="65A68640">
            <w:pPr>
              <w:rPr>
                <w:rFonts w:ascii="Arial"/>
                <w:sz w:val="21"/>
              </w:rPr>
            </w:pPr>
          </w:p>
        </w:tc>
        <w:tc>
          <w:tcPr>
            <w:tcW w:w="1360" w:type="dxa"/>
            <w:vMerge w:val="continue"/>
            <w:tcBorders>
              <w:top w:val="nil"/>
            </w:tcBorders>
            <w:vAlign w:val="top"/>
          </w:tcPr>
          <w:p w14:paraId="47AFC71B">
            <w:pPr>
              <w:rPr>
                <w:rFonts w:ascii="Arial"/>
                <w:sz w:val="21"/>
              </w:rPr>
            </w:pPr>
          </w:p>
        </w:tc>
        <w:tc>
          <w:tcPr>
            <w:tcW w:w="1581" w:type="dxa"/>
            <w:vMerge w:val="continue"/>
            <w:tcBorders>
              <w:top w:val="nil"/>
            </w:tcBorders>
            <w:vAlign w:val="top"/>
          </w:tcPr>
          <w:p w14:paraId="35B99B1E">
            <w:pPr>
              <w:rPr>
                <w:rFonts w:ascii="Arial"/>
                <w:sz w:val="21"/>
              </w:rPr>
            </w:pPr>
          </w:p>
        </w:tc>
        <w:tc>
          <w:tcPr>
            <w:tcW w:w="1586" w:type="dxa"/>
            <w:vAlign w:val="top"/>
          </w:tcPr>
          <w:p w14:paraId="00E1577C">
            <w:pPr>
              <w:pStyle w:val="51"/>
              <w:spacing w:before="89" w:line="225" w:lineRule="auto"/>
              <w:ind w:left="622"/>
              <w:rPr>
                <w:sz w:val="17"/>
                <w:szCs w:val="17"/>
              </w:rPr>
            </w:pPr>
            <w:r>
              <w:rPr>
                <w:spacing w:val="3"/>
                <w:sz w:val="17"/>
                <w:szCs w:val="17"/>
              </w:rPr>
              <w:t>牛肾</w:t>
            </w:r>
          </w:p>
        </w:tc>
        <w:tc>
          <w:tcPr>
            <w:tcW w:w="682" w:type="dxa"/>
            <w:vAlign w:val="top"/>
          </w:tcPr>
          <w:p w14:paraId="1C224A40">
            <w:pPr>
              <w:pStyle w:val="51"/>
              <w:spacing w:before="89" w:line="225" w:lineRule="auto"/>
              <w:ind w:left="267"/>
              <w:rPr>
                <w:sz w:val="17"/>
                <w:szCs w:val="17"/>
              </w:rPr>
            </w:pPr>
            <w:r>
              <w:rPr>
                <w:sz w:val="17"/>
                <w:szCs w:val="17"/>
              </w:rPr>
              <w:t>高</w:t>
            </w:r>
          </w:p>
        </w:tc>
        <w:tc>
          <w:tcPr>
            <w:tcW w:w="8563" w:type="dxa"/>
            <w:vAlign w:val="top"/>
          </w:tcPr>
          <w:p w14:paraId="4E19511D">
            <w:pPr>
              <w:pStyle w:val="51"/>
              <w:spacing w:before="89" w:line="225" w:lineRule="auto"/>
              <w:ind w:left="42"/>
              <w:rPr>
                <w:sz w:val="17"/>
                <w:szCs w:val="17"/>
              </w:rPr>
            </w:pPr>
            <w:r>
              <w:rPr>
                <w:spacing w:val="4"/>
                <w:sz w:val="17"/>
                <w:szCs w:val="17"/>
              </w:rPr>
              <w:t>克伦特罗、莱克多巴胺、沙丁胺醇、恩诺沙星、</w:t>
            </w:r>
            <w:r>
              <w:rPr>
                <w:spacing w:val="53"/>
                <w:sz w:val="17"/>
                <w:szCs w:val="17"/>
              </w:rPr>
              <w:t xml:space="preserve"> </w:t>
            </w:r>
            <w:r>
              <w:rPr>
                <w:spacing w:val="4"/>
                <w:sz w:val="17"/>
                <w:szCs w:val="17"/>
              </w:rPr>
              <w:t>磺胺类(总量)</w:t>
            </w:r>
          </w:p>
        </w:tc>
      </w:tr>
    </w:tbl>
    <w:p w14:paraId="3E8403F5">
      <w:pPr>
        <w:rPr>
          <w:rFonts w:ascii="Arial"/>
          <w:sz w:val="21"/>
        </w:rPr>
      </w:pPr>
    </w:p>
    <w:p w14:paraId="2FD70BCC">
      <w:pPr>
        <w:rPr>
          <w:rFonts w:ascii="Arial" w:hAnsi="Arial" w:eastAsia="Arial" w:cs="Arial"/>
          <w:sz w:val="21"/>
          <w:szCs w:val="21"/>
        </w:rPr>
        <w:sectPr>
          <w:pgSz w:w="16838" w:h="11906"/>
          <w:pgMar w:top="1011" w:right="829" w:bottom="400" w:left="363" w:header="567" w:footer="567" w:gutter="0"/>
          <w:pgNumType w:fmt="decimal"/>
          <w:cols w:space="720" w:num="1"/>
        </w:sectPr>
      </w:pPr>
    </w:p>
    <w:p w14:paraId="2EA1E510">
      <w:pPr>
        <w:spacing w:before="18"/>
      </w:pPr>
    </w:p>
    <w:p w14:paraId="37853C22">
      <w:pPr>
        <w:spacing w:before="18"/>
      </w:pPr>
    </w:p>
    <w:tbl>
      <w:tblPr>
        <w:tblStyle w:val="50"/>
        <w:tblW w:w="15173" w:type="dxa"/>
        <w:tblInd w:w="46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59"/>
        <w:gridCol w:w="942"/>
        <w:gridCol w:w="1360"/>
        <w:gridCol w:w="1581"/>
        <w:gridCol w:w="1586"/>
        <w:gridCol w:w="682"/>
        <w:gridCol w:w="8563"/>
      </w:tblGrid>
      <w:tr w14:paraId="314D42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459" w:type="dxa"/>
            <w:vAlign w:val="top"/>
          </w:tcPr>
          <w:p w14:paraId="70F05B31">
            <w:pPr>
              <w:spacing w:before="241" w:line="234" w:lineRule="auto"/>
              <w:ind w:left="52"/>
              <w:rPr>
                <w:rFonts w:ascii="黑体" w:hAnsi="黑体" w:eastAsia="黑体" w:cs="黑体"/>
                <w:sz w:val="17"/>
                <w:szCs w:val="17"/>
              </w:rPr>
            </w:pPr>
            <w:r>
              <w:rPr>
                <w:rFonts w:ascii="黑体" w:hAnsi="黑体" w:eastAsia="黑体" w:cs="黑体"/>
                <w:spacing w:val="6"/>
                <w:sz w:val="17"/>
                <w:szCs w:val="17"/>
              </w:rPr>
              <w:t>序号</w:t>
            </w:r>
          </w:p>
        </w:tc>
        <w:tc>
          <w:tcPr>
            <w:tcW w:w="942" w:type="dxa"/>
            <w:vAlign w:val="top"/>
          </w:tcPr>
          <w:p w14:paraId="6442179B">
            <w:pPr>
              <w:spacing w:before="90" w:line="232" w:lineRule="auto"/>
              <w:ind w:left="111"/>
              <w:rPr>
                <w:rFonts w:ascii="黑体" w:hAnsi="黑体" w:eastAsia="黑体" w:cs="黑体"/>
                <w:sz w:val="17"/>
                <w:szCs w:val="17"/>
              </w:rPr>
            </w:pPr>
            <w:r>
              <w:rPr>
                <w:rFonts w:ascii="黑体" w:hAnsi="黑体" w:eastAsia="黑体" w:cs="黑体"/>
                <w:spacing w:val="8"/>
                <w:sz w:val="17"/>
                <w:szCs w:val="17"/>
              </w:rPr>
              <w:t>食品大类</w:t>
            </w:r>
          </w:p>
          <w:p w14:paraId="623FCD89">
            <w:pPr>
              <w:spacing w:before="86" w:line="227" w:lineRule="auto"/>
              <w:ind w:left="237"/>
              <w:rPr>
                <w:rFonts w:ascii="黑体" w:hAnsi="黑体" w:eastAsia="黑体" w:cs="黑体"/>
                <w:sz w:val="17"/>
                <w:szCs w:val="17"/>
              </w:rPr>
            </w:pPr>
            <w:r>
              <w:rPr>
                <w:rFonts w:ascii="黑体" w:hAnsi="黑体" w:eastAsia="黑体" w:cs="黑体"/>
                <w:spacing w:val="-4"/>
                <w:sz w:val="17"/>
                <w:szCs w:val="17"/>
              </w:rPr>
              <w:t>(一级)</w:t>
            </w:r>
          </w:p>
        </w:tc>
        <w:tc>
          <w:tcPr>
            <w:tcW w:w="1360" w:type="dxa"/>
            <w:vAlign w:val="top"/>
          </w:tcPr>
          <w:p w14:paraId="46798D5B">
            <w:pPr>
              <w:spacing w:before="90" w:line="232" w:lineRule="auto"/>
              <w:ind w:left="321"/>
              <w:rPr>
                <w:rFonts w:ascii="黑体" w:hAnsi="黑体" w:eastAsia="黑体" w:cs="黑体"/>
                <w:sz w:val="17"/>
                <w:szCs w:val="17"/>
              </w:rPr>
            </w:pPr>
            <w:r>
              <w:rPr>
                <w:rFonts w:ascii="黑体" w:hAnsi="黑体" w:eastAsia="黑体" w:cs="黑体"/>
                <w:spacing w:val="8"/>
                <w:sz w:val="17"/>
                <w:szCs w:val="17"/>
              </w:rPr>
              <w:t>食品亚类</w:t>
            </w:r>
          </w:p>
          <w:p w14:paraId="50062CDF">
            <w:pPr>
              <w:spacing w:before="86" w:line="227" w:lineRule="auto"/>
              <w:ind w:left="444"/>
              <w:rPr>
                <w:rFonts w:ascii="黑体" w:hAnsi="黑体" w:eastAsia="黑体" w:cs="黑体"/>
                <w:sz w:val="17"/>
                <w:szCs w:val="17"/>
              </w:rPr>
            </w:pPr>
            <w:r>
              <w:rPr>
                <w:rFonts w:ascii="黑体" w:hAnsi="黑体" w:eastAsia="黑体" w:cs="黑体"/>
                <w:spacing w:val="-3"/>
                <w:sz w:val="17"/>
                <w:szCs w:val="17"/>
              </w:rPr>
              <w:t>(二级)</w:t>
            </w:r>
          </w:p>
        </w:tc>
        <w:tc>
          <w:tcPr>
            <w:tcW w:w="1581" w:type="dxa"/>
            <w:vAlign w:val="top"/>
          </w:tcPr>
          <w:p w14:paraId="758F6582">
            <w:pPr>
              <w:spacing w:before="90" w:line="232" w:lineRule="auto"/>
              <w:ind w:left="433"/>
              <w:rPr>
                <w:rFonts w:ascii="黑体" w:hAnsi="黑体" w:eastAsia="黑体" w:cs="黑体"/>
                <w:sz w:val="17"/>
                <w:szCs w:val="17"/>
              </w:rPr>
            </w:pPr>
            <w:r>
              <w:rPr>
                <w:rFonts w:ascii="黑体" w:hAnsi="黑体" w:eastAsia="黑体" w:cs="黑体"/>
                <w:spacing w:val="8"/>
                <w:sz w:val="17"/>
                <w:szCs w:val="17"/>
              </w:rPr>
              <w:t>食品品种</w:t>
            </w:r>
          </w:p>
          <w:p w14:paraId="77110B07">
            <w:pPr>
              <w:spacing w:before="86" w:line="227" w:lineRule="auto"/>
              <w:ind w:left="558"/>
              <w:rPr>
                <w:rFonts w:ascii="黑体" w:hAnsi="黑体" w:eastAsia="黑体" w:cs="黑体"/>
                <w:sz w:val="17"/>
                <w:szCs w:val="17"/>
              </w:rPr>
            </w:pPr>
            <w:r>
              <w:rPr>
                <w:rFonts w:ascii="黑体" w:hAnsi="黑体" w:eastAsia="黑体" w:cs="黑体"/>
                <w:spacing w:val="-4"/>
                <w:sz w:val="17"/>
                <w:szCs w:val="17"/>
              </w:rPr>
              <w:t>(三级)</w:t>
            </w:r>
          </w:p>
        </w:tc>
        <w:tc>
          <w:tcPr>
            <w:tcW w:w="1586" w:type="dxa"/>
            <w:vAlign w:val="top"/>
          </w:tcPr>
          <w:p w14:paraId="1CF847B4">
            <w:pPr>
              <w:spacing w:before="90" w:line="232" w:lineRule="auto"/>
              <w:ind w:left="436"/>
              <w:rPr>
                <w:rFonts w:ascii="黑体" w:hAnsi="黑体" w:eastAsia="黑体" w:cs="黑体"/>
                <w:sz w:val="17"/>
                <w:szCs w:val="17"/>
              </w:rPr>
            </w:pPr>
            <w:r>
              <w:rPr>
                <w:rFonts w:ascii="黑体" w:hAnsi="黑体" w:eastAsia="黑体" w:cs="黑体"/>
                <w:spacing w:val="8"/>
                <w:sz w:val="17"/>
                <w:szCs w:val="17"/>
              </w:rPr>
              <w:t>食品细类</w:t>
            </w:r>
          </w:p>
          <w:p w14:paraId="6AC89E80">
            <w:pPr>
              <w:spacing w:before="86" w:line="227" w:lineRule="auto"/>
              <w:ind w:left="561"/>
              <w:rPr>
                <w:rFonts w:ascii="黑体" w:hAnsi="黑体" w:eastAsia="黑体" w:cs="黑体"/>
                <w:sz w:val="17"/>
                <w:szCs w:val="17"/>
              </w:rPr>
            </w:pPr>
            <w:r>
              <w:rPr>
                <w:rFonts w:ascii="黑体" w:hAnsi="黑体" w:eastAsia="黑体" w:cs="黑体"/>
                <w:spacing w:val="-4"/>
                <w:sz w:val="17"/>
                <w:szCs w:val="17"/>
              </w:rPr>
              <w:t>(四级)</w:t>
            </w:r>
          </w:p>
        </w:tc>
        <w:tc>
          <w:tcPr>
            <w:tcW w:w="682" w:type="dxa"/>
            <w:vAlign w:val="top"/>
          </w:tcPr>
          <w:p w14:paraId="7BDE567A">
            <w:pPr>
              <w:spacing w:before="89" w:line="233" w:lineRule="auto"/>
              <w:ind w:left="166"/>
              <w:rPr>
                <w:rFonts w:ascii="黑体" w:hAnsi="黑体" w:eastAsia="黑体" w:cs="黑体"/>
                <w:sz w:val="17"/>
                <w:szCs w:val="17"/>
              </w:rPr>
            </w:pPr>
            <w:r>
              <w:rPr>
                <w:rFonts w:ascii="黑体" w:hAnsi="黑体" w:eastAsia="黑体" w:cs="黑体"/>
                <w:spacing w:val="6"/>
                <w:sz w:val="17"/>
                <w:szCs w:val="17"/>
              </w:rPr>
              <w:t>风险</w:t>
            </w:r>
          </w:p>
          <w:p w14:paraId="160C733C">
            <w:pPr>
              <w:spacing w:before="85" w:line="227" w:lineRule="auto"/>
              <w:ind w:left="163"/>
              <w:rPr>
                <w:rFonts w:ascii="黑体" w:hAnsi="黑体" w:eastAsia="黑体" w:cs="黑体"/>
                <w:sz w:val="17"/>
                <w:szCs w:val="17"/>
              </w:rPr>
            </w:pPr>
            <w:r>
              <w:rPr>
                <w:rFonts w:ascii="黑体" w:hAnsi="黑体" w:eastAsia="黑体" w:cs="黑体"/>
                <w:spacing w:val="7"/>
                <w:sz w:val="17"/>
                <w:szCs w:val="17"/>
              </w:rPr>
              <w:t>等级</w:t>
            </w:r>
          </w:p>
        </w:tc>
        <w:tc>
          <w:tcPr>
            <w:tcW w:w="8563" w:type="dxa"/>
            <w:vAlign w:val="top"/>
          </w:tcPr>
          <w:p w14:paraId="0C2A1007">
            <w:pPr>
              <w:spacing w:before="241" w:line="232" w:lineRule="auto"/>
              <w:ind w:left="3744"/>
              <w:rPr>
                <w:rFonts w:ascii="黑体" w:hAnsi="黑体" w:eastAsia="黑体" w:cs="黑体"/>
                <w:sz w:val="17"/>
                <w:szCs w:val="17"/>
              </w:rPr>
            </w:pPr>
            <w:r>
              <w:rPr>
                <w:rFonts w:ascii="黑体" w:hAnsi="黑体" w:eastAsia="黑体" w:cs="黑体"/>
                <w:spacing w:val="8"/>
                <w:sz w:val="17"/>
                <w:szCs w:val="17"/>
              </w:rPr>
              <w:t>监督抽检项目</w:t>
            </w:r>
          </w:p>
        </w:tc>
      </w:tr>
      <w:tr w14:paraId="10DD9C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5" w:hRule="atLeast"/>
        </w:trPr>
        <w:tc>
          <w:tcPr>
            <w:tcW w:w="459" w:type="dxa"/>
            <w:vMerge w:val="restart"/>
            <w:tcBorders>
              <w:bottom w:val="nil"/>
            </w:tcBorders>
            <w:vAlign w:val="top"/>
          </w:tcPr>
          <w:p w14:paraId="0B7D3BB2">
            <w:pPr>
              <w:rPr>
                <w:rFonts w:ascii="Arial"/>
                <w:sz w:val="21"/>
              </w:rPr>
            </w:pPr>
          </w:p>
        </w:tc>
        <w:tc>
          <w:tcPr>
            <w:tcW w:w="942" w:type="dxa"/>
            <w:vMerge w:val="restart"/>
            <w:tcBorders>
              <w:bottom w:val="nil"/>
            </w:tcBorders>
            <w:vAlign w:val="top"/>
          </w:tcPr>
          <w:p w14:paraId="26B326FB">
            <w:pPr>
              <w:rPr>
                <w:rFonts w:ascii="Arial"/>
                <w:sz w:val="21"/>
              </w:rPr>
            </w:pPr>
          </w:p>
        </w:tc>
        <w:tc>
          <w:tcPr>
            <w:tcW w:w="1360" w:type="dxa"/>
            <w:vMerge w:val="restart"/>
            <w:tcBorders>
              <w:bottom w:val="nil"/>
            </w:tcBorders>
            <w:vAlign w:val="top"/>
          </w:tcPr>
          <w:p w14:paraId="7085FE78">
            <w:pPr>
              <w:rPr>
                <w:rFonts w:ascii="Arial"/>
                <w:sz w:val="21"/>
              </w:rPr>
            </w:pPr>
          </w:p>
        </w:tc>
        <w:tc>
          <w:tcPr>
            <w:tcW w:w="1581" w:type="dxa"/>
            <w:vMerge w:val="restart"/>
            <w:tcBorders>
              <w:bottom w:val="nil"/>
            </w:tcBorders>
            <w:vAlign w:val="top"/>
          </w:tcPr>
          <w:p w14:paraId="1E0B0076">
            <w:pPr>
              <w:rPr>
                <w:rFonts w:ascii="Arial"/>
                <w:sz w:val="21"/>
              </w:rPr>
            </w:pPr>
          </w:p>
        </w:tc>
        <w:tc>
          <w:tcPr>
            <w:tcW w:w="1586" w:type="dxa"/>
            <w:vAlign w:val="top"/>
          </w:tcPr>
          <w:p w14:paraId="35B9446C">
            <w:pPr>
              <w:pStyle w:val="51"/>
              <w:spacing w:before="86" w:line="226" w:lineRule="auto"/>
              <w:ind w:left="627"/>
              <w:rPr>
                <w:sz w:val="17"/>
                <w:szCs w:val="17"/>
              </w:rPr>
            </w:pPr>
            <w:r>
              <w:rPr>
                <w:sz w:val="17"/>
                <w:szCs w:val="17"/>
              </w:rPr>
              <w:t>羊肾</w:t>
            </w:r>
          </w:p>
        </w:tc>
        <w:tc>
          <w:tcPr>
            <w:tcW w:w="682" w:type="dxa"/>
            <w:vAlign w:val="top"/>
          </w:tcPr>
          <w:p w14:paraId="10C6E04A">
            <w:pPr>
              <w:pStyle w:val="51"/>
              <w:spacing w:before="86" w:line="226" w:lineRule="auto"/>
              <w:ind w:left="267"/>
              <w:rPr>
                <w:sz w:val="17"/>
                <w:szCs w:val="17"/>
              </w:rPr>
            </w:pPr>
            <w:r>
              <w:rPr>
                <w:sz w:val="17"/>
                <w:szCs w:val="17"/>
              </w:rPr>
              <w:t>高</w:t>
            </w:r>
          </w:p>
        </w:tc>
        <w:tc>
          <w:tcPr>
            <w:tcW w:w="8563" w:type="dxa"/>
            <w:vAlign w:val="top"/>
          </w:tcPr>
          <w:p w14:paraId="34CECEF0">
            <w:pPr>
              <w:pStyle w:val="51"/>
              <w:spacing w:before="86" w:line="226" w:lineRule="auto"/>
              <w:ind w:left="38"/>
              <w:rPr>
                <w:sz w:val="17"/>
                <w:szCs w:val="17"/>
              </w:rPr>
            </w:pPr>
            <w:r>
              <w:rPr>
                <w:spacing w:val="9"/>
                <w:sz w:val="17"/>
                <w:szCs w:val="17"/>
              </w:rPr>
              <w:t>镉(以</w:t>
            </w:r>
            <w:r>
              <w:rPr>
                <w:sz w:val="17"/>
                <w:szCs w:val="17"/>
              </w:rPr>
              <w:t>Cd</w:t>
            </w:r>
            <w:r>
              <w:rPr>
                <w:spacing w:val="9"/>
                <w:sz w:val="17"/>
                <w:szCs w:val="17"/>
              </w:rPr>
              <w:t>计)、克伦特罗、莱克多巴胺、沙丁胺</w:t>
            </w:r>
            <w:r>
              <w:rPr>
                <w:spacing w:val="8"/>
                <w:sz w:val="17"/>
                <w:szCs w:val="17"/>
              </w:rPr>
              <w:t>醇、恩诺沙星</w:t>
            </w:r>
          </w:p>
        </w:tc>
      </w:tr>
      <w:tr w14:paraId="50AC3D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5" w:hRule="atLeast"/>
        </w:trPr>
        <w:tc>
          <w:tcPr>
            <w:tcW w:w="459" w:type="dxa"/>
            <w:vMerge w:val="continue"/>
            <w:tcBorders>
              <w:top w:val="nil"/>
              <w:bottom w:val="nil"/>
            </w:tcBorders>
            <w:vAlign w:val="top"/>
          </w:tcPr>
          <w:p w14:paraId="5DEAC5D0">
            <w:pPr>
              <w:rPr>
                <w:rFonts w:ascii="Arial"/>
                <w:sz w:val="21"/>
              </w:rPr>
            </w:pPr>
          </w:p>
        </w:tc>
        <w:tc>
          <w:tcPr>
            <w:tcW w:w="942" w:type="dxa"/>
            <w:vMerge w:val="continue"/>
            <w:tcBorders>
              <w:top w:val="nil"/>
              <w:bottom w:val="nil"/>
            </w:tcBorders>
            <w:vAlign w:val="top"/>
          </w:tcPr>
          <w:p w14:paraId="29D6B74F">
            <w:pPr>
              <w:rPr>
                <w:rFonts w:ascii="Arial"/>
                <w:sz w:val="21"/>
              </w:rPr>
            </w:pPr>
          </w:p>
        </w:tc>
        <w:tc>
          <w:tcPr>
            <w:tcW w:w="1360" w:type="dxa"/>
            <w:vMerge w:val="continue"/>
            <w:tcBorders>
              <w:top w:val="nil"/>
              <w:bottom w:val="nil"/>
            </w:tcBorders>
            <w:vAlign w:val="top"/>
          </w:tcPr>
          <w:p w14:paraId="74A6F1B5">
            <w:pPr>
              <w:rPr>
                <w:rFonts w:ascii="Arial"/>
                <w:sz w:val="21"/>
              </w:rPr>
            </w:pPr>
          </w:p>
        </w:tc>
        <w:tc>
          <w:tcPr>
            <w:tcW w:w="1581" w:type="dxa"/>
            <w:vMerge w:val="continue"/>
            <w:tcBorders>
              <w:top w:val="nil"/>
            </w:tcBorders>
            <w:vAlign w:val="top"/>
          </w:tcPr>
          <w:p w14:paraId="079044E8">
            <w:pPr>
              <w:rPr>
                <w:rFonts w:ascii="Arial"/>
                <w:sz w:val="21"/>
              </w:rPr>
            </w:pPr>
          </w:p>
        </w:tc>
        <w:tc>
          <w:tcPr>
            <w:tcW w:w="1586" w:type="dxa"/>
            <w:vAlign w:val="top"/>
          </w:tcPr>
          <w:p w14:paraId="6A739E14">
            <w:pPr>
              <w:pStyle w:val="51"/>
              <w:spacing w:before="85" w:line="227" w:lineRule="auto"/>
              <w:ind w:left="262"/>
              <w:rPr>
                <w:sz w:val="17"/>
                <w:szCs w:val="17"/>
              </w:rPr>
            </w:pPr>
            <w:r>
              <w:rPr>
                <w:spacing w:val="7"/>
                <w:sz w:val="17"/>
                <w:szCs w:val="17"/>
              </w:rPr>
              <w:t>其他畜副产品</w:t>
            </w:r>
          </w:p>
        </w:tc>
        <w:tc>
          <w:tcPr>
            <w:tcW w:w="682" w:type="dxa"/>
            <w:vAlign w:val="top"/>
          </w:tcPr>
          <w:p w14:paraId="6DB1E2FE">
            <w:pPr>
              <w:pStyle w:val="51"/>
              <w:spacing w:before="85" w:line="227" w:lineRule="auto"/>
              <w:ind w:left="267"/>
              <w:rPr>
                <w:sz w:val="17"/>
                <w:szCs w:val="17"/>
              </w:rPr>
            </w:pPr>
            <w:r>
              <w:rPr>
                <w:sz w:val="17"/>
                <w:szCs w:val="17"/>
              </w:rPr>
              <w:t>高</w:t>
            </w:r>
          </w:p>
        </w:tc>
        <w:tc>
          <w:tcPr>
            <w:tcW w:w="8563" w:type="dxa"/>
            <w:vAlign w:val="top"/>
          </w:tcPr>
          <w:p w14:paraId="5BCDCA5E">
            <w:pPr>
              <w:pStyle w:val="51"/>
              <w:spacing w:before="85" w:line="227" w:lineRule="auto"/>
              <w:ind w:left="45"/>
              <w:rPr>
                <w:sz w:val="17"/>
                <w:szCs w:val="17"/>
              </w:rPr>
            </w:pPr>
            <w:r>
              <w:rPr>
                <w:spacing w:val="9"/>
                <w:sz w:val="17"/>
                <w:szCs w:val="17"/>
              </w:rPr>
              <w:t>呋喃唑酮代谢物、呋喃西林代谢物、氯霉素、克伦特罗、莱克多巴胺、沙丁胺醇</w:t>
            </w:r>
          </w:p>
        </w:tc>
      </w:tr>
      <w:tr w14:paraId="599218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5" w:hRule="atLeast"/>
        </w:trPr>
        <w:tc>
          <w:tcPr>
            <w:tcW w:w="459" w:type="dxa"/>
            <w:vMerge w:val="continue"/>
            <w:tcBorders>
              <w:top w:val="nil"/>
              <w:bottom w:val="nil"/>
            </w:tcBorders>
            <w:vAlign w:val="top"/>
          </w:tcPr>
          <w:p w14:paraId="0A815845">
            <w:pPr>
              <w:rPr>
                <w:rFonts w:ascii="Arial"/>
                <w:sz w:val="21"/>
              </w:rPr>
            </w:pPr>
          </w:p>
        </w:tc>
        <w:tc>
          <w:tcPr>
            <w:tcW w:w="942" w:type="dxa"/>
            <w:vMerge w:val="continue"/>
            <w:tcBorders>
              <w:top w:val="nil"/>
              <w:bottom w:val="nil"/>
            </w:tcBorders>
            <w:vAlign w:val="top"/>
          </w:tcPr>
          <w:p w14:paraId="523DC66C">
            <w:pPr>
              <w:rPr>
                <w:rFonts w:ascii="Arial"/>
                <w:sz w:val="21"/>
              </w:rPr>
            </w:pPr>
          </w:p>
        </w:tc>
        <w:tc>
          <w:tcPr>
            <w:tcW w:w="1360" w:type="dxa"/>
            <w:vMerge w:val="continue"/>
            <w:tcBorders>
              <w:top w:val="nil"/>
              <w:bottom w:val="nil"/>
            </w:tcBorders>
            <w:vAlign w:val="top"/>
          </w:tcPr>
          <w:p w14:paraId="3756C646">
            <w:pPr>
              <w:rPr>
                <w:rFonts w:ascii="Arial"/>
                <w:sz w:val="21"/>
              </w:rPr>
            </w:pPr>
          </w:p>
        </w:tc>
        <w:tc>
          <w:tcPr>
            <w:tcW w:w="1581" w:type="dxa"/>
            <w:vMerge w:val="restart"/>
            <w:tcBorders>
              <w:bottom w:val="nil"/>
            </w:tcBorders>
            <w:vAlign w:val="top"/>
          </w:tcPr>
          <w:p w14:paraId="14412C61">
            <w:pPr>
              <w:pStyle w:val="51"/>
              <w:spacing w:before="242" w:line="229" w:lineRule="auto"/>
              <w:ind w:left="439"/>
              <w:rPr>
                <w:sz w:val="17"/>
                <w:szCs w:val="17"/>
              </w:rPr>
            </w:pPr>
            <w:r>
              <w:rPr>
                <w:spacing w:val="6"/>
                <w:sz w:val="17"/>
                <w:szCs w:val="17"/>
              </w:rPr>
              <w:t>禽副产品</w:t>
            </w:r>
          </w:p>
        </w:tc>
        <w:tc>
          <w:tcPr>
            <w:tcW w:w="1586" w:type="dxa"/>
            <w:vAlign w:val="top"/>
          </w:tcPr>
          <w:p w14:paraId="4B0F6BCF">
            <w:pPr>
              <w:pStyle w:val="51"/>
              <w:spacing w:before="87" w:line="225" w:lineRule="auto"/>
              <w:ind w:left="620"/>
              <w:rPr>
                <w:sz w:val="17"/>
                <w:szCs w:val="17"/>
              </w:rPr>
            </w:pPr>
            <w:r>
              <w:rPr>
                <w:spacing w:val="4"/>
                <w:sz w:val="17"/>
                <w:szCs w:val="17"/>
              </w:rPr>
              <w:t>鸡肝</w:t>
            </w:r>
          </w:p>
        </w:tc>
        <w:tc>
          <w:tcPr>
            <w:tcW w:w="682" w:type="dxa"/>
            <w:vAlign w:val="top"/>
          </w:tcPr>
          <w:p w14:paraId="1232E538">
            <w:pPr>
              <w:pStyle w:val="51"/>
              <w:spacing w:before="87" w:line="225" w:lineRule="auto"/>
              <w:ind w:left="267"/>
              <w:rPr>
                <w:sz w:val="17"/>
                <w:szCs w:val="17"/>
              </w:rPr>
            </w:pPr>
            <w:r>
              <w:rPr>
                <w:sz w:val="17"/>
                <w:szCs w:val="17"/>
              </w:rPr>
              <w:t>高</w:t>
            </w:r>
          </w:p>
        </w:tc>
        <w:tc>
          <w:tcPr>
            <w:tcW w:w="8563" w:type="dxa"/>
            <w:vAlign w:val="top"/>
          </w:tcPr>
          <w:p w14:paraId="589A87A9">
            <w:pPr>
              <w:pStyle w:val="51"/>
              <w:spacing w:before="87" w:line="225" w:lineRule="auto"/>
              <w:ind w:left="45"/>
              <w:rPr>
                <w:sz w:val="17"/>
                <w:szCs w:val="17"/>
              </w:rPr>
            </w:pPr>
            <w:r>
              <w:rPr>
                <w:spacing w:val="9"/>
                <w:sz w:val="17"/>
                <w:szCs w:val="17"/>
              </w:rPr>
              <w:t>呋喃唑酮代谢物、呋喃西林代谢物、氯霉素、氧氟沙星、恩诺沙星、环丙氨嗪</w:t>
            </w:r>
          </w:p>
        </w:tc>
      </w:tr>
      <w:tr w14:paraId="701397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5" w:hRule="atLeast"/>
        </w:trPr>
        <w:tc>
          <w:tcPr>
            <w:tcW w:w="459" w:type="dxa"/>
            <w:vMerge w:val="continue"/>
            <w:tcBorders>
              <w:top w:val="nil"/>
            </w:tcBorders>
            <w:vAlign w:val="top"/>
          </w:tcPr>
          <w:p w14:paraId="787840AD">
            <w:pPr>
              <w:rPr>
                <w:rFonts w:ascii="Arial"/>
                <w:sz w:val="21"/>
              </w:rPr>
            </w:pPr>
          </w:p>
        </w:tc>
        <w:tc>
          <w:tcPr>
            <w:tcW w:w="942" w:type="dxa"/>
            <w:vMerge w:val="continue"/>
            <w:tcBorders>
              <w:top w:val="nil"/>
            </w:tcBorders>
            <w:vAlign w:val="top"/>
          </w:tcPr>
          <w:p w14:paraId="087B1F36">
            <w:pPr>
              <w:rPr>
                <w:rFonts w:ascii="Arial"/>
                <w:sz w:val="21"/>
              </w:rPr>
            </w:pPr>
          </w:p>
        </w:tc>
        <w:tc>
          <w:tcPr>
            <w:tcW w:w="1360" w:type="dxa"/>
            <w:vMerge w:val="continue"/>
            <w:tcBorders>
              <w:top w:val="nil"/>
            </w:tcBorders>
            <w:vAlign w:val="top"/>
          </w:tcPr>
          <w:p w14:paraId="5CAB1030">
            <w:pPr>
              <w:rPr>
                <w:rFonts w:ascii="Arial"/>
                <w:sz w:val="21"/>
              </w:rPr>
            </w:pPr>
          </w:p>
        </w:tc>
        <w:tc>
          <w:tcPr>
            <w:tcW w:w="1581" w:type="dxa"/>
            <w:vMerge w:val="continue"/>
            <w:tcBorders>
              <w:top w:val="nil"/>
            </w:tcBorders>
            <w:vAlign w:val="top"/>
          </w:tcPr>
          <w:p w14:paraId="1F35AEE0">
            <w:pPr>
              <w:rPr>
                <w:rFonts w:ascii="Arial"/>
                <w:sz w:val="21"/>
              </w:rPr>
            </w:pPr>
          </w:p>
        </w:tc>
        <w:tc>
          <w:tcPr>
            <w:tcW w:w="1586" w:type="dxa"/>
            <w:vAlign w:val="top"/>
          </w:tcPr>
          <w:p w14:paraId="5C8570D0">
            <w:pPr>
              <w:pStyle w:val="51"/>
              <w:spacing w:before="87" w:line="225" w:lineRule="auto"/>
              <w:ind w:left="262"/>
              <w:rPr>
                <w:sz w:val="17"/>
                <w:szCs w:val="17"/>
              </w:rPr>
            </w:pPr>
            <w:r>
              <w:rPr>
                <w:spacing w:val="7"/>
                <w:sz w:val="17"/>
                <w:szCs w:val="17"/>
              </w:rPr>
              <w:t>其他禽副产品</w:t>
            </w:r>
          </w:p>
        </w:tc>
        <w:tc>
          <w:tcPr>
            <w:tcW w:w="682" w:type="dxa"/>
            <w:vAlign w:val="top"/>
          </w:tcPr>
          <w:p w14:paraId="1F0DCD79">
            <w:pPr>
              <w:pStyle w:val="51"/>
              <w:spacing w:before="87" w:line="225" w:lineRule="auto"/>
              <w:ind w:left="267"/>
              <w:rPr>
                <w:sz w:val="17"/>
                <w:szCs w:val="17"/>
              </w:rPr>
            </w:pPr>
            <w:r>
              <w:rPr>
                <w:sz w:val="17"/>
                <w:szCs w:val="17"/>
              </w:rPr>
              <w:t>高</w:t>
            </w:r>
          </w:p>
        </w:tc>
        <w:tc>
          <w:tcPr>
            <w:tcW w:w="8563" w:type="dxa"/>
            <w:vAlign w:val="top"/>
          </w:tcPr>
          <w:p w14:paraId="2957B572">
            <w:pPr>
              <w:pStyle w:val="51"/>
              <w:spacing w:before="87" w:line="225" w:lineRule="auto"/>
              <w:ind w:left="45"/>
              <w:rPr>
                <w:sz w:val="17"/>
                <w:szCs w:val="17"/>
              </w:rPr>
            </w:pPr>
            <w:r>
              <w:rPr>
                <w:spacing w:val="9"/>
                <w:sz w:val="17"/>
                <w:szCs w:val="17"/>
              </w:rPr>
              <w:t>呋喃唑酮代谢物、呋喃西林代谢物、氯霉素、诺氟沙星</w:t>
            </w:r>
          </w:p>
        </w:tc>
      </w:tr>
      <w:tr w14:paraId="2F5461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459" w:type="dxa"/>
            <w:vMerge w:val="restart"/>
            <w:tcBorders>
              <w:bottom w:val="nil"/>
            </w:tcBorders>
            <w:vAlign w:val="top"/>
          </w:tcPr>
          <w:p w14:paraId="3720FD05">
            <w:pPr>
              <w:spacing w:line="241" w:lineRule="auto"/>
              <w:rPr>
                <w:rFonts w:ascii="Arial"/>
                <w:sz w:val="21"/>
              </w:rPr>
            </w:pPr>
          </w:p>
          <w:p w14:paraId="26CA5BB9">
            <w:pPr>
              <w:spacing w:line="242" w:lineRule="auto"/>
              <w:rPr>
                <w:rFonts w:ascii="Arial"/>
                <w:sz w:val="21"/>
              </w:rPr>
            </w:pPr>
          </w:p>
          <w:p w14:paraId="267EBDD4">
            <w:pPr>
              <w:spacing w:line="242" w:lineRule="auto"/>
              <w:rPr>
                <w:rFonts w:ascii="Arial"/>
                <w:sz w:val="21"/>
              </w:rPr>
            </w:pPr>
          </w:p>
          <w:p w14:paraId="6FA10C35">
            <w:pPr>
              <w:spacing w:line="242" w:lineRule="auto"/>
              <w:rPr>
                <w:rFonts w:ascii="Arial"/>
                <w:sz w:val="21"/>
              </w:rPr>
            </w:pPr>
          </w:p>
          <w:p w14:paraId="469FF4FD">
            <w:pPr>
              <w:spacing w:line="242" w:lineRule="auto"/>
              <w:rPr>
                <w:rFonts w:ascii="Arial"/>
                <w:sz w:val="21"/>
              </w:rPr>
            </w:pPr>
          </w:p>
          <w:p w14:paraId="2AFDF040">
            <w:pPr>
              <w:spacing w:line="242" w:lineRule="auto"/>
              <w:rPr>
                <w:rFonts w:ascii="Arial"/>
                <w:sz w:val="21"/>
              </w:rPr>
            </w:pPr>
          </w:p>
          <w:p w14:paraId="77DE5A45">
            <w:pPr>
              <w:spacing w:line="242" w:lineRule="auto"/>
              <w:rPr>
                <w:rFonts w:ascii="Arial"/>
                <w:sz w:val="21"/>
              </w:rPr>
            </w:pPr>
          </w:p>
          <w:p w14:paraId="1DDD552B">
            <w:pPr>
              <w:spacing w:line="242" w:lineRule="auto"/>
              <w:rPr>
                <w:rFonts w:ascii="Arial"/>
                <w:sz w:val="21"/>
              </w:rPr>
            </w:pPr>
          </w:p>
          <w:p w14:paraId="46C78C8C">
            <w:pPr>
              <w:spacing w:line="242" w:lineRule="auto"/>
              <w:rPr>
                <w:rFonts w:ascii="Arial"/>
                <w:sz w:val="21"/>
              </w:rPr>
            </w:pPr>
          </w:p>
          <w:p w14:paraId="343B7020">
            <w:pPr>
              <w:spacing w:line="242" w:lineRule="auto"/>
              <w:rPr>
                <w:rFonts w:ascii="Arial"/>
                <w:sz w:val="21"/>
              </w:rPr>
            </w:pPr>
          </w:p>
          <w:p w14:paraId="1670E12F">
            <w:pPr>
              <w:spacing w:line="242" w:lineRule="auto"/>
              <w:rPr>
                <w:rFonts w:ascii="Arial"/>
                <w:sz w:val="21"/>
              </w:rPr>
            </w:pPr>
          </w:p>
          <w:p w14:paraId="2195EB9F">
            <w:pPr>
              <w:spacing w:line="242" w:lineRule="auto"/>
              <w:rPr>
                <w:rFonts w:ascii="Arial"/>
                <w:sz w:val="21"/>
              </w:rPr>
            </w:pPr>
          </w:p>
          <w:p w14:paraId="22A9F670">
            <w:pPr>
              <w:pStyle w:val="51"/>
              <w:spacing w:before="55" w:line="228" w:lineRule="exact"/>
              <w:ind w:left="146"/>
              <w:rPr>
                <w:sz w:val="17"/>
                <w:szCs w:val="17"/>
              </w:rPr>
            </w:pPr>
            <w:r>
              <w:rPr>
                <w:spacing w:val="-1"/>
                <w:position w:val="1"/>
                <w:sz w:val="17"/>
                <w:szCs w:val="17"/>
              </w:rPr>
              <w:t>32</w:t>
            </w:r>
          </w:p>
        </w:tc>
        <w:tc>
          <w:tcPr>
            <w:tcW w:w="942" w:type="dxa"/>
            <w:vMerge w:val="restart"/>
            <w:tcBorders>
              <w:bottom w:val="nil"/>
            </w:tcBorders>
            <w:vAlign w:val="top"/>
          </w:tcPr>
          <w:p w14:paraId="2762ACF7">
            <w:pPr>
              <w:spacing w:line="241" w:lineRule="auto"/>
              <w:rPr>
                <w:rFonts w:ascii="Arial"/>
                <w:sz w:val="21"/>
              </w:rPr>
            </w:pPr>
          </w:p>
          <w:p w14:paraId="22B7BED4">
            <w:pPr>
              <w:spacing w:line="242" w:lineRule="auto"/>
              <w:rPr>
                <w:rFonts w:ascii="Arial"/>
                <w:sz w:val="21"/>
              </w:rPr>
            </w:pPr>
          </w:p>
          <w:p w14:paraId="5858BBB2">
            <w:pPr>
              <w:spacing w:line="242" w:lineRule="auto"/>
              <w:rPr>
                <w:rFonts w:ascii="Arial"/>
                <w:sz w:val="21"/>
              </w:rPr>
            </w:pPr>
          </w:p>
          <w:p w14:paraId="54EBB6A8">
            <w:pPr>
              <w:spacing w:line="242" w:lineRule="auto"/>
              <w:rPr>
                <w:rFonts w:ascii="Arial"/>
                <w:sz w:val="21"/>
              </w:rPr>
            </w:pPr>
          </w:p>
          <w:p w14:paraId="49DD8609">
            <w:pPr>
              <w:spacing w:line="242" w:lineRule="auto"/>
              <w:rPr>
                <w:rFonts w:ascii="Arial"/>
                <w:sz w:val="21"/>
              </w:rPr>
            </w:pPr>
          </w:p>
          <w:p w14:paraId="22DDCDED">
            <w:pPr>
              <w:spacing w:line="242" w:lineRule="auto"/>
              <w:rPr>
                <w:rFonts w:ascii="Arial"/>
                <w:sz w:val="21"/>
              </w:rPr>
            </w:pPr>
          </w:p>
          <w:p w14:paraId="6962ECCC">
            <w:pPr>
              <w:spacing w:line="242" w:lineRule="auto"/>
              <w:rPr>
                <w:rFonts w:ascii="Arial"/>
                <w:sz w:val="21"/>
              </w:rPr>
            </w:pPr>
          </w:p>
          <w:p w14:paraId="501CB7FF">
            <w:pPr>
              <w:spacing w:line="242" w:lineRule="auto"/>
              <w:rPr>
                <w:rFonts w:ascii="Arial"/>
                <w:sz w:val="21"/>
              </w:rPr>
            </w:pPr>
          </w:p>
          <w:p w14:paraId="35241078">
            <w:pPr>
              <w:spacing w:line="242" w:lineRule="auto"/>
              <w:rPr>
                <w:rFonts w:ascii="Arial"/>
                <w:sz w:val="21"/>
              </w:rPr>
            </w:pPr>
          </w:p>
          <w:p w14:paraId="376D848B">
            <w:pPr>
              <w:spacing w:line="242" w:lineRule="auto"/>
              <w:rPr>
                <w:rFonts w:ascii="Arial"/>
                <w:sz w:val="21"/>
              </w:rPr>
            </w:pPr>
          </w:p>
          <w:p w14:paraId="5ADF91C2">
            <w:pPr>
              <w:spacing w:line="242" w:lineRule="auto"/>
              <w:rPr>
                <w:rFonts w:ascii="Arial"/>
                <w:sz w:val="21"/>
              </w:rPr>
            </w:pPr>
          </w:p>
          <w:p w14:paraId="16B3ACC8">
            <w:pPr>
              <w:spacing w:line="242" w:lineRule="auto"/>
              <w:rPr>
                <w:rFonts w:ascii="Arial"/>
                <w:sz w:val="21"/>
              </w:rPr>
            </w:pPr>
          </w:p>
          <w:p w14:paraId="7F99D1A8">
            <w:pPr>
              <w:pStyle w:val="51"/>
              <w:spacing w:before="55" w:line="224" w:lineRule="auto"/>
              <w:ind w:left="299"/>
              <w:rPr>
                <w:sz w:val="17"/>
                <w:szCs w:val="17"/>
              </w:rPr>
            </w:pPr>
            <w:r>
              <w:rPr>
                <w:spacing w:val="2"/>
                <w:sz w:val="17"/>
                <w:szCs w:val="17"/>
              </w:rPr>
              <w:t>蔬菜</w:t>
            </w:r>
          </w:p>
        </w:tc>
        <w:tc>
          <w:tcPr>
            <w:tcW w:w="1360" w:type="dxa"/>
            <w:vMerge w:val="restart"/>
            <w:tcBorders>
              <w:bottom w:val="nil"/>
            </w:tcBorders>
            <w:vAlign w:val="top"/>
          </w:tcPr>
          <w:p w14:paraId="03D38A2A">
            <w:pPr>
              <w:spacing w:line="241" w:lineRule="auto"/>
              <w:rPr>
                <w:rFonts w:ascii="Arial"/>
                <w:sz w:val="21"/>
              </w:rPr>
            </w:pPr>
          </w:p>
          <w:p w14:paraId="7A3055B3">
            <w:pPr>
              <w:spacing w:line="242" w:lineRule="auto"/>
              <w:rPr>
                <w:rFonts w:ascii="Arial"/>
                <w:sz w:val="21"/>
              </w:rPr>
            </w:pPr>
          </w:p>
          <w:p w14:paraId="52DF88A0">
            <w:pPr>
              <w:spacing w:line="242" w:lineRule="auto"/>
              <w:rPr>
                <w:rFonts w:ascii="Arial"/>
                <w:sz w:val="21"/>
              </w:rPr>
            </w:pPr>
          </w:p>
          <w:p w14:paraId="45EF7D4E">
            <w:pPr>
              <w:spacing w:line="242" w:lineRule="auto"/>
              <w:rPr>
                <w:rFonts w:ascii="Arial"/>
                <w:sz w:val="21"/>
              </w:rPr>
            </w:pPr>
          </w:p>
          <w:p w14:paraId="6E5D52D8">
            <w:pPr>
              <w:spacing w:line="242" w:lineRule="auto"/>
              <w:rPr>
                <w:rFonts w:ascii="Arial"/>
                <w:sz w:val="21"/>
              </w:rPr>
            </w:pPr>
          </w:p>
          <w:p w14:paraId="406A5F3B">
            <w:pPr>
              <w:spacing w:line="242" w:lineRule="auto"/>
              <w:rPr>
                <w:rFonts w:ascii="Arial"/>
                <w:sz w:val="21"/>
              </w:rPr>
            </w:pPr>
          </w:p>
          <w:p w14:paraId="0AF7C1C5">
            <w:pPr>
              <w:spacing w:line="242" w:lineRule="auto"/>
              <w:rPr>
                <w:rFonts w:ascii="Arial"/>
                <w:sz w:val="21"/>
              </w:rPr>
            </w:pPr>
          </w:p>
          <w:p w14:paraId="40AC9D3F">
            <w:pPr>
              <w:spacing w:line="242" w:lineRule="auto"/>
              <w:rPr>
                <w:rFonts w:ascii="Arial"/>
                <w:sz w:val="21"/>
              </w:rPr>
            </w:pPr>
          </w:p>
          <w:p w14:paraId="19E1B102">
            <w:pPr>
              <w:spacing w:line="242" w:lineRule="auto"/>
              <w:rPr>
                <w:rFonts w:ascii="Arial"/>
                <w:sz w:val="21"/>
              </w:rPr>
            </w:pPr>
          </w:p>
          <w:p w14:paraId="462C87C9">
            <w:pPr>
              <w:spacing w:line="242" w:lineRule="auto"/>
              <w:rPr>
                <w:rFonts w:ascii="Arial"/>
                <w:sz w:val="21"/>
              </w:rPr>
            </w:pPr>
          </w:p>
          <w:p w14:paraId="05EF1E17">
            <w:pPr>
              <w:spacing w:line="242" w:lineRule="auto"/>
              <w:rPr>
                <w:rFonts w:ascii="Arial"/>
                <w:sz w:val="21"/>
              </w:rPr>
            </w:pPr>
          </w:p>
          <w:p w14:paraId="16E19D61">
            <w:pPr>
              <w:spacing w:line="242" w:lineRule="auto"/>
              <w:rPr>
                <w:rFonts w:ascii="Arial"/>
                <w:sz w:val="21"/>
              </w:rPr>
            </w:pPr>
          </w:p>
          <w:p w14:paraId="57E010BE">
            <w:pPr>
              <w:pStyle w:val="51"/>
              <w:spacing w:before="55" w:line="224" w:lineRule="auto"/>
              <w:ind w:left="508"/>
              <w:rPr>
                <w:sz w:val="17"/>
                <w:szCs w:val="17"/>
              </w:rPr>
            </w:pPr>
            <w:r>
              <w:rPr>
                <w:spacing w:val="2"/>
                <w:sz w:val="17"/>
                <w:szCs w:val="17"/>
              </w:rPr>
              <w:t>蔬菜</w:t>
            </w:r>
          </w:p>
        </w:tc>
        <w:tc>
          <w:tcPr>
            <w:tcW w:w="1581" w:type="dxa"/>
            <w:vAlign w:val="top"/>
          </w:tcPr>
          <w:p w14:paraId="4C62C25D">
            <w:pPr>
              <w:pStyle w:val="51"/>
              <w:spacing w:before="236" w:line="229" w:lineRule="auto"/>
              <w:ind w:left="618"/>
              <w:rPr>
                <w:sz w:val="17"/>
                <w:szCs w:val="17"/>
              </w:rPr>
            </w:pPr>
            <w:r>
              <w:rPr>
                <w:spacing w:val="4"/>
                <w:sz w:val="17"/>
                <w:szCs w:val="17"/>
              </w:rPr>
              <w:t>豆芽</w:t>
            </w:r>
          </w:p>
        </w:tc>
        <w:tc>
          <w:tcPr>
            <w:tcW w:w="1586" w:type="dxa"/>
            <w:vAlign w:val="top"/>
          </w:tcPr>
          <w:p w14:paraId="0D07BF76">
            <w:pPr>
              <w:pStyle w:val="51"/>
              <w:spacing w:before="236" w:line="229" w:lineRule="auto"/>
              <w:ind w:left="620"/>
              <w:rPr>
                <w:sz w:val="17"/>
                <w:szCs w:val="17"/>
              </w:rPr>
            </w:pPr>
            <w:r>
              <w:rPr>
                <w:spacing w:val="4"/>
                <w:sz w:val="17"/>
                <w:szCs w:val="17"/>
              </w:rPr>
              <w:t>豆芽</w:t>
            </w:r>
          </w:p>
        </w:tc>
        <w:tc>
          <w:tcPr>
            <w:tcW w:w="682" w:type="dxa"/>
            <w:vAlign w:val="top"/>
          </w:tcPr>
          <w:p w14:paraId="24BB8F0C">
            <w:pPr>
              <w:pStyle w:val="51"/>
              <w:spacing w:before="236" w:line="227" w:lineRule="auto"/>
              <w:ind w:left="170"/>
              <w:rPr>
                <w:sz w:val="17"/>
                <w:szCs w:val="17"/>
              </w:rPr>
            </w:pPr>
            <w:r>
              <w:rPr>
                <w:spacing w:val="3"/>
                <w:sz w:val="17"/>
                <w:szCs w:val="17"/>
              </w:rPr>
              <w:t>较高</w:t>
            </w:r>
          </w:p>
        </w:tc>
        <w:tc>
          <w:tcPr>
            <w:tcW w:w="8563" w:type="dxa"/>
            <w:vAlign w:val="top"/>
          </w:tcPr>
          <w:p w14:paraId="7FC85CED">
            <w:pPr>
              <w:pStyle w:val="51"/>
              <w:spacing w:before="87" w:line="275" w:lineRule="auto"/>
              <w:ind w:left="37" w:right="27"/>
              <w:rPr>
                <w:sz w:val="17"/>
                <w:szCs w:val="17"/>
              </w:rPr>
            </w:pPr>
            <w:r>
              <w:rPr>
                <w:spacing w:val="11"/>
                <w:sz w:val="17"/>
                <w:szCs w:val="17"/>
              </w:rPr>
              <w:t>铅(以</w:t>
            </w:r>
            <w:r>
              <w:rPr>
                <w:sz w:val="17"/>
                <w:szCs w:val="17"/>
              </w:rPr>
              <w:t>Pb</w:t>
            </w:r>
            <w:r>
              <w:rPr>
                <w:spacing w:val="11"/>
                <w:sz w:val="17"/>
                <w:szCs w:val="17"/>
              </w:rPr>
              <w:t>计)、4-氯苯氧乙酸钠(以4-氯苯氧乙酸计)、6</w:t>
            </w:r>
            <w:r>
              <w:rPr>
                <w:spacing w:val="10"/>
                <w:sz w:val="17"/>
                <w:szCs w:val="17"/>
              </w:rPr>
              <w:t>-苄基腺嘌呤(6-</w:t>
            </w:r>
            <w:r>
              <w:rPr>
                <w:sz w:val="17"/>
                <w:szCs w:val="17"/>
              </w:rPr>
              <w:t>BA</w:t>
            </w:r>
            <w:r>
              <w:rPr>
                <w:spacing w:val="10"/>
                <w:sz w:val="17"/>
                <w:szCs w:val="17"/>
              </w:rPr>
              <w:t>)、亚硫酸盐(以</w:t>
            </w:r>
            <w:r>
              <w:rPr>
                <w:sz w:val="17"/>
                <w:szCs w:val="17"/>
              </w:rPr>
              <w:t>SO</w:t>
            </w:r>
            <w:r>
              <w:rPr>
                <w:spacing w:val="10"/>
                <w:position w:val="-2"/>
                <w:sz w:val="8"/>
                <w:szCs w:val="8"/>
              </w:rPr>
              <w:t>2</w:t>
            </w:r>
            <w:r>
              <w:rPr>
                <w:spacing w:val="10"/>
                <w:sz w:val="17"/>
                <w:szCs w:val="17"/>
              </w:rPr>
              <w:t>计)、总汞(以</w:t>
            </w:r>
            <w:r>
              <w:rPr>
                <w:sz w:val="17"/>
                <w:szCs w:val="17"/>
              </w:rPr>
              <w:t>Hg</w:t>
            </w:r>
            <w:r>
              <w:rPr>
                <w:spacing w:val="1"/>
                <w:sz w:val="17"/>
                <w:szCs w:val="17"/>
              </w:rPr>
              <w:t>计)</w:t>
            </w:r>
          </w:p>
        </w:tc>
      </w:tr>
      <w:tr w14:paraId="25291D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5" w:hRule="atLeast"/>
        </w:trPr>
        <w:tc>
          <w:tcPr>
            <w:tcW w:w="459" w:type="dxa"/>
            <w:vMerge w:val="continue"/>
            <w:tcBorders>
              <w:top w:val="nil"/>
              <w:bottom w:val="nil"/>
            </w:tcBorders>
            <w:vAlign w:val="top"/>
          </w:tcPr>
          <w:p w14:paraId="2DA5A820">
            <w:pPr>
              <w:rPr>
                <w:rFonts w:ascii="Arial"/>
                <w:sz w:val="21"/>
              </w:rPr>
            </w:pPr>
          </w:p>
        </w:tc>
        <w:tc>
          <w:tcPr>
            <w:tcW w:w="942" w:type="dxa"/>
            <w:vMerge w:val="continue"/>
            <w:tcBorders>
              <w:top w:val="nil"/>
              <w:bottom w:val="nil"/>
            </w:tcBorders>
            <w:vAlign w:val="top"/>
          </w:tcPr>
          <w:p w14:paraId="725346C9">
            <w:pPr>
              <w:rPr>
                <w:rFonts w:ascii="Arial"/>
                <w:sz w:val="21"/>
              </w:rPr>
            </w:pPr>
          </w:p>
        </w:tc>
        <w:tc>
          <w:tcPr>
            <w:tcW w:w="1360" w:type="dxa"/>
            <w:vMerge w:val="continue"/>
            <w:tcBorders>
              <w:top w:val="nil"/>
              <w:bottom w:val="nil"/>
            </w:tcBorders>
            <w:vAlign w:val="top"/>
          </w:tcPr>
          <w:p w14:paraId="0A90B2D2">
            <w:pPr>
              <w:rPr>
                <w:rFonts w:ascii="Arial"/>
                <w:sz w:val="21"/>
              </w:rPr>
            </w:pPr>
          </w:p>
        </w:tc>
        <w:tc>
          <w:tcPr>
            <w:tcW w:w="1581" w:type="dxa"/>
            <w:vAlign w:val="top"/>
          </w:tcPr>
          <w:p w14:paraId="0587CEF4">
            <w:pPr>
              <w:pStyle w:val="51"/>
              <w:spacing w:before="87" w:line="225" w:lineRule="auto"/>
              <w:ind w:left="438"/>
              <w:rPr>
                <w:sz w:val="17"/>
                <w:szCs w:val="17"/>
              </w:rPr>
            </w:pPr>
            <w:r>
              <w:rPr>
                <w:spacing w:val="6"/>
                <w:sz w:val="17"/>
                <w:szCs w:val="17"/>
              </w:rPr>
              <w:t>鲜食用菌</w:t>
            </w:r>
          </w:p>
        </w:tc>
        <w:tc>
          <w:tcPr>
            <w:tcW w:w="1586" w:type="dxa"/>
            <w:vAlign w:val="top"/>
          </w:tcPr>
          <w:p w14:paraId="4E36DEA0">
            <w:pPr>
              <w:pStyle w:val="51"/>
              <w:spacing w:before="87" w:line="225" w:lineRule="auto"/>
              <w:ind w:left="441"/>
              <w:rPr>
                <w:sz w:val="17"/>
                <w:szCs w:val="17"/>
              </w:rPr>
            </w:pPr>
            <w:r>
              <w:rPr>
                <w:spacing w:val="6"/>
                <w:sz w:val="17"/>
                <w:szCs w:val="17"/>
              </w:rPr>
              <w:t>鲜食用菌</w:t>
            </w:r>
          </w:p>
        </w:tc>
        <w:tc>
          <w:tcPr>
            <w:tcW w:w="682" w:type="dxa"/>
            <w:vAlign w:val="top"/>
          </w:tcPr>
          <w:p w14:paraId="35ACD25D">
            <w:pPr>
              <w:pStyle w:val="51"/>
              <w:spacing w:before="87" w:line="225" w:lineRule="auto"/>
              <w:ind w:left="170"/>
              <w:rPr>
                <w:sz w:val="17"/>
                <w:szCs w:val="17"/>
              </w:rPr>
            </w:pPr>
            <w:r>
              <w:rPr>
                <w:spacing w:val="3"/>
                <w:sz w:val="17"/>
                <w:szCs w:val="17"/>
              </w:rPr>
              <w:t>较高</w:t>
            </w:r>
          </w:p>
        </w:tc>
        <w:tc>
          <w:tcPr>
            <w:tcW w:w="8563" w:type="dxa"/>
            <w:vAlign w:val="top"/>
          </w:tcPr>
          <w:p w14:paraId="705E56FB">
            <w:pPr>
              <w:pStyle w:val="51"/>
              <w:spacing w:before="87" w:line="225" w:lineRule="auto"/>
              <w:ind w:left="38"/>
              <w:rPr>
                <w:sz w:val="17"/>
                <w:szCs w:val="17"/>
              </w:rPr>
            </w:pPr>
            <w:r>
              <w:rPr>
                <w:spacing w:val="10"/>
                <w:sz w:val="17"/>
                <w:szCs w:val="17"/>
              </w:rPr>
              <w:t>镉(以</w:t>
            </w:r>
            <w:r>
              <w:rPr>
                <w:sz w:val="17"/>
                <w:szCs w:val="17"/>
              </w:rPr>
              <w:t>Cd</w:t>
            </w:r>
            <w:r>
              <w:rPr>
                <w:spacing w:val="10"/>
                <w:sz w:val="17"/>
                <w:szCs w:val="17"/>
              </w:rPr>
              <w:t>计)、百菌清、除虫脲、氯氟氰菊酯和高效氯氟氰菊酯、氯氰</w:t>
            </w:r>
            <w:r>
              <w:rPr>
                <w:spacing w:val="9"/>
                <w:sz w:val="17"/>
                <w:szCs w:val="17"/>
              </w:rPr>
              <w:t>菊酯和高效氯氰菊酯、铅(以</w:t>
            </w:r>
            <w:r>
              <w:rPr>
                <w:sz w:val="17"/>
                <w:szCs w:val="17"/>
              </w:rPr>
              <w:t>Pb</w:t>
            </w:r>
            <w:r>
              <w:rPr>
                <w:spacing w:val="9"/>
                <w:sz w:val="17"/>
                <w:szCs w:val="17"/>
              </w:rPr>
              <w:t>计)</w:t>
            </w:r>
          </w:p>
        </w:tc>
      </w:tr>
      <w:tr w14:paraId="6BE891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459" w:type="dxa"/>
            <w:vMerge w:val="continue"/>
            <w:tcBorders>
              <w:top w:val="nil"/>
              <w:bottom w:val="nil"/>
            </w:tcBorders>
            <w:vAlign w:val="top"/>
          </w:tcPr>
          <w:p w14:paraId="78B03BCF">
            <w:pPr>
              <w:rPr>
                <w:rFonts w:ascii="Arial"/>
                <w:sz w:val="21"/>
              </w:rPr>
            </w:pPr>
          </w:p>
        </w:tc>
        <w:tc>
          <w:tcPr>
            <w:tcW w:w="942" w:type="dxa"/>
            <w:vMerge w:val="continue"/>
            <w:tcBorders>
              <w:top w:val="nil"/>
              <w:bottom w:val="nil"/>
            </w:tcBorders>
            <w:vAlign w:val="top"/>
          </w:tcPr>
          <w:p w14:paraId="4CD3E83D">
            <w:pPr>
              <w:rPr>
                <w:rFonts w:ascii="Arial"/>
                <w:sz w:val="21"/>
              </w:rPr>
            </w:pPr>
          </w:p>
        </w:tc>
        <w:tc>
          <w:tcPr>
            <w:tcW w:w="1360" w:type="dxa"/>
            <w:vMerge w:val="continue"/>
            <w:tcBorders>
              <w:top w:val="nil"/>
              <w:bottom w:val="nil"/>
            </w:tcBorders>
            <w:vAlign w:val="top"/>
          </w:tcPr>
          <w:p w14:paraId="6668A9C9">
            <w:pPr>
              <w:rPr>
                <w:rFonts w:ascii="Arial"/>
                <w:sz w:val="21"/>
              </w:rPr>
            </w:pPr>
          </w:p>
        </w:tc>
        <w:tc>
          <w:tcPr>
            <w:tcW w:w="1581" w:type="dxa"/>
            <w:vMerge w:val="restart"/>
            <w:tcBorders>
              <w:bottom w:val="nil"/>
            </w:tcBorders>
            <w:vAlign w:val="top"/>
          </w:tcPr>
          <w:p w14:paraId="7F109DBF">
            <w:pPr>
              <w:spacing w:line="316" w:lineRule="auto"/>
              <w:rPr>
                <w:rFonts w:ascii="Arial"/>
                <w:sz w:val="21"/>
              </w:rPr>
            </w:pPr>
          </w:p>
          <w:p w14:paraId="1975D5D4">
            <w:pPr>
              <w:spacing w:line="316" w:lineRule="auto"/>
              <w:rPr>
                <w:rFonts w:ascii="Arial"/>
                <w:sz w:val="21"/>
              </w:rPr>
            </w:pPr>
          </w:p>
          <w:p w14:paraId="00893725">
            <w:pPr>
              <w:pStyle w:val="51"/>
              <w:spacing w:before="55" w:line="224" w:lineRule="auto"/>
              <w:ind w:left="348"/>
              <w:rPr>
                <w:sz w:val="17"/>
                <w:szCs w:val="17"/>
              </w:rPr>
            </w:pPr>
            <w:r>
              <w:rPr>
                <w:spacing w:val="7"/>
                <w:sz w:val="17"/>
                <w:szCs w:val="17"/>
              </w:rPr>
              <w:t>鳞茎类蔬菜</w:t>
            </w:r>
          </w:p>
        </w:tc>
        <w:tc>
          <w:tcPr>
            <w:tcW w:w="1586" w:type="dxa"/>
            <w:vAlign w:val="top"/>
          </w:tcPr>
          <w:p w14:paraId="5A6CA856">
            <w:pPr>
              <w:pStyle w:val="51"/>
              <w:spacing w:before="238" w:line="229" w:lineRule="auto"/>
              <w:ind w:left="720"/>
              <w:rPr>
                <w:sz w:val="17"/>
                <w:szCs w:val="17"/>
              </w:rPr>
            </w:pPr>
            <w:r>
              <w:rPr>
                <w:sz w:val="17"/>
                <w:szCs w:val="17"/>
              </w:rPr>
              <w:t>葱</w:t>
            </w:r>
          </w:p>
        </w:tc>
        <w:tc>
          <w:tcPr>
            <w:tcW w:w="682" w:type="dxa"/>
            <w:vAlign w:val="top"/>
          </w:tcPr>
          <w:p w14:paraId="74594854">
            <w:pPr>
              <w:pStyle w:val="51"/>
              <w:spacing w:before="238" w:line="227" w:lineRule="auto"/>
              <w:ind w:left="170"/>
              <w:rPr>
                <w:sz w:val="17"/>
                <w:szCs w:val="17"/>
              </w:rPr>
            </w:pPr>
            <w:r>
              <w:rPr>
                <w:spacing w:val="3"/>
                <w:sz w:val="17"/>
                <w:szCs w:val="17"/>
              </w:rPr>
              <w:t>较高</w:t>
            </w:r>
          </w:p>
        </w:tc>
        <w:tc>
          <w:tcPr>
            <w:tcW w:w="8563" w:type="dxa"/>
            <w:vAlign w:val="top"/>
          </w:tcPr>
          <w:p w14:paraId="789F8668">
            <w:pPr>
              <w:pStyle w:val="51"/>
              <w:spacing w:before="86" w:line="276" w:lineRule="auto"/>
              <w:ind w:left="46" w:hanging="9"/>
              <w:rPr>
                <w:sz w:val="17"/>
                <w:szCs w:val="17"/>
              </w:rPr>
            </w:pPr>
            <w:r>
              <w:rPr>
                <w:spacing w:val="6"/>
                <w:sz w:val="17"/>
                <w:szCs w:val="17"/>
              </w:rPr>
              <w:t>铅(以</w:t>
            </w:r>
            <w:r>
              <w:rPr>
                <w:sz w:val="17"/>
                <w:szCs w:val="17"/>
              </w:rPr>
              <w:t>Pb</w:t>
            </w:r>
            <w:r>
              <w:rPr>
                <w:spacing w:val="6"/>
                <w:sz w:val="17"/>
                <w:szCs w:val="17"/>
              </w:rPr>
              <w:t>计)、镉(以</w:t>
            </w:r>
            <w:r>
              <w:rPr>
                <w:sz w:val="17"/>
                <w:szCs w:val="17"/>
              </w:rPr>
              <w:t>Cd</w:t>
            </w:r>
            <w:r>
              <w:rPr>
                <w:spacing w:val="6"/>
                <w:sz w:val="17"/>
                <w:szCs w:val="17"/>
              </w:rPr>
              <w:t>计)、丙环唑、毒死蜱、</w:t>
            </w:r>
            <w:r>
              <w:rPr>
                <w:spacing w:val="-48"/>
                <w:sz w:val="17"/>
                <w:szCs w:val="17"/>
              </w:rPr>
              <w:t xml:space="preserve"> </w:t>
            </w:r>
            <w:r>
              <w:rPr>
                <w:spacing w:val="6"/>
                <w:sz w:val="17"/>
                <w:szCs w:val="17"/>
              </w:rPr>
              <w:t>甲拌磷、</w:t>
            </w:r>
            <w:r>
              <w:rPr>
                <w:spacing w:val="-51"/>
                <w:sz w:val="17"/>
                <w:szCs w:val="17"/>
              </w:rPr>
              <w:t xml:space="preserve"> </w:t>
            </w:r>
            <w:r>
              <w:rPr>
                <w:spacing w:val="6"/>
                <w:sz w:val="17"/>
                <w:szCs w:val="17"/>
              </w:rPr>
              <w:t>甲基异柳磷、克百威、氯氟氰菊酯和高效氯氟氰菊酯、</w:t>
            </w:r>
            <w:r>
              <w:rPr>
                <w:spacing w:val="9"/>
                <w:sz w:val="17"/>
                <w:szCs w:val="17"/>
              </w:rPr>
              <w:t>噻虫嗪、三唑磷、水胺硫磷、戊唑醇、氧乐果</w:t>
            </w:r>
            <w:r>
              <w:rPr>
                <w:spacing w:val="8"/>
                <w:sz w:val="17"/>
                <w:szCs w:val="17"/>
              </w:rPr>
              <w:t>、乙酰甲胺磷、氟虫腈、乐果</w:t>
            </w:r>
          </w:p>
        </w:tc>
      </w:tr>
      <w:tr w14:paraId="034CB8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4" w:hRule="atLeast"/>
        </w:trPr>
        <w:tc>
          <w:tcPr>
            <w:tcW w:w="459" w:type="dxa"/>
            <w:vMerge w:val="continue"/>
            <w:tcBorders>
              <w:top w:val="nil"/>
              <w:bottom w:val="nil"/>
            </w:tcBorders>
            <w:vAlign w:val="top"/>
          </w:tcPr>
          <w:p w14:paraId="7D8BED44">
            <w:pPr>
              <w:rPr>
                <w:rFonts w:ascii="Arial"/>
                <w:sz w:val="21"/>
              </w:rPr>
            </w:pPr>
          </w:p>
        </w:tc>
        <w:tc>
          <w:tcPr>
            <w:tcW w:w="942" w:type="dxa"/>
            <w:vMerge w:val="continue"/>
            <w:tcBorders>
              <w:top w:val="nil"/>
              <w:bottom w:val="nil"/>
            </w:tcBorders>
            <w:vAlign w:val="top"/>
          </w:tcPr>
          <w:p w14:paraId="28154E1B">
            <w:pPr>
              <w:rPr>
                <w:rFonts w:ascii="Arial"/>
                <w:sz w:val="21"/>
              </w:rPr>
            </w:pPr>
          </w:p>
        </w:tc>
        <w:tc>
          <w:tcPr>
            <w:tcW w:w="1360" w:type="dxa"/>
            <w:vMerge w:val="continue"/>
            <w:tcBorders>
              <w:top w:val="nil"/>
              <w:bottom w:val="nil"/>
            </w:tcBorders>
            <w:vAlign w:val="top"/>
          </w:tcPr>
          <w:p w14:paraId="3D3AC698">
            <w:pPr>
              <w:rPr>
                <w:rFonts w:ascii="Arial"/>
                <w:sz w:val="21"/>
              </w:rPr>
            </w:pPr>
          </w:p>
        </w:tc>
        <w:tc>
          <w:tcPr>
            <w:tcW w:w="1581" w:type="dxa"/>
            <w:vMerge w:val="continue"/>
            <w:tcBorders>
              <w:top w:val="nil"/>
            </w:tcBorders>
            <w:vAlign w:val="top"/>
          </w:tcPr>
          <w:p w14:paraId="18DA35CB">
            <w:pPr>
              <w:rPr>
                <w:rFonts w:ascii="Arial"/>
                <w:sz w:val="21"/>
              </w:rPr>
            </w:pPr>
          </w:p>
        </w:tc>
        <w:tc>
          <w:tcPr>
            <w:tcW w:w="1586" w:type="dxa"/>
            <w:vAlign w:val="top"/>
          </w:tcPr>
          <w:p w14:paraId="6B7AE5A3">
            <w:pPr>
              <w:spacing w:line="329" w:lineRule="auto"/>
              <w:rPr>
                <w:rFonts w:ascii="Arial"/>
                <w:sz w:val="21"/>
              </w:rPr>
            </w:pPr>
          </w:p>
          <w:p w14:paraId="5961B31F">
            <w:pPr>
              <w:pStyle w:val="51"/>
              <w:spacing w:before="55" w:line="224" w:lineRule="auto"/>
              <w:ind w:left="625"/>
              <w:rPr>
                <w:sz w:val="17"/>
                <w:szCs w:val="17"/>
              </w:rPr>
            </w:pPr>
            <w:r>
              <w:rPr>
                <w:spacing w:val="1"/>
                <w:sz w:val="17"/>
                <w:szCs w:val="17"/>
              </w:rPr>
              <w:t>韭菜</w:t>
            </w:r>
          </w:p>
        </w:tc>
        <w:tc>
          <w:tcPr>
            <w:tcW w:w="682" w:type="dxa"/>
            <w:vAlign w:val="top"/>
          </w:tcPr>
          <w:p w14:paraId="199C92D9">
            <w:pPr>
              <w:spacing w:line="329" w:lineRule="auto"/>
              <w:rPr>
                <w:rFonts w:ascii="Arial"/>
                <w:sz w:val="21"/>
              </w:rPr>
            </w:pPr>
          </w:p>
          <w:p w14:paraId="28A31F59">
            <w:pPr>
              <w:pStyle w:val="51"/>
              <w:spacing w:before="56" w:line="227" w:lineRule="auto"/>
              <w:ind w:left="170"/>
              <w:rPr>
                <w:sz w:val="17"/>
                <w:szCs w:val="17"/>
              </w:rPr>
            </w:pPr>
            <w:r>
              <w:rPr>
                <w:spacing w:val="3"/>
                <w:sz w:val="17"/>
                <w:szCs w:val="17"/>
              </w:rPr>
              <w:t>较高</w:t>
            </w:r>
          </w:p>
        </w:tc>
        <w:tc>
          <w:tcPr>
            <w:tcW w:w="8563" w:type="dxa"/>
            <w:vAlign w:val="top"/>
          </w:tcPr>
          <w:p w14:paraId="3DE5D687">
            <w:pPr>
              <w:pStyle w:val="51"/>
              <w:spacing w:before="87" w:line="292" w:lineRule="auto"/>
              <w:ind w:left="37" w:right="24"/>
              <w:jc w:val="both"/>
              <w:rPr>
                <w:sz w:val="17"/>
                <w:szCs w:val="17"/>
              </w:rPr>
            </w:pPr>
            <w:r>
              <w:rPr>
                <w:spacing w:val="11"/>
                <w:sz w:val="17"/>
                <w:szCs w:val="17"/>
              </w:rPr>
              <w:t>铅(以</w:t>
            </w:r>
            <w:r>
              <w:rPr>
                <w:sz w:val="17"/>
                <w:szCs w:val="17"/>
              </w:rPr>
              <w:t>Pb</w:t>
            </w:r>
            <w:r>
              <w:rPr>
                <w:spacing w:val="11"/>
                <w:sz w:val="17"/>
                <w:szCs w:val="17"/>
              </w:rPr>
              <w:t>计)、镉(以</w:t>
            </w:r>
            <w:r>
              <w:rPr>
                <w:sz w:val="17"/>
                <w:szCs w:val="17"/>
              </w:rPr>
              <w:t>Cd</w:t>
            </w:r>
            <w:r>
              <w:rPr>
                <w:spacing w:val="11"/>
                <w:sz w:val="17"/>
                <w:szCs w:val="17"/>
              </w:rPr>
              <w:t>计)、阿维菌素、敌敌畏、毒死蜱、多菌灵、二甲戊灵、</w:t>
            </w:r>
            <w:r>
              <w:rPr>
                <w:spacing w:val="10"/>
                <w:sz w:val="17"/>
                <w:szCs w:val="17"/>
              </w:rPr>
              <w:t>腐霉利、甲胺磷、甲拌磷、克</w:t>
            </w:r>
            <w:r>
              <w:rPr>
                <w:spacing w:val="11"/>
                <w:sz w:val="17"/>
                <w:szCs w:val="17"/>
              </w:rPr>
              <w:t>百威、乐果、氯氟氰菊酯和高效氯氟氰菊酯、氯氰菊酯和高效氯氰菊酯、三唑</w:t>
            </w:r>
            <w:r>
              <w:rPr>
                <w:spacing w:val="10"/>
                <w:sz w:val="17"/>
                <w:szCs w:val="17"/>
              </w:rPr>
              <w:t>磷、辛硫磷、氧乐果、乙酰甲</w:t>
            </w:r>
            <w:r>
              <w:rPr>
                <w:spacing w:val="4"/>
                <w:sz w:val="17"/>
                <w:szCs w:val="17"/>
              </w:rPr>
              <w:t>胺磷</w:t>
            </w:r>
          </w:p>
        </w:tc>
      </w:tr>
      <w:tr w14:paraId="097EC7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459" w:type="dxa"/>
            <w:vMerge w:val="continue"/>
            <w:tcBorders>
              <w:top w:val="nil"/>
              <w:bottom w:val="nil"/>
            </w:tcBorders>
            <w:vAlign w:val="top"/>
          </w:tcPr>
          <w:p w14:paraId="344A9B38">
            <w:pPr>
              <w:rPr>
                <w:rFonts w:ascii="Arial"/>
                <w:sz w:val="21"/>
              </w:rPr>
            </w:pPr>
          </w:p>
        </w:tc>
        <w:tc>
          <w:tcPr>
            <w:tcW w:w="942" w:type="dxa"/>
            <w:vMerge w:val="continue"/>
            <w:tcBorders>
              <w:top w:val="nil"/>
              <w:bottom w:val="nil"/>
            </w:tcBorders>
            <w:vAlign w:val="top"/>
          </w:tcPr>
          <w:p w14:paraId="0F61CE4A">
            <w:pPr>
              <w:rPr>
                <w:rFonts w:ascii="Arial"/>
                <w:sz w:val="21"/>
              </w:rPr>
            </w:pPr>
          </w:p>
        </w:tc>
        <w:tc>
          <w:tcPr>
            <w:tcW w:w="1360" w:type="dxa"/>
            <w:vMerge w:val="continue"/>
            <w:tcBorders>
              <w:top w:val="nil"/>
              <w:bottom w:val="nil"/>
            </w:tcBorders>
            <w:vAlign w:val="top"/>
          </w:tcPr>
          <w:p w14:paraId="7F71C824">
            <w:pPr>
              <w:rPr>
                <w:rFonts w:ascii="Arial"/>
                <w:sz w:val="21"/>
              </w:rPr>
            </w:pPr>
          </w:p>
        </w:tc>
        <w:tc>
          <w:tcPr>
            <w:tcW w:w="1581" w:type="dxa"/>
            <w:vMerge w:val="restart"/>
            <w:tcBorders>
              <w:bottom w:val="nil"/>
            </w:tcBorders>
            <w:vAlign w:val="top"/>
          </w:tcPr>
          <w:p w14:paraId="3F89296A">
            <w:pPr>
              <w:spacing w:line="241" w:lineRule="auto"/>
              <w:rPr>
                <w:rFonts w:ascii="Arial"/>
                <w:sz w:val="21"/>
              </w:rPr>
            </w:pPr>
          </w:p>
          <w:p w14:paraId="66CBE914">
            <w:pPr>
              <w:spacing w:line="241" w:lineRule="auto"/>
              <w:rPr>
                <w:rFonts w:ascii="Arial"/>
                <w:sz w:val="21"/>
              </w:rPr>
            </w:pPr>
          </w:p>
          <w:p w14:paraId="1F4D99F1">
            <w:pPr>
              <w:spacing w:line="241" w:lineRule="auto"/>
              <w:rPr>
                <w:rFonts w:ascii="Arial"/>
                <w:sz w:val="21"/>
              </w:rPr>
            </w:pPr>
          </w:p>
          <w:p w14:paraId="571F7DD3">
            <w:pPr>
              <w:spacing w:line="242" w:lineRule="auto"/>
              <w:rPr>
                <w:rFonts w:ascii="Arial"/>
                <w:sz w:val="21"/>
              </w:rPr>
            </w:pPr>
          </w:p>
          <w:p w14:paraId="191224CD">
            <w:pPr>
              <w:spacing w:line="242" w:lineRule="auto"/>
              <w:rPr>
                <w:rFonts w:ascii="Arial"/>
                <w:sz w:val="21"/>
              </w:rPr>
            </w:pPr>
          </w:p>
          <w:p w14:paraId="3FD48488">
            <w:pPr>
              <w:spacing w:line="242" w:lineRule="auto"/>
              <w:rPr>
                <w:rFonts w:ascii="Arial"/>
                <w:sz w:val="21"/>
              </w:rPr>
            </w:pPr>
          </w:p>
          <w:p w14:paraId="7FF43972">
            <w:pPr>
              <w:spacing w:line="242" w:lineRule="auto"/>
              <w:rPr>
                <w:rFonts w:ascii="Arial"/>
                <w:sz w:val="21"/>
              </w:rPr>
            </w:pPr>
          </w:p>
          <w:p w14:paraId="3992761B">
            <w:pPr>
              <w:pStyle w:val="51"/>
              <w:spacing w:before="56" w:line="224" w:lineRule="auto"/>
              <w:ind w:left="359"/>
              <w:rPr>
                <w:sz w:val="17"/>
                <w:szCs w:val="17"/>
              </w:rPr>
            </w:pPr>
            <w:r>
              <w:rPr>
                <w:spacing w:val="5"/>
                <w:sz w:val="17"/>
                <w:szCs w:val="17"/>
              </w:rPr>
              <w:t>叶菜类蔬菜</w:t>
            </w:r>
          </w:p>
        </w:tc>
        <w:tc>
          <w:tcPr>
            <w:tcW w:w="1586" w:type="dxa"/>
            <w:vAlign w:val="top"/>
          </w:tcPr>
          <w:p w14:paraId="4E7AF012">
            <w:pPr>
              <w:pStyle w:val="51"/>
              <w:spacing w:before="238" w:line="224" w:lineRule="auto"/>
              <w:ind w:left="627"/>
              <w:rPr>
                <w:sz w:val="17"/>
                <w:szCs w:val="17"/>
              </w:rPr>
            </w:pPr>
            <w:r>
              <w:rPr>
                <w:sz w:val="17"/>
                <w:szCs w:val="17"/>
              </w:rPr>
              <w:t>菠菜</w:t>
            </w:r>
          </w:p>
        </w:tc>
        <w:tc>
          <w:tcPr>
            <w:tcW w:w="682" w:type="dxa"/>
            <w:vAlign w:val="top"/>
          </w:tcPr>
          <w:p w14:paraId="6E6B97BE">
            <w:pPr>
              <w:pStyle w:val="51"/>
              <w:spacing w:before="239" w:line="227" w:lineRule="auto"/>
              <w:ind w:left="170"/>
              <w:rPr>
                <w:sz w:val="17"/>
                <w:szCs w:val="17"/>
              </w:rPr>
            </w:pPr>
            <w:r>
              <w:rPr>
                <w:spacing w:val="3"/>
                <w:sz w:val="17"/>
                <w:szCs w:val="17"/>
              </w:rPr>
              <w:t>较高</w:t>
            </w:r>
          </w:p>
        </w:tc>
        <w:tc>
          <w:tcPr>
            <w:tcW w:w="8563" w:type="dxa"/>
            <w:vAlign w:val="top"/>
          </w:tcPr>
          <w:p w14:paraId="3785C77A">
            <w:pPr>
              <w:pStyle w:val="51"/>
              <w:spacing w:before="90" w:line="274" w:lineRule="auto"/>
              <w:ind w:left="41" w:right="38" w:hanging="4"/>
              <w:rPr>
                <w:sz w:val="17"/>
                <w:szCs w:val="17"/>
              </w:rPr>
            </w:pPr>
            <w:r>
              <w:rPr>
                <w:spacing w:val="11"/>
                <w:sz w:val="17"/>
                <w:szCs w:val="17"/>
              </w:rPr>
              <w:t>铅(以</w:t>
            </w:r>
            <w:r>
              <w:rPr>
                <w:sz w:val="17"/>
                <w:szCs w:val="17"/>
              </w:rPr>
              <w:t>Pb</w:t>
            </w:r>
            <w:r>
              <w:rPr>
                <w:spacing w:val="11"/>
                <w:sz w:val="17"/>
                <w:szCs w:val="17"/>
              </w:rPr>
              <w:t>计)、镉(以</w:t>
            </w:r>
            <w:r>
              <w:rPr>
                <w:sz w:val="17"/>
                <w:szCs w:val="17"/>
              </w:rPr>
              <w:t>Cd</w:t>
            </w:r>
            <w:r>
              <w:rPr>
                <w:spacing w:val="11"/>
                <w:sz w:val="17"/>
                <w:szCs w:val="17"/>
              </w:rPr>
              <w:t>计)、铬(以</w:t>
            </w:r>
            <w:r>
              <w:rPr>
                <w:sz w:val="17"/>
                <w:szCs w:val="17"/>
              </w:rPr>
              <w:t>Cr</w:t>
            </w:r>
            <w:r>
              <w:rPr>
                <w:spacing w:val="11"/>
                <w:sz w:val="17"/>
                <w:szCs w:val="17"/>
              </w:rPr>
              <w:t>计)、阿维</w:t>
            </w:r>
            <w:r>
              <w:rPr>
                <w:spacing w:val="10"/>
                <w:sz w:val="17"/>
                <w:szCs w:val="17"/>
              </w:rPr>
              <w:t>菌素、毒死蜱、氟虫腈、腐霉利、甲拌磷、氯氟氰菊酯和高效</w:t>
            </w:r>
            <w:r>
              <w:rPr>
                <w:spacing w:val="2"/>
                <w:sz w:val="17"/>
                <w:szCs w:val="17"/>
              </w:rPr>
              <w:t>氯氟氰菊酯、氧乐果、 克百威</w:t>
            </w:r>
          </w:p>
        </w:tc>
      </w:tr>
      <w:tr w14:paraId="63BAEE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459" w:type="dxa"/>
            <w:vMerge w:val="continue"/>
            <w:tcBorders>
              <w:top w:val="nil"/>
              <w:bottom w:val="nil"/>
            </w:tcBorders>
            <w:vAlign w:val="top"/>
          </w:tcPr>
          <w:p w14:paraId="2E1E7CF9">
            <w:pPr>
              <w:rPr>
                <w:rFonts w:ascii="Arial"/>
                <w:sz w:val="21"/>
              </w:rPr>
            </w:pPr>
          </w:p>
        </w:tc>
        <w:tc>
          <w:tcPr>
            <w:tcW w:w="942" w:type="dxa"/>
            <w:vMerge w:val="continue"/>
            <w:tcBorders>
              <w:top w:val="nil"/>
              <w:bottom w:val="nil"/>
            </w:tcBorders>
            <w:vAlign w:val="top"/>
          </w:tcPr>
          <w:p w14:paraId="47FC5EE5">
            <w:pPr>
              <w:rPr>
                <w:rFonts w:ascii="Arial"/>
                <w:sz w:val="21"/>
              </w:rPr>
            </w:pPr>
          </w:p>
        </w:tc>
        <w:tc>
          <w:tcPr>
            <w:tcW w:w="1360" w:type="dxa"/>
            <w:vMerge w:val="continue"/>
            <w:tcBorders>
              <w:top w:val="nil"/>
              <w:bottom w:val="nil"/>
            </w:tcBorders>
            <w:vAlign w:val="top"/>
          </w:tcPr>
          <w:p w14:paraId="66126A23">
            <w:pPr>
              <w:rPr>
                <w:rFonts w:ascii="Arial"/>
                <w:sz w:val="21"/>
              </w:rPr>
            </w:pPr>
          </w:p>
        </w:tc>
        <w:tc>
          <w:tcPr>
            <w:tcW w:w="1581" w:type="dxa"/>
            <w:vMerge w:val="continue"/>
            <w:tcBorders>
              <w:top w:val="nil"/>
              <w:bottom w:val="nil"/>
            </w:tcBorders>
            <w:vAlign w:val="top"/>
          </w:tcPr>
          <w:p w14:paraId="2A8BC114">
            <w:pPr>
              <w:rPr>
                <w:rFonts w:ascii="Arial"/>
                <w:sz w:val="21"/>
              </w:rPr>
            </w:pPr>
          </w:p>
        </w:tc>
        <w:tc>
          <w:tcPr>
            <w:tcW w:w="1586" w:type="dxa"/>
            <w:vAlign w:val="top"/>
          </w:tcPr>
          <w:p w14:paraId="7FEECBDD">
            <w:pPr>
              <w:pStyle w:val="51"/>
              <w:spacing w:before="238" w:line="224" w:lineRule="auto"/>
              <w:ind w:left="534"/>
              <w:rPr>
                <w:sz w:val="17"/>
                <w:szCs w:val="17"/>
              </w:rPr>
            </w:pPr>
            <w:r>
              <w:rPr>
                <w:spacing w:val="5"/>
                <w:sz w:val="17"/>
                <w:szCs w:val="17"/>
              </w:rPr>
              <w:t>大白菜</w:t>
            </w:r>
          </w:p>
        </w:tc>
        <w:tc>
          <w:tcPr>
            <w:tcW w:w="682" w:type="dxa"/>
            <w:vAlign w:val="top"/>
          </w:tcPr>
          <w:p w14:paraId="4EB0D9BE">
            <w:pPr>
              <w:pStyle w:val="51"/>
              <w:spacing w:before="238" w:line="227" w:lineRule="auto"/>
              <w:ind w:left="170"/>
              <w:rPr>
                <w:sz w:val="17"/>
                <w:szCs w:val="17"/>
              </w:rPr>
            </w:pPr>
            <w:r>
              <w:rPr>
                <w:spacing w:val="3"/>
                <w:sz w:val="17"/>
                <w:szCs w:val="17"/>
              </w:rPr>
              <w:t>较高</w:t>
            </w:r>
          </w:p>
        </w:tc>
        <w:tc>
          <w:tcPr>
            <w:tcW w:w="8563" w:type="dxa"/>
            <w:vAlign w:val="top"/>
          </w:tcPr>
          <w:p w14:paraId="0218A745">
            <w:pPr>
              <w:pStyle w:val="51"/>
              <w:spacing w:before="90" w:line="274" w:lineRule="auto"/>
              <w:ind w:left="40" w:hanging="2"/>
              <w:rPr>
                <w:sz w:val="17"/>
                <w:szCs w:val="17"/>
              </w:rPr>
            </w:pPr>
            <w:r>
              <w:rPr>
                <w:spacing w:val="7"/>
                <w:sz w:val="17"/>
                <w:szCs w:val="17"/>
              </w:rPr>
              <w:t>镉(以</w:t>
            </w:r>
            <w:r>
              <w:rPr>
                <w:sz w:val="17"/>
                <w:szCs w:val="17"/>
              </w:rPr>
              <w:t>Cd</w:t>
            </w:r>
            <w:r>
              <w:rPr>
                <w:spacing w:val="7"/>
                <w:sz w:val="17"/>
                <w:szCs w:val="17"/>
              </w:rPr>
              <w:t>计)、阿维菌素、吡虫啉、毒死蜱、氟虫腈、</w:t>
            </w:r>
            <w:r>
              <w:rPr>
                <w:spacing w:val="-48"/>
                <w:sz w:val="17"/>
                <w:szCs w:val="17"/>
              </w:rPr>
              <w:t xml:space="preserve"> </w:t>
            </w:r>
            <w:r>
              <w:rPr>
                <w:spacing w:val="7"/>
                <w:sz w:val="17"/>
                <w:szCs w:val="17"/>
              </w:rPr>
              <w:t>甲拌磷、克百威、乐果</w:t>
            </w:r>
            <w:r>
              <w:rPr>
                <w:spacing w:val="6"/>
                <w:sz w:val="17"/>
                <w:szCs w:val="17"/>
              </w:rPr>
              <w:t>、氯氟氰菊酯和高效氯氟氰菊酯、</w:t>
            </w:r>
            <w:r>
              <w:rPr>
                <w:spacing w:val="7"/>
                <w:sz w:val="17"/>
                <w:szCs w:val="17"/>
              </w:rPr>
              <w:t>氧乐果、乙酰甲胺磷</w:t>
            </w:r>
          </w:p>
        </w:tc>
      </w:tr>
      <w:tr w14:paraId="09C9E8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4" w:hRule="atLeast"/>
        </w:trPr>
        <w:tc>
          <w:tcPr>
            <w:tcW w:w="459" w:type="dxa"/>
            <w:vMerge w:val="continue"/>
            <w:tcBorders>
              <w:top w:val="nil"/>
              <w:bottom w:val="nil"/>
            </w:tcBorders>
            <w:vAlign w:val="top"/>
          </w:tcPr>
          <w:p w14:paraId="557824E8">
            <w:pPr>
              <w:rPr>
                <w:rFonts w:ascii="Arial"/>
                <w:sz w:val="21"/>
              </w:rPr>
            </w:pPr>
          </w:p>
        </w:tc>
        <w:tc>
          <w:tcPr>
            <w:tcW w:w="942" w:type="dxa"/>
            <w:vMerge w:val="continue"/>
            <w:tcBorders>
              <w:top w:val="nil"/>
              <w:bottom w:val="nil"/>
            </w:tcBorders>
            <w:vAlign w:val="top"/>
          </w:tcPr>
          <w:p w14:paraId="4307E4B9">
            <w:pPr>
              <w:rPr>
                <w:rFonts w:ascii="Arial"/>
                <w:sz w:val="21"/>
              </w:rPr>
            </w:pPr>
          </w:p>
        </w:tc>
        <w:tc>
          <w:tcPr>
            <w:tcW w:w="1360" w:type="dxa"/>
            <w:vMerge w:val="continue"/>
            <w:tcBorders>
              <w:top w:val="nil"/>
              <w:bottom w:val="nil"/>
            </w:tcBorders>
            <w:vAlign w:val="top"/>
          </w:tcPr>
          <w:p w14:paraId="7697D3DD">
            <w:pPr>
              <w:rPr>
                <w:rFonts w:ascii="Arial"/>
                <w:sz w:val="21"/>
              </w:rPr>
            </w:pPr>
          </w:p>
        </w:tc>
        <w:tc>
          <w:tcPr>
            <w:tcW w:w="1581" w:type="dxa"/>
            <w:vMerge w:val="continue"/>
            <w:tcBorders>
              <w:top w:val="nil"/>
              <w:bottom w:val="nil"/>
            </w:tcBorders>
            <w:vAlign w:val="top"/>
          </w:tcPr>
          <w:p w14:paraId="34C1D04F">
            <w:pPr>
              <w:rPr>
                <w:rFonts w:ascii="Arial"/>
                <w:sz w:val="21"/>
              </w:rPr>
            </w:pPr>
          </w:p>
        </w:tc>
        <w:tc>
          <w:tcPr>
            <w:tcW w:w="1586" w:type="dxa"/>
            <w:vAlign w:val="top"/>
          </w:tcPr>
          <w:p w14:paraId="238810B2">
            <w:pPr>
              <w:pStyle w:val="51"/>
              <w:spacing w:before="238" w:line="324" w:lineRule="auto"/>
              <w:ind w:left="214" w:right="60" w:hanging="177"/>
              <w:rPr>
                <w:sz w:val="17"/>
                <w:szCs w:val="17"/>
              </w:rPr>
            </w:pPr>
            <w:r>
              <w:rPr>
                <w:spacing w:val="4"/>
                <w:sz w:val="17"/>
                <w:szCs w:val="17"/>
              </w:rPr>
              <w:t>普通白菜(小白菜、</w:t>
            </w:r>
            <w:r>
              <w:rPr>
                <w:spacing w:val="7"/>
                <w:sz w:val="17"/>
                <w:szCs w:val="17"/>
              </w:rPr>
              <w:t>小油菜、青菜)</w:t>
            </w:r>
          </w:p>
        </w:tc>
        <w:tc>
          <w:tcPr>
            <w:tcW w:w="682" w:type="dxa"/>
            <w:vAlign w:val="top"/>
          </w:tcPr>
          <w:p w14:paraId="4A1826B6">
            <w:pPr>
              <w:spacing w:line="332" w:lineRule="auto"/>
              <w:rPr>
                <w:rFonts w:ascii="Arial"/>
                <w:sz w:val="21"/>
              </w:rPr>
            </w:pPr>
          </w:p>
          <w:p w14:paraId="5415E988">
            <w:pPr>
              <w:pStyle w:val="51"/>
              <w:spacing w:before="55" w:line="227" w:lineRule="auto"/>
              <w:ind w:left="170"/>
              <w:rPr>
                <w:sz w:val="17"/>
                <w:szCs w:val="17"/>
              </w:rPr>
            </w:pPr>
            <w:r>
              <w:rPr>
                <w:spacing w:val="3"/>
                <w:sz w:val="17"/>
                <w:szCs w:val="17"/>
              </w:rPr>
              <w:t>较高</w:t>
            </w:r>
          </w:p>
        </w:tc>
        <w:tc>
          <w:tcPr>
            <w:tcW w:w="8563" w:type="dxa"/>
            <w:vAlign w:val="top"/>
          </w:tcPr>
          <w:p w14:paraId="23CBF9BE">
            <w:pPr>
              <w:pStyle w:val="51"/>
              <w:spacing w:before="90" w:line="291" w:lineRule="auto"/>
              <w:ind w:left="37" w:right="24"/>
              <w:jc w:val="both"/>
              <w:rPr>
                <w:sz w:val="17"/>
                <w:szCs w:val="17"/>
              </w:rPr>
            </w:pPr>
            <w:r>
              <w:rPr>
                <w:spacing w:val="9"/>
                <w:sz w:val="17"/>
                <w:szCs w:val="17"/>
              </w:rPr>
              <w:t>镉(以</w:t>
            </w:r>
            <w:r>
              <w:rPr>
                <w:sz w:val="17"/>
                <w:szCs w:val="17"/>
              </w:rPr>
              <w:t>Cd</w:t>
            </w:r>
            <w:r>
              <w:rPr>
                <w:spacing w:val="9"/>
                <w:sz w:val="17"/>
                <w:szCs w:val="17"/>
              </w:rPr>
              <w:t>计)、阿维菌素、吡虫啉、敌敌畏、</w:t>
            </w:r>
            <w:r>
              <w:rPr>
                <w:spacing w:val="-37"/>
                <w:sz w:val="17"/>
                <w:szCs w:val="17"/>
              </w:rPr>
              <w:t xml:space="preserve"> </w:t>
            </w:r>
            <w:r>
              <w:rPr>
                <w:spacing w:val="9"/>
                <w:sz w:val="17"/>
                <w:szCs w:val="17"/>
              </w:rPr>
              <w:t>啶虫脒、毒死蜱、氟虫腈、氟氯</w:t>
            </w:r>
            <w:r>
              <w:rPr>
                <w:spacing w:val="8"/>
                <w:sz w:val="17"/>
                <w:szCs w:val="17"/>
              </w:rPr>
              <w:t>氰菊酯和高效氟氯氰菊酯、</w:t>
            </w:r>
            <w:r>
              <w:rPr>
                <w:spacing w:val="-43"/>
                <w:sz w:val="17"/>
                <w:szCs w:val="17"/>
              </w:rPr>
              <w:t xml:space="preserve"> </w:t>
            </w:r>
            <w:r>
              <w:rPr>
                <w:spacing w:val="8"/>
                <w:sz w:val="17"/>
                <w:szCs w:val="17"/>
              </w:rPr>
              <w:t>甲氨</w:t>
            </w:r>
            <w:r>
              <w:rPr>
                <w:spacing w:val="11"/>
                <w:sz w:val="17"/>
                <w:szCs w:val="17"/>
              </w:rPr>
              <w:t>基阿维菌素苯甲酸盐、甲拌磷、甲基异柳磷、克百威、氯氟氰菊酯和高效氯氟</w:t>
            </w:r>
            <w:r>
              <w:rPr>
                <w:spacing w:val="10"/>
                <w:sz w:val="17"/>
                <w:szCs w:val="17"/>
              </w:rPr>
              <w:t>氰菊酯、氯氰菊酯和高效氯氰</w:t>
            </w:r>
            <w:r>
              <w:rPr>
                <w:spacing w:val="8"/>
                <w:sz w:val="17"/>
                <w:szCs w:val="17"/>
              </w:rPr>
              <w:t>菊酯、噻虫胺、氧乐果、乙酰甲胺磷</w:t>
            </w:r>
          </w:p>
        </w:tc>
      </w:tr>
      <w:tr w14:paraId="785F66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4" w:hRule="atLeast"/>
        </w:trPr>
        <w:tc>
          <w:tcPr>
            <w:tcW w:w="459" w:type="dxa"/>
            <w:vMerge w:val="continue"/>
            <w:tcBorders>
              <w:top w:val="nil"/>
              <w:bottom w:val="nil"/>
            </w:tcBorders>
            <w:vAlign w:val="top"/>
          </w:tcPr>
          <w:p w14:paraId="2BFAA77D">
            <w:pPr>
              <w:rPr>
                <w:rFonts w:ascii="Arial"/>
                <w:sz w:val="21"/>
              </w:rPr>
            </w:pPr>
          </w:p>
        </w:tc>
        <w:tc>
          <w:tcPr>
            <w:tcW w:w="942" w:type="dxa"/>
            <w:vMerge w:val="continue"/>
            <w:tcBorders>
              <w:top w:val="nil"/>
              <w:bottom w:val="nil"/>
            </w:tcBorders>
            <w:vAlign w:val="top"/>
          </w:tcPr>
          <w:p w14:paraId="57185B60">
            <w:pPr>
              <w:rPr>
                <w:rFonts w:ascii="Arial"/>
                <w:sz w:val="21"/>
              </w:rPr>
            </w:pPr>
          </w:p>
        </w:tc>
        <w:tc>
          <w:tcPr>
            <w:tcW w:w="1360" w:type="dxa"/>
            <w:vMerge w:val="continue"/>
            <w:tcBorders>
              <w:top w:val="nil"/>
              <w:bottom w:val="nil"/>
            </w:tcBorders>
            <w:vAlign w:val="top"/>
          </w:tcPr>
          <w:p w14:paraId="6BB2EF4C">
            <w:pPr>
              <w:rPr>
                <w:rFonts w:ascii="Arial"/>
                <w:sz w:val="21"/>
              </w:rPr>
            </w:pPr>
          </w:p>
        </w:tc>
        <w:tc>
          <w:tcPr>
            <w:tcW w:w="1581" w:type="dxa"/>
            <w:vMerge w:val="continue"/>
            <w:tcBorders>
              <w:top w:val="nil"/>
              <w:bottom w:val="nil"/>
            </w:tcBorders>
            <w:vAlign w:val="top"/>
          </w:tcPr>
          <w:p w14:paraId="718934F8">
            <w:pPr>
              <w:rPr>
                <w:rFonts w:ascii="Arial"/>
                <w:sz w:val="21"/>
              </w:rPr>
            </w:pPr>
          </w:p>
        </w:tc>
        <w:tc>
          <w:tcPr>
            <w:tcW w:w="1586" w:type="dxa"/>
            <w:vAlign w:val="top"/>
          </w:tcPr>
          <w:p w14:paraId="7AC08B37">
            <w:pPr>
              <w:spacing w:line="332" w:lineRule="auto"/>
              <w:rPr>
                <w:rFonts w:ascii="Arial"/>
                <w:sz w:val="21"/>
              </w:rPr>
            </w:pPr>
          </w:p>
          <w:p w14:paraId="20AB4900">
            <w:pPr>
              <w:pStyle w:val="51"/>
              <w:spacing w:before="55" w:line="224" w:lineRule="auto"/>
              <w:ind w:left="622"/>
              <w:rPr>
                <w:sz w:val="17"/>
                <w:szCs w:val="17"/>
              </w:rPr>
            </w:pPr>
            <w:r>
              <w:rPr>
                <w:spacing w:val="3"/>
                <w:sz w:val="17"/>
                <w:szCs w:val="17"/>
              </w:rPr>
              <w:t>芹菜</w:t>
            </w:r>
          </w:p>
        </w:tc>
        <w:tc>
          <w:tcPr>
            <w:tcW w:w="682" w:type="dxa"/>
            <w:vAlign w:val="top"/>
          </w:tcPr>
          <w:p w14:paraId="5D520167">
            <w:pPr>
              <w:spacing w:line="332" w:lineRule="auto"/>
              <w:rPr>
                <w:rFonts w:ascii="Arial"/>
                <w:sz w:val="21"/>
              </w:rPr>
            </w:pPr>
          </w:p>
          <w:p w14:paraId="4B5D2716">
            <w:pPr>
              <w:pStyle w:val="51"/>
              <w:spacing w:before="55" w:line="227" w:lineRule="auto"/>
              <w:ind w:left="170"/>
              <w:rPr>
                <w:sz w:val="17"/>
                <w:szCs w:val="17"/>
              </w:rPr>
            </w:pPr>
            <w:r>
              <w:rPr>
                <w:spacing w:val="3"/>
                <w:sz w:val="17"/>
                <w:szCs w:val="17"/>
              </w:rPr>
              <w:t>较高</w:t>
            </w:r>
          </w:p>
        </w:tc>
        <w:tc>
          <w:tcPr>
            <w:tcW w:w="8563" w:type="dxa"/>
            <w:vAlign w:val="top"/>
          </w:tcPr>
          <w:p w14:paraId="192E0304">
            <w:pPr>
              <w:pStyle w:val="51"/>
              <w:spacing w:before="90" w:line="291" w:lineRule="auto"/>
              <w:ind w:left="46" w:hanging="9"/>
              <w:rPr>
                <w:sz w:val="17"/>
                <w:szCs w:val="17"/>
              </w:rPr>
            </w:pPr>
            <w:r>
              <w:rPr>
                <w:spacing w:val="8"/>
                <w:sz w:val="17"/>
                <w:szCs w:val="17"/>
              </w:rPr>
              <w:t>铅(以</w:t>
            </w:r>
            <w:r>
              <w:rPr>
                <w:sz w:val="17"/>
                <w:szCs w:val="17"/>
              </w:rPr>
              <w:t>Pb</w:t>
            </w:r>
            <w:r>
              <w:rPr>
                <w:spacing w:val="8"/>
                <w:sz w:val="17"/>
                <w:szCs w:val="17"/>
              </w:rPr>
              <w:t>计)、镉(以</w:t>
            </w:r>
            <w:r>
              <w:rPr>
                <w:sz w:val="17"/>
                <w:szCs w:val="17"/>
              </w:rPr>
              <w:t>Cd</w:t>
            </w:r>
            <w:r>
              <w:rPr>
                <w:spacing w:val="8"/>
                <w:sz w:val="17"/>
                <w:szCs w:val="17"/>
              </w:rPr>
              <w:t>计)、阿维菌素、百菌清、苯醚</w:t>
            </w:r>
            <w:r>
              <w:rPr>
                <w:spacing w:val="7"/>
                <w:sz w:val="17"/>
                <w:szCs w:val="17"/>
              </w:rPr>
              <w:t>甲环唑、敌敌畏、啶虫脒、毒死蜱、二甲戊灵、氟虫腈、</w:t>
            </w:r>
            <w:r>
              <w:rPr>
                <w:spacing w:val="9"/>
                <w:sz w:val="17"/>
                <w:szCs w:val="17"/>
              </w:rPr>
              <w:t>甲拌磷、甲基异柳磷、腈菌唑、克百威、乐果、氯氟氰菊酯和高效氯氟氰菊酯、氯氰菊酯和高效氯氰菊酯、噻虫胺、噻虫嗪、三氯杀螨醇、水胺硫磷、辛硫磷</w:t>
            </w:r>
            <w:r>
              <w:rPr>
                <w:spacing w:val="8"/>
                <w:sz w:val="17"/>
                <w:szCs w:val="17"/>
              </w:rPr>
              <w:t>、氧乐果、乙酰甲胺磷</w:t>
            </w:r>
          </w:p>
        </w:tc>
      </w:tr>
      <w:tr w14:paraId="166150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7" w:hRule="atLeast"/>
        </w:trPr>
        <w:tc>
          <w:tcPr>
            <w:tcW w:w="459" w:type="dxa"/>
            <w:vMerge w:val="continue"/>
            <w:tcBorders>
              <w:top w:val="nil"/>
            </w:tcBorders>
            <w:vAlign w:val="top"/>
          </w:tcPr>
          <w:p w14:paraId="1DFF12E6">
            <w:pPr>
              <w:rPr>
                <w:rFonts w:ascii="Arial"/>
                <w:sz w:val="21"/>
              </w:rPr>
            </w:pPr>
          </w:p>
        </w:tc>
        <w:tc>
          <w:tcPr>
            <w:tcW w:w="942" w:type="dxa"/>
            <w:vMerge w:val="continue"/>
            <w:tcBorders>
              <w:top w:val="nil"/>
            </w:tcBorders>
            <w:vAlign w:val="top"/>
          </w:tcPr>
          <w:p w14:paraId="1EE99793">
            <w:pPr>
              <w:rPr>
                <w:rFonts w:ascii="Arial"/>
                <w:sz w:val="21"/>
              </w:rPr>
            </w:pPr>
          </w:p>
        </w:tc>
        <w:tc>
          <w:tcPr>
            <w:tcW w:w="1360" w:type="dxa"/>
            <w:vMerge w:val="continue"/>
            <w:tcBorders>
              <w:top w:val="nil"/>
            </w:tcBorders>
            <w:vAlign w:val="top"/>
          </w:tcPr>
          <w:p w14:paraId="6CD7ACBB">
            <w:pPr>
              <w:rPr>
                <w:rFonts w:ascii="Arial"/>
                <w:sz w:val="21"/>
              </w:rPr>
            </w:pPr>
          </w:p>
        </w:tc>
        <w:tc>
          <w:tcPr>
            <w:tcW w:w="1581" w:type="dxa"/>
            <w:vMerge w:val="continue"/>
            <w:tcBorders>
              <w:top w:val="nil"/>
            </w:tcBorders>
            <w:vAlign w:val="top"/>
          </w:tcPr>
          <w:p w14:paraId="2E0D9518">
            <w:pPr>
              <w:rPr>
                <w:rFonts w:ascii="Arial"/>
                <w:sz w:val="21"/>
              </w:rPr>
            </w:pPr>
          </w:p>
        </w:tc>
        <w:tc>
          <w:tcPr>
            <w:tcW w:w="1586" w:type="dxa"/>
            <w:vAlign w:val="top"/>
          </w:tcPr>
          <w:p w14:paraId="7521DF14">
            <w:pPr>
              <w:pStyle w:val="51"/>
              <w:spacing w:before="241" w:line="224" w:lineRule="auto"/>
              <w:ind w:left="536"/>
              <w:rPr>
                <w:sz w:val="17"/>
                <w:szCs w:val="17"/>
              </w:rPr>
            </w:pPr>
            <w:r>
              <w:rPr>
                <w:spacing w:val="4"/>
                <w:sz w:val="17"/>
                <w:szCs w:val="17"/>
              </w:rPr>
              <w:t>油麦菜</w:t>
            </w:r>
          </w:p>
        </w:tc>
        <w:tc>
          <w:tcPr>
            <w:tcW w:w="682" w:type="dxa"/>
            <w:vAlign w:val="top"/>
          </w:tcPr>
          <w:p w14:paraId="22FED5BE">
            <w:pPr>
              <w:pStyle w:val="51"/>
              <w:spacing w:before="241" w:line="227" w:lineRule="auto"/>
              <w:ind w:left="170"/>
              <w:rPr>
                <w:sz w:val="17"/>
                <w:szCs w:val="17"/>
              </w:rPr>
            </w:pPr>
            <w:r>
              <w:rPr>
                <w:spacing w:val="3"/>
                <w:sz w:val="17"/>
                <w:szCs w:val="17"/>
              </w:rPr>
              <w:t>较高</w:t>
            </w:r>
          </w:p>
        </w:tc>
        <w:tc>
          <w:tcPr>
            <w:tcW w:w="8563" w:type="dxa"/>
            <w:vAlign w:val="top"/>
          </w:tcPr>
          <w:p w14:paraId="38E2F6A3">
            <w:pPr>
              <w:pStyle w:val="51"/>
              <w:spacing w:before="90" w:line="275" w:lineRule="auto"/>
              <w:ind w:left="43" w:right="24" w:firstLine="5"/>
              <w:rPr>
                <w:sz w:val="17"/>
                <w:szCs w:val="17"/>
              </w:rPr>
            </w:pPr>
            <w:r>
              <w:rPr>
                <w:spacing w:val="11"/>
                <w:sz w:val="17"/>
                <w:szCs w:val="17"/>
              </w:rPr>
              <w:t>阿维菌素、吡虫啉、啶虫脒、毒死蜱、氟虫腈、甲氨</w:t>
            </w:r>
            <w:r>
              <w:rPr>
                <w:spacing w:val="10"/>
                <w:sz w:val="17"/>
                <w:szCs w:val="17"/>
              </w:rPr>
              <w:t>基阿维菌素苯甲酸盐、甲拌磷、腈菌唑、氯氟氰菊酯和</w:t>
            </w:r>
            <w:r>
              <w:rPr>
                <w:spacing w:val="9"/>
                <w:sz w:val="17"/>
                <w:szCs w:val="17"/>
              </w:rPr>
              <w:t>高效氯氟氰菊酯、灭多威、噻虫嗪、氧乐果、乙酰甲胺磷</w:t>
            </w:r>
          </w:p>
        </w:tc>
      </w:tr>
    </w:tbl>
    <w:p w14:paraId="21B44140">
      <w:pPr>
        <w:rPr>
          <w:rFonts w:ascii="Arial"/>
          <w:sz w:val="21"/>
        </w:rPr>
      </w:pPr>
    </w:p>
    <w:p w14:paraId="18C731FD">
      <w:pPr>
        <w:rPr>
          <w:rFonts w:ascii="Arial" w:hAnsi="Arial" w:eastAsia="Arial" w:cs="Arial"/>
          <w:sz w:val="21"/>
          <w:szCs w:val="21"/>
        </w:rPr>
        <w:sectPr>
          <w:pgSz w:w="16838" w:h="11906"/>
          <w:pgMar w:top="1011" w:right="829" w:bottom="400" w:left="366" w:header="567" w:footer="567" w:gutter="0"/>
          <w:pgNumType w:fmt="decimal"/>
          <w:cols w:space="720" w:num="1"/>
        </w:sectPr>
      </w:pPr>
    </w:p>
    <w:p w14:paraId="606FCD26">
      <w:pPr>
        <w:spacing w:before="18"/>
      </w:pPr>
    </w:p>
    <w:p w14:paraId="5C5C167B">
      <w:pPr>
        <w:spacing w:before="18"/>
      </w:pPr>
    </w:p>
    <w:tbl>
      <w:tblPr>
        <w:tblStyle w:val="50"/>
        <w:tblW w:w="15173" w:type="dxa"/>
        <w:tblInd w:w="46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59"/>
        <w:gridCol w:w="942"/>
        <w:gridCol w:w="1360"/>
        <w:gridCol w:w="1581"/>
        <w:gridCol w:w="1586"/>
        <w:gridCol w:w="682"/>
        <w:gridCol w:w="8563"/>
      </w:tblGrid>
      <w:tr w14:paraId="6B3D9C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459" w:type="dxa"/>
            <w:vAlign w:val="top"/>
          </w:tcPr>
          <w:p w14:paraId="37813FF7">
            <w:pPr>
              <w:spacing w:before="241" w:line="234" w:lineRule="auto"/>
              <w:ind w:left="52"/>
              <w:rPr>
                <w:rFonts w:ascii="黑体" w:hAnsi="黑体" w:eastAsia="黑体" w:cs="黑体"/>
                <w:sz w:val="17"/>
                <w:szCs w:val="17"/>
              </w:rPr>
            </w:pPr>
            <w:r>
              <w:rPr>
                <w:rFonts w:ascii="黑体" w:hAnsi="黑体" w:eastAsia="黑体" w:cs="黑体"/>
                <w:spacing w:val="6"/>
                <w:sz w:val="17"/>
                <w:szCs w:val="17"/>
              </w:rPr>
              <w:t>序号</w:t>
            </w:r>
          </w:p>
        </w:tc>
        <w:tc>
          <w:tcPr>
            <w:tcW w:w="942" w:type="dxa"/>
            <w:vAlign w:val="top"/>
          </w:tcPr>
          <w:p w14:paraId="156B733D">
            <w:pPr>
              <w:spacing w:before="90" w:line="232" w:lineRule="auto"/>
              <w:ind w:left="111"/>
              <w:rPr>
                <w:rFonts w:ascii="黑体" w:hAnsi="黑体" w:eastAsia="黑体" w:cs="黑体"/>
                <w:sz w:val="17"/>
                <w:szCs w:val="17"/>
              </w:rPr>
            </w:pPr>
            <w:r>
              <w:rPr>
                <w:rFonts w:ascii="黑体" w:hAnsi="黑体" w:eastAsia="黑体" w:cs="黑体"/>
                <w:spacing w:val="8"/>
                <w:sz w:val="17"/>
                <w:szCs w:val="17"/>
              </w:rPr>
              <w:t>食品大类</w:t>
            </w:r>
          </w:p>
          <w:p w14:paraId="494524BC">
            <w:pPr>
              <w:spacing w:before="86" w:line="227" w:lineRule="auto"/>
              <w:ind w:left="237"/>
              <w:rPr>
                <w:rFonts w:ascii="黑体" w:hAnsi="黑体" w:eastAsia="黑体" w:cs="黑体"/>
                <w:sz w:val="17"/>
                <w:szCs w:val="17"/>
              </w:rPr>
            </w:pPr>
            <w:r>
              <w:rPr>
                <w:rFonts w:ascii="黑体" w:hAnsi="黑体" w:eastAsia="黑体" w:cs="黑体"/>
                <w:spacing w:val="-4"/>
                <w:sz w:val="17"/>
                <w:szCs w:val="17"/>
              </w:rPr>
              <w:t>(一级)</w:t>
            </w:r>
          </w:p>
        </w:tc>
        <w:tc>
          <w:tcPr>
            <w:tcW w:w="1360" w:type="dxa"/>
            <w:vAlign w:val="top"/>
          </w:tcPr>
          <w:p w14:paraId="29349CF4">
            <w:pPr>
              <w:spacing w:before="90" w:line="232" w:lineRule="auto"/>
              <w:ind w:left="321"/>
              <w:rPr>
                <w:rFonts w:ascii="黑体" w:hAnsi="黑体" w:eastAsia="黑体" w:cs="黑体"/>
                <w:sz w:val="17"/>
                <w:szCs w:val="17"/>
              </w:rPr>
            </w:pPr>
            <w:r>
              <w:rPr>
                <w:rFonts w:ascii="黑体" w:hAnsi="黑体" w:eastAsia="黑体" w:cs="黑体"/>
                <w:spacing w:val="8"/>
                <w:sz w:val="17"/>
                <w:szCs w:val="17"/>
              </w:rPr>
              <w:t>食品亚类</w:t>
            </w:r>
          </w:p>
          <w:p w14:paraId="50D4BFD9">
            <w:pPr>
              <w:spacing w:before="86" w:line="227" w:lineRule="auto"/>
              <w:ind w:left="444"/>
              <w:rPr>
                <w:rFonts w:ascii="黑体" w:hAnsi="黑体" w:eastAsia="黑体" w:cs="黑体"/>
                <w:sz w:val="17"/>
                <w:szCs w:val="17"/>
              </w:rPr>
            </w:pPr>
            <w:r>
              <w:rPr>
                <w:rFonts w:ascii="黑体" w:hAnsi="黑体" w:eastAsia="黑体" w:cs="黑体"/>
                <w:spacing w:val="-3"/>
                <w:sz w:val="17"/>
                <w:szCs w:val="17"/>
              </w:rPr>
              <w:t>(二级)</w:t>
            </w:r>
          </w:p>
        </w:tc>
        <w:tc>
          <w:tcPr>
            <w:tcW w:w="1581" w:type="dxa"/>
            <w:vAlign w:val="top"/>
          </w:tcPr>
          <w:p w14:paraId="040D9645">
            <w:pPr>
              <w:spacing w:before="90" w:line="232" w:lineRule="auto"/>
              <w:ind w:left="433"/>
              <w:rPr>
                <w:rFonts w:ascii="黑体" w:hAnsi="黑体" w:eastAsia="黑体" w:cs="黑体"/>
                <w:sz w:val="17"/>
                <w:szCs w:val="17"/>
              </w:rPr>
            </w:pPr>
            <w:r>
              <w:rPr>
                <w:rFonts w:ascii="黑体" w:hAnsi="黑体" w:eastAsia="黑体" w:cs="黑体"/>
                <w:spacing w:val="8"/>
                <w:sz w:val="17"/>
                <w:szCs w:val="17"/>
              </w:rPr>
              <w:t>食品品种</w:t>
            </w:r>
          </w:p>
          <w:p w14:paraId="49A302E2">
            <w:pPr>
              <w:spacing w:before="86" w:line="227" w:lineRule="auto"/>
              <w:ind w:left="558"/>
              <w:rPr>
                <w:rFonts w:ascii="黑体" w:hAnsi="黑体" w:eastAsia="黑体" w:cs="黑体"/>
                <w:sz w:val="17"/>
                <w:szCs w:val="17"/>
              </w:rPr>
            </w:pPr>
            <w:r>
              <w:rPr>
                <w:rFonts w:ascii="黑体" w:hAnsi="黑体" w:eastAsia="黑体" w:cs="黑体"/>
                <w:spacing w:val="-4"/>
                <w:sz w:val="17"/>
                <w:szCs w:val="17"/>
              </w:rPr>
              <w:t>(三级)</w:t>
            </w:r>
          </w:p>
        </w:tc>
        <w:tc>
          <w:tcPr>
            <w:tcW w:w="1586" w:type="dxa"/>
            <w:vAlign w:val="top"/>
          </w:tcPr>
          <w:p w14:paraId="5CAFFD43">
            <w:pPr>
              <w:spacing w:before="90" w:line="232" w:lineRule="auto"/>
              <w:ind w:left="436"/>
              <w:rPr>
                <w:rFonts w:ascii="黑体" w:hAnsi="黑体" w:eastAsia="黑体" w:cs="黑体"/>
                <w:sz w:val="17"/>
                <w:szCs w:val="17"/>
              </w:rPr>
            </w:pPr>
            <w:r>
              <w:rPr>
                <w:rFonts w:ascii="黑体" w:hAnsi="黑体" w:eastAsia="黑体" w:cs="黑体"/>
                <w:spacing w:val="8"/>
                <w:sz w:val="17"/>
                <w:szCs w:val="17"/>
              </w:rPr>
              <w:t>食品细类</w:t>
            </w:r>
          </w:p>
          <w:p w14:paraId="7B8F69BB">
            <w:pPr>
              <w:spacing w:before="86" w:line="227" w:lineRule="auto"/>
              <w:ind w:left="561"/>
              <w:rPr>
                <w:rFonts w:ascii="黑体" w:hAnsi="黑体" w:eastAsia="黑体" w:cs="黑体"/>
                <w:sz w:val="17"/>
                <w:szCs w:val="17"/>
              </w:rPr>
            </w:pPr>
            <w:r>
              <w:rPr>
                <w:rFonts w:ascii="黑体" w:hAnsi="黑体" w:eastAsia="黑体" w:cs="黑体"/>
                <w:spacing w:val="-4"/>
                <w:sz w:val="17"/>
                <w:szCs w:val="17"/>
              </w:rPr>
              <w:t>(四级)</w:t>
            </w:r>
          </w:p>
        </w:tc>
        <w:tc>
          <w:tcPr>
            <w:tcW w:w="682" w:type="dxa"/>
            <w:vAlign w:val="top"/>
          </w:tcPr>
          <w:p w14:paraId="275D830F">
            <w:pPr>
              <w:spacing w:before="89" w:line="233" w:lineRule="auto"/>
              <w:ind w:left="166"/>
              <w:rPr>
                <w:rFonts w:ascii="黑体" w:hAnsi="黑体" w:eastAsia="黑体" w:cs="黑体"/>
                <w:sz w:val="17"/>
                <w:szCs w:val="17"/>
              </w:rPr>
            </w:pPr>
            <w:r>
              <w:rPr>
                <w:rFonts w:ascii="黑体" w:hAnsi="黑体" w:eastAsia="黑体" w:cs="黑体"/>
                <w:spacing w:val="6"/>
                <w:sz w:val="17"/>
                <w:szCs w:val="17"/>
              </w:rPr>
              <w:t>风险</w:t>
            </w:r>
          </w:p>
          <w:p w14:paraId="06389F0B">
            <w:pPr>
              <w:spacing w:before="85" w:line="227" w:lineRule="auto"/>
              <w:ind w:left="163"/>
              <w:rPr>
                <w:rFonts w:ascii="黑体" w:hAnsi="黑体" w:eastAsia="黑体" w:cs="黑体"/>
                <w:sz w:val="17"/>
                <w:szCs w:val="17"/>
              </w:rPr>
            </w:pPr>
            <w:r>
              <w:rPr>
                <w:rFonts w:ascii="黑体" w:hAnsi="黑体" w:eastAsia="黑体" w:cs="黑体"/>
                <w:spacing w:val="7"/>
                <w:sz w:val="17"/>
                <w:szCs w:val="17"/>
              </w:rPr>
              <w:t>等级</w:t>
            </w:r>
          </w:p>
        </w:tc>
        <w:tc>
          <w:tcPr>
            <w:tcW w:w="8563" w:type="dxa"/>
            <w:vAlign w:val="top"/>
          </w:tcPr>
          <w:p w14:paraId="2EE0241F">
            <w:pPr>
              <w:spacing w:before="241" w:line="232" w:lineRule="auto"/>
              <w:ind w:left="3744"/>
              <w:rPr>
                <w:rFonts w:ascii="黑体" w:hAnsi="黑体" w:eastAsia="黑体" w:cs="黑体"/>
                <w:sz w:val="17"/>
                <w:szCs w:val="17"/>
              </w:rPr>
            </w:pPr>
            <w:r>
              <w:rPr>
                <w:rFonts w:ascii="黑体" w:hAnsi="黑体" w:eastAsia="黑体" w:cs="黑体"/>
                <w:spacing w:val="8"/>
                <w:sz w:val="17"/>
                <w:szCs w:val="17"/>
              </w:rPr>
              <w:t>监督抽检项目</w:t>
            </w:r>
          </w:p>
        </w:tc>
      </w:tr>
      <w:tr w14:paraId="2D8B2E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4" w:hRule="atLeast"/>
        </w:trPr>
        <w:tc>
          <w:tcPr>
            <w:tcW w:w="459" w:type="dxa"/>
            <w:vMerge w:val="restart"/>
            <w:tcBorders>
              <w:bottom w:val="nil"/>
            </w:tcBorders>
            <w:vAlign w:val="top"/>
          </w:tcPr>
          <w:p w14:paraId="3E66B7B1">
            <w:pPr>
              <w:rPr>
                <w:rFonts w:ascii="Arial"/>
                <w:sz w:val="21"/>
              </w:rPr>
            </w:pPr>
          </w:p>
        </w:tc>
        <w:tc>
          <w:tcPr>
            <w:tcW w:w="942" w:type="dxa"/>
            <w:vMerge w:val="restart"/>
            <w:tcBorders>
              <w:bottom w:val="nil"/>
            </w:tcBorders>
            <w:vAlign w:val="top"/>
          </w:tcPr>
          <w:p w14:paraId="5CE42DDF">
            <w:pPr>
              <w:rPr>
                <w:rFonts w:ascii="Arial"/>
                <w:sz w:val="21"/>
              </w:rPr>
            </w:pPr>
          </w:p>
        </w:tc>
        <w:tc>
          <w:tcPr>
            <w:tcW w:w="1360" w:type="dxa"/>
            <w:vMerge w:val="restart"/>
            <w:tcBorders>
              <w:bottom w:val="nil"/>
            </w:tcBorders>
            <w:vAlign w:val="top"/>
          </w:tcPr>
          <w:p w14:paraId="4CCB6A7D">
            <w:pPr>
              <w:rPr>
                <w:rFonts w:ascii="Arial"/>
                <w:sz w:val="21"/>
              </w:rPr>
            </w:pPr>
          </w:p>
        </w:tc>
        <w:tc>
          <w:tcPr>
            <w:tcW w:w="1581" w:type="dxa"/>
            <w:vAlign w:val="top"/>
          </w:tcPr>
          <w:p w14:paraId="6FA98BCD">
            <w:pPr>
              <w:spacing w:line="328" w:lineRule="auto"/>
              <w:rPr>
                <w:rFonts w:ascii="Arial"/>
                <w:sz w:val="21"/>
              </w:rPr>
            </w:pPr>
          </w:p>
          <w:p w14:paraId="3325AE30">
            <w:pPr>
              <w:pStyle w:val="51"/>
              <w:spacing w:before="56" w:line="224" w:lineRule="auto"/>
              <w:ind w:left="349"/>
              <w:rPr>
                <w:sz w:val="17"/>
                <w:szCs w:val="17"/>
              </w:rPr>
            </w:pPr>
            <w:r>
              <w:rPr>
                <w:spacing w:val="7"/>
                <w:sz w:val="17"/>
                <w:szCs w:val="17"/>
              </w:rPr>
              <w:t>茄果类蔬菜</w:t>
            </w:r>
          </w:p>
        </w:tc>
        <w:tc>
          <w:tcPr>
            <w:tcW w:w="1586" w:type="dxa"/>
            <w:vAlign w:val="top"/>
          </w:tcPr>
          <w:p w14:paraId="7DC39C83">
            <w:pPr>
              <w:spacing w:line="329" w:lineRule="auto"/>
              <w:rPr>
                <w:rFonts w:ascii="Arial"/>
                <w:sz w:val="21"/>
              </w:rPr>
            </w:pPr>
          </w:p>
          <w:p w14:paraId="5D284C70">
            <w:pPr>
              <w:pStyle w:val="51"/>
              <w:spacing w:before="55" w:line="227" w:lineRule="auto"/>
              <w:ind w:left="621"/>
              <w:rPr>
                <w:sz w:val="17"/>
                <w:szCs w:val="17"/>
              </w:rPr>
            </w:pPr>
            <w:r>
              <w:rPr>
                <w:spacing w:val="3"/>
                <w:sz w:val="17"/>
                <w:szCs w:val="17"/>
              </w:rPr>
              <w:t>辣椒</w:t>
            </w:r>
          </w:p>
        </w:tc>
        <w:tc>
          <w:tcPr>
            <w:tcW w:w="682" w:type="dxa"/>
            <w:vAlign w:val="top"/>
          </w:tcPr>
          <w:p w14:paraId="58C47D13">
            <w:pPr>
              <w:spacing w:line="329" w:lineRule="auto"/>
              <w:rPr>
                <w:rFonts w:ascii="Arial"/>
                <w:sz w:val="21"/>
              </w:rPr>
            </w:pPr>
          </w:p>
          <w:p w14:paraId="1D5DEC93">
            <w:pPr>
              <w:pStyle w:val="51"/>
              <w:spacing w:before="55" w:line="227" w:lineRule="auto"/>
              <w:ind w:left="170"/>
              <w:rPr>
                <w:sz w:val="17"/>
                <w:szCs w:val="17"/>
              </w:rPr>
            </w:pPr>
            <w:r>
              <w:rPr>
                <w:spacing w:val="3"/>
                <w:sz w:val="17"/>
                <w:szCs w:val="17"/>
              </w:rPr>
              <w:t>较高</w:t>
            </w:r>
          </w:p>
        </w:tc>
        <w:tc>
          <w:tcPr>
            <w:tcW w:w="8563" w:type="dxa"/>
            <w:vAlign w:val="top"/>
          </w:tcPr>
          <w:p w14:paraId="48925127">
            <w:pPr>
              <w:pStyle w:val="51"/>
              <w:spacing w:before="87" w:line="292" w:lineRule="auto"/>
              <w:ind w:left="37" w:right="24"/>
              <w:jc w:val="both"/>
              <w:rPr>
                <w:sz w:val="17"/>
                <w:szCs w:val="17"/>
              </w:rPr>
            </w:pPr>
            <w:r>
              <w:rPr>
                <w:spacing w:val="7"/>
                <w:sz w:val="17"/>
                <w:szCs w:val="17"/>
              </w:rPr>
              <w:t>铅(以</w:t>
            </w:r>
            <w:r>
              <w:rPr>
                <w:sz w:val="17"/>
                <w:szCs w:val="17"/>
              </w:rPr>
              <w:t>Pb</w:t>
            </w:r>
            <w:r>
              <w:rPr>
                <w:spacing w:val="7"/>
                <w:sz w:val="17"/>
                <w:szCs w:val="17"/>
              </w:rPr>
              <w:t>计)、镉(以</w:t>
            </w:r>
            <w:r>
              <w:rPr>
                <w:sz w:val="17"/>
                <w:szCs w:val="17"/>
              </w:rPr>
              <w:t>Cd</w:t>
            </w:r>
            <w:r>
              <w:rPr>
                <w:spacing w:val="7"/>
                <w:sz w:val="17"/>
                <w:szCs w:val="17"/>
              </w:rPr>
              <w:t>计)、倍硫磷、吡虫啉、吡唑醚菌酯、</w:t>
            </w:r>
            <w:r>
              <w:rPr>
                <w:spacing w:val="-21"/>
                <w:sz w:val="17"/>
                <w:szCs w:val="17"/>
              </w:rPr>
              <w:t xml:space="preserve"> </w:t>
            </w:r>
            <w:r>
              <w:rPr>
                <w:spacing w:val="7"/>
                <w:sz w:val="17"/>
                <w:szCs w:val="17"/>
              </w:rPr>
              <w:t>丙溴磷、敌敌畏、啶虫脒、毒死蜱、</w:t>
            </w:r>
            <w:r>
              <w:rPr>
                <w:spacing w:val="-17"/>
                <w:sz w:val="17"/>
                <w:szCs w:val="17"/>
              </w:rPr>
              <w:t xml:space="preserve"> </w:t>
            </w:r>
            <w:r>
              <w:rPr>
                <w:spacing w:val="7"/>
                <w:sz w:val="17"/>
                <w:szCs w:val="17"/>
              </w:rPr>
              <w:t>呋虫胺、</w:t>
            </w:r>
            <w:r>
              <w:rPr>
                <w:spacing w:val="-43"/>
                <w:sz w:val="17"/>
                <w:szCs w:val="17"/>
              </w:rPr>
              <w:t xml:space="preserve"> </w:t>
            </w:r>
            <w:r>
              <w:rPr>
                <w:spacing w:val="7"/>
                <w:sz w:val="17"/>
                <w:szCs w:val="17"/>
              </w:rPr>
              <w:t>氟</w:t>
            </w:r>
            <w:r>
              <w:rPr>
                <w:spacing w:val="11"/>
                <w:sz w:val="17"/>
                <w:szCs w:val="17"/>
              </w:rPr>
              <w:t>虫腈、甲氨基阿维菌素苯甲酸盐、甲胺磷、甲拌磷、克百威、乐果、联苯菊酯</w:t>
            </w:r>
            <w:r>
              <w:rPr>
                <w:spacing w:val="10"/>
                <w:sz w:val="17"/>
                <w:szCs w:val="17"/>
              </w:rPr>
              <w:t>、氯氟氰菊酯和高效氯氟氰菊</w:t>
            </w:r>
            <w:r>
              <w:rPr>
                <w:spacing w:val="9"/>
                <w:sz w:val="17"/>
                <w:szCs w:val="17"/>
              </w:rPr>
              <w:t>酯、噻虫胺、噻虫嗪、三唑磷、杀扑磷、水胺硫磷、氧乐果、乙酰甲胺磷、氟吡菌胺</w:t>
            </w:r>
          </w:p>
        </w:tc>
      </w:tr>
      <w:tr w14:paraId="0ACC4E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1" w:hRule="atLeast"/>
        </w:trPr>
        <w:tc>
          <w:tcPr>
            <w:tcW w:w="459" w:type="dxa"/>
            <w:vMerge w:val="continue"/>
            <w:tcBorders>
              <w:top w:val="nil"/>
              <w:bottom w:val="nil"/>
            </w:tcBorders>
            <w:vAlign w:val="top"/>
          </w:tcPr>
          <w:p w14:paraId="2F01393D">
            <w:pPr>
              <w:rPr>
                <w:rFonts w:ascii="Arial"/>
                <w:sz w:val="21"/>
              </w:rPr>
            </w:pPr>
          </w:p>
        </w:tc>
        <w:tc>
          <w:tcPr>
            <w:tcW w:w="942" w:type="dxa"/>
            <w:vMerge w:val="continue"/>
            <w:tcBorders>
              <w:top w:val="nil"/>
              <w:bottom w:val="nil"/>
            </w:tcBorders>
            <w:vAlign w:val="top"/>
          </w:tcPr>
          <w:p w14:paraId="294678C9">
            <w:pPr>
              <w:rPr>
                <w:rFonts w:ascii="Arial"/>
                <w:sz w:val="21"/>
              </w:rPr>
            </w:pPr>
          </w:p>
        </w:tc>
        <w:tc>
          <w:tcPr>
            <w:tcW w:w="1360" w:type="dxa"/>
            <w:vMerge w:val="continue"/>
            <w:tcBorders>
              <w:top w:val="nil"/>
              <w:bottom w:val="nil"/>
            </w:tcBorders>
            <w:vAlign w:val="top"/>
          </w:tcPr>
          <w:p w14:paraId="5ED8DF90">
            <w:pPr>
              <w:rPr>
                <w:rFonts w:ascii="Arial"/>
                <w:sz w:val="21"/>
              </w:rPr>
            </w:pPr>
          </w:p>
        </w:tc>
        <w:tc>
          <w:tcPr>
            <w:tcW w:w="1581" w:type="dxa"/>
            <w:vMerge w:val="restart"/>
            <w:tcBorders>
              <w:bottom w:val="nil"/>
            </w:tcBorders>
            <w:vAlign w:val="top"/>
          </w:tcPr>
          <w:p w14:paraId="2E47F4E2">
            <w:pPr>
              <w:spacing w:line="422" w:lineRule="auto"/>
              <w:rPr>
                <w:rFonts w:ascii="Arial"/>
                <w:sz w:val="21"/>
              </w:rPr>
            </w:pPr>
          </w:p>
          <w:p w14:paraId="3D1A18C7">
            <w:pPr>
              <w:pStyle w:val="51"/>
              <w:spacing w:before="55" w:line="224" w:lineRule="auto"/>
              <w:ind w:left="349"/>
              <w:rPr>
                <w:sz w:val="17"/>
                <w:szCs w:val="17"/>
              </w:rPr>
            </w:pPr>
            <w:r>
              <w:rPr>
                <w:spacing w:val="7"/>
                <w:sz w:val="17"/>
                <w:szCs w:val="17"/>
              </w:rPr>
              <w:t>茄果类蔬菜</w:t>
            </w:r>
          </w:p>
        </w:tc>
        <w:tc>
          <w:tcPr>
            <w:tcW w:w="1586" w:type="dxa"/>
            <w:vAlign w:val="top"/>
          </w:tcPr>
          <w:p w14:paraId="7408D753">
            <w:pPr>
              <w:spacing w:line="248" w:lineRule="auto"/>
              <w:rPr>
                <w:rFonts w:ascii="Arial"/>
                <w:sz w:val="21"/>
              </w:rPr>
            </w:pPr>
          </w:p>
          <w:p w14:paraId="79271600">
            <w:pPr>
              <w:pStyle w:val="51"/>
              <w:spacing w:before="55" w:line="229" w:lineRule="auto"/>
              <w:ind w:left="621"/>
              <w:rPr>
                <w:sz w:val="17"/>
                <w:szCs w:val="17"/>
              </w:rPr>
            </w:pPr>
            <w:r>
              <w:rPr>
                <w:spacing w:val="3"/>
                <w:sz w:val="17"/>
                <w:szCs w:val="17"/>
              </w:rPr>
              <w:t>茄子</w:t>
            </w:r>
          </w:p>
        </w:tc>
        <w:tc>
          <w:tcPr>
            <w:tcW w:w="682" w:type="dxa"/>
            <w:vAlign w:val="top"/>
          </w:tcPr>
          <w:p w14:paraId="506DF43A">
            <w:pPr>
              <w:spacing w:line="248" w:lineRule="auto"/>
              <w:rPr>
                <w:rFonts w:ascii="Arial"/>
                <w:sz w:val="21"/>
              </w:rPr>
            </w:pPr>
          </w:p>
          <w:p w14:paraId="682B52F6">
            <w:pPr>
              <w:pStyle w:val="51"/>
              <w:spacing w:before="56" w:line="227" w:lineRule="auto"/>
              <w:ind w:left="170"/>
              <w:rPr>
                <w:sz w:val="17"/>
                <w:szCs w:val="17"/>
              </w:rPr>
            </w:pPr>
            <w:r>
              <w:rPr>
                <w:spacing w:val="3"/>
                <w:sz w:val="17"/>
                <w:szCs w:val="17"/>
              </w:rPr>
              <w:t>较高</w:t>
            </w:r>
          </w:p>
        </w:tc>
        <w:tc>
          <w:tcPr>
            <w:tcW w:w="8563" w:type="dxa"/>
            <w:vAlign w:val="top"/>
          </w:tcPr>
          <w:p w14:paraId="17776094">
            <w:pPr>
              <w:pStyle w:val="51"/>
              <w:spacing w:before="156" w:line="312" w:lineRule="auto"/>
              <w:ind w:left="43" w:right="36" w:hanging="6"/>
              <w:rPr>
                <w:sz w:val="17"/>
                <w:szCs w:val="17"/>
              </w:rPr>
            </w:pPr>
            <w:r>
              <w:rPr>
                <w:spacing w:val="11"/>
                <w:sz w:val="17"/>
                <w:szCs w:val="17"/>
              </w:rPr>
              <w:t>铅(以</w:t>
            </w:r>
            <w:r>
              <w:rPr>
                <w:sz w:val="17"/>
                <w:szCs w:val="17"/>
              </w:rPr>
              <w:t>Pb</w:t>
            </w:r>
            <w:r>
              <w:rPr>
                <w:spacing w:val="11"/>
                <w:sz w:val="17"/>
                <w:szCs w:val="17"/>
              </w:rPr>
              <w:t>计)、镉(以</w:t>
            </w:r>
            <w:r>
              <w:rPr>
                <w:sz w:val="17"/>
                <w:szCs w:val="17"/>
              </w:rPr>
              <w:t>Cd</w:t>
            </w:r>
            <w:r>
              <w:rPr>
                <w:spacing w:val="11"/>
                <w:sz w:val="17"/>
                <w:szCs w:val="17"/>
              </w:rPr>
              <w:t>计)、吡唑醚菌酯、毒死蜱、甲</w:t>
            </w:r>
            <w:r>
              <w:rPr>
                <w:spacing w:val="10"/>
                <w:sz w:val="17"/>
                <w:szCs w:val="17"/>
              </w:rPr>
              <w:t>氨基阿维菌素苯甲酸盐、甲胺磷、甲拌磷、克百威、噻</w:t>
            </w:r>
            <w:r>
              <w:rPr>
                <w:spacing w:val="9"/>
                <w:sz w:val="17"/>
                <w:szCs w:val="17"/>
              </w:rPr>
              <w:t>虫胺、噻虫嗪、霜霉威和霜霉威盐酸盐、水胺硫磷、氧乐果、乙酰甲胺磷</w:t>
            </w:r>
          </w:p>
        </w:tc>
      </w:tr>
      <w:tr w14:paraId="70F2C5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59" w:type="dxa"/>
            <w:vMerge w:val="continue"/>
            <w:tcBorders>
              <w:top w:val="nil"/>
              <w:bottom w:val="nil"/>
            </w:tcBorders>
            <w:vAlign w:val="top"/>
          </w:tcPr>
          <w:p w14:paraId="209EAF8A">
            <w:pPr>
              <w:rPr>
                <w:rFonts w:ascii="Arial"/>
                <w:sz w:val="21"/>
              </w:rPr>
            </w:pPr>
          </w:p>
        </w:tc>
        <w:tc>
          <w:tcPr>
            <w:tcW w:w="942" w:type="dxa"/>
            <w:vMerge w:val="continue"/>
            <w:tcBorders>
              <w:top w:val="nil"/>
              <w:bottom w:val="nil"/>
            </w:tcBorders>
            <w:vAlign w:val="top"/>
          </w:tcPr>
          <w:p w14:paraId="253752E3">
            <w:pPr>
              <w:rPr>
                <w:rFonts w:ascii="Arial"/>
                <w:sz w:val="21"/>
              </w:rPr>
            </w:pPr>
          </w:p>
        </w:tc>
        <w:tc>
          <w:tcPr>
            <w:tcW w:w="1360" w:type="dxa"/>
            <w:vMerge w:val="continue"/>
            <w:tcBorders>
              <w:top w:val="nil"/>
              <w:bottom w:val="nil"/>
            </w:tcBorders>
            <w:vAlign w:val="top"/>
          </w:tcPr>
          <w:p w14:paraId="4781A4FF">
            <w:pPr>
              <w:rPr>
                <w:rFonts w:ascii="Arial"/>
                <w:sz w:val="21"/>
              </w:rPr>
            </w:pPr>
          </w:p>
        </w:tc>
        <w:tc>
          <w:tcPr>
            <w:tcW w:w="1581" w:type="dxa"/>
            <w:vMerge w:val="continue"/>
            <w:tcBorders>
              <w:top w:val="nil"/>
            </w:tcBorders>
            <w:vAlign w:val="top"/>
          </w:tcPr>
          <w:p w14:paraId="236B0C51">
            <w:pPr>
              <w:rPr>
                <w:rFonts w:ascii="Arial"/>
                <w:sz w:val="21"/>
              </w:rPr>
            </w:pPr>
          </w:p>
        </w:tc>
        <w:tc>
          <w:tcPr>
            <w:tcW w:w="1586" w:type="dxa"/>
            <w:vAlign w:val="top"/>
          </w:tcPr>
          <w:p w14:paraId="641CFB08">
            <w:pPr>
              <w:pStyle w:val="51"/>
              <w:spacing w:before="109" w:line="228" w:lineRule="auto"/>
              <w:ind w:left="621"/>
              <w:rPr>
                <w:sz w:val="17"/>
                <w:szCs w:val="17"/>
              </w:rPr>
            </w:pPr>
            <w:r>
              <w:rPr>
                <w:spacing w:val="3"/>
                <w:sz w:val="17"/>
                <w:szCs w:val="17"/>
              </w:rPr>
              <w:t>甜椒</w:t>
            </w:r>
          </w:p>
        </w:tc>
        <w:tc>
          <w:tcPr>
            <w:tcW w:w="682" w:type="dxa"/>
            <w:vAlign w:val="top"/>
          </w:tcPr>
          <w:p w14:paraId="17014697">
            <w:pPr>
              <w:pStyle w:val="51"/>
              <w:spacing w:before="109" w:line="227" w:lineRule="auto"/>
              <w:ind w:left="170"/>
              <w:rPr>
                <w:sz w:val="17"/>
                <w:szCs w:val="17"/>
              </w:rPr>
            </w:pPr>
            <w:r>
              <w:rPr>
                <w:spacing w:val="3"/>
                <w:sz w:val="17"/>
                <w:szCs w:val="17"/>
              </w:rPr>
              <w:t>较高</w:t>
            </w:r>
          </w:p>
        </w:tc>
        <w:tc>
          <w:tcPr>
            <w:tcW w:w="8563" w:type="dxa"/>
            <w:vAlign w:val="top"/>
          </w:tcPr>
          <w:p w14:paraId="101170C1">
            <w:pPr>
              <w:pStyle w:val="51"/>
              <w:spacing w:before="108" w:line="227" w:lineRule="auto"/>
              <w:ind w:left="38"/>
              <w:rPr>
                <w:sz w:val="17"/>
                <w:szCs w:val="17"/>
              </w:rPr>
            </w:pPr>
            <w:r>
              <w:rPr>
                <w:spacing w:val="6"/>
                <w:sz w:val="17"/>
                <w:szCs w:val="17"/>
              </w:rPr>
              <w:t>镉(以</w:t>
            </w:r>
            <w:r>
              <w:rPr>
                <w:sz w:val="17"/>
                <w:szCs w:val="17"/>
              </w:rPr>
              <w:t>Cd</w:t>
            </w:r>
            <w:r>
              <w:rPr>
                <w:spacing w:val="6"/>
                <w:sz w:val="17"/>
                <w:szCs w:val="17"/>
              </w:rPr>
              <w:t>计)、阿维菌素、倍硫磷、吡虫啉、吡唑醚菌酯、毒死蜱</w:t>
            </w:r>
            <w:r>
              <w:rPr>
                <w:spacing w:val="-44"/>
                <w:sz w:val="17"/>
                <w:szCs w:val="17"/>
              </w:rPr>
              <w:t xml:space="preserve"> </w:t>
            </w:r>
            <w:r>
              <w:rPr>
                <w:spacing w:val="6"/>
                <w:sz w:val="17"/>
                <w:szCs w:val="17"/>
              </w:rPr>
              <w:t>、噻虫胺、噻虫嗪、氧乐</w:t>
            </w:r>
            <w:r>
              <w:rPr>
                <w:spacing w:val="5"/>
                <w:sz w:val="17"/>
                <w:szCs w:val="17"/>
              </w:rPr>
              <w:t>果、</w:t>
            </w:r>
            <w:r>
              <w:rPr>
                <w:spacing w:val="51"/>
                <w:sz w:val="17"/>
                <w:szCs w:val="17"/>
              </w:rPr>
              <w:t xml:space="preserve"> </w:t>
            </w:r>
            <w:r>
              <w:rPr>
                <w:spacing w:val="5"/>
                <w:sz w:val="17"/>
                <w:szCs w:val="17"/>
              </w:rPr>
              <w:t>氟啶虫酰胺</w:t>
            </w:r>
          </w:p>
        </w:tc>
      </w:tr>
      <w:tr w14:paraId="2D8720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459" w:type="dxa"/>
            <w:vMerge w:val="continue"/>
            <w:tcBorders>
              <w:top w:val="nil"/>
              <w:bottom w:val="nil"/>
            </w:tcBorders>
            <w:vAlign w:val="top"/>
          </w:tcPr>
          <w:p w14:paraId="2B3C83B3">
            <w:pPr>
              <w:rPr>
                <w:rFonts w:ascii="Arial"/>
                <w:sz w:val="21"/>
              </w:rPr>
            </w:pPr>
          </w:p>
        </w:tc>
        <w:tc>
          <w:tcPr>
            <w:tcW w:w="942" w:type="dxa"/>
            <w:vMerge w:val="continue"/>
            <w:tcBorders>
              <w:top w:val="nil"/>
              <w:bottom w:val="nil"/>
            </w:tcBorders>
            <w:vAlign w:val="top"/>
          </w:tcPr>
          <w:p w14:paraId="50B7BE14">
            <w:pPr>
              <w:rPr>
                <w:rFonts w:ascii="Arial"/>
                <w:sz w:val="21"/>
              </w:rPr>
            </w:pPr>
          </w:p>
        </w:tc>
        <w:tc>
          <w:tcPr>
            <w:tcW w:w="1360" w:type="dxa"/>
            <w:vMerge w:val="continue"/>
            <w:tcBorders>
              <w:top w:val="nil"/>
              <w:bottom w:val="nil"/>
            </w:tcBorders>
            <w:vAlign w:val="top"/>
          </w:tcPr>
          <w:p w14:paraId="199514EF">
            <w:pPr>
              <w:rPr>
                <w:rFonts w:ascii="Arial"/>
                <w:sz w:val="21"/>
              </w:rPr>
            </w:pPr>
          </w:p>
        </w:tc>
        <w:tc>
          <w:tcPr>
            <w:tcW w:w="1581" w:type="dxa"/>
            <w:vAlign w:val="top"/>
          </w:tcPr>
          <w:p w14:paraId="070595C3">
            <w:pPr>
              <w:pStyle w:val="51"/>
              <w:spacing w:before="238" w:line="224" w:lineRule="auto"/>
              <w:ind w:left="439"/>
              <w:rPr>
                <w:sz w:val="17"/>
                <w:szCs w:val="17"/>
              </w:rPr>
            </w:pPr>
            <w:r>
              <w:rPr>
                <w:spacing w:val="6"/>
                <w:sz w:val="17"/>
                <w:szCs w:val="17"/>
              </w:rPr>
              <w:t>瓜类蔬菜</w:t>
            </w:r>
          </w:p>
        </w:tc>
        <w:tc>
          <w:tcPr>
            <w:tcW w:w="1586" w:type="dxa"/>
            <w:vAlign w:val="top"/>
          </w:tcPr>
          <w:p w14:paraId="089D7B65">
            <w:pPr>
              <w:pStyle w:val="51"/>
              <w:spacing w:before="239" w:line="229" w:lineRule="auto"/>
              <w:ind w:left="620"/>
              <w:rPr>
                <w:sz w:val="17"/>
                <w:szCs w:val="17"/>
              </w:rPr>
            </w:pPr>
            <w:r>
              <w:rPr>
                <w:spacing w:val="4"/>
                <w:sz w:val="17"/>
                <w:szCs w:val="17"/>
              </w:rPr>
              <w:t>黄瓜</w:t>
            </w:r>
          </w:p>
        </w:tc>
        <w:tc>
          <w:tcPr>
            <w:tcW w:w="682" w:type="dxa"/>
            <w:vAlign w:val="top"/>
          </w:tcPr>
          <w:p w14:paraId="593D320F">
            <w:pPr>
              <w:pStyle w:val="51"/>
              <w:spacing w:before="239" w:line="227" w:lineRule="auto"/>
              <w:ind w:left="170"/>
              <w:rPr>
                <w:sz w:val="17"/>
                <w:szCs w:val="17"/>
              </w:rPr>
            </w:pPr>
            <w:r>
              <w:rPr>
                <w:spacing w:val="3"/>
                <w:sz w:val="17"/>
                <w:szCs w:val="17"/>
              </w:rPr>
              <w:t>较高</w:t>
            </w:r>
          </w:p>
        </w:tc>
        <w:tc>
          <w:tcPr>
            <w:tcW w:w="8563" w:type="dxa"/>
            <w:vAlign w:val="top"/>
          </w:tcPr>
          <w:p w14:paraId="0A6D2308">
            <w:pPr>
              <w:pStyle w:val="51"/>
              <w:spacing w:before="88" w:line="275" w:lineRule="auto"/>
              <w:ind w:left="41" w:firstLine="7"/>
              <w:rPr>
                <w:sz w:val="17"/>
                <w:szCs w:val="17"/>
              </w:rPr>
            </w:pPr>
            <w:r>
              <w:rPr>
                <w:spacing w:val="6"/>
                <w:sz w:val="17"/>
                <w:szCs w:val="17"/>
              </w:rPr>
              <w:t>阿维菌素、哒螨灵、敌敌畏、毒死蜱、腐霉利、</w:t>
            </w:r>
            <w:r>
              <w:rPr>
                <w:spacing w:val="-51"/>
                <w:sz w:val="17"/>
                <w:szCs w:val="17"/>
              </w:rPr>
              <w:t xml:space="preserve"> </w:t>
            </w:r>
            <w:r>
              <w:rPr>
                <w:spacing w:val="6"/>
                <w:sz w:val="17"/>
                <w:szCs w:val="17"/>
              </w:rPr>
              <w:t>甲氨基阿维菌素苯甲酸盐、</w:t>
            </w:r>
            <w:r>
              <w:rPr>
                <w:spacing w:val="-48"/>
                <w:sz w:val="17"/>
                <w:szCs w:val="17"/>
              </w:rPr>
              <w:t xml:space="preserve"> </w:t>
            </w:r>
            <w:r>
              <w:rPr>
                <w:spacing w:val="6"/>
                <w:sz w:val="17"/>
                <w:szCs w:val="17"/>
              </w:rPr>
              <w:t>甲拌磷</w:t>
            </w:r>
            <w:r>
              <w:rPr>
                <w:spacing w:val="5"/>
                <w:sz w:val="17"/>
                <w:szCs w:val="17"/>
              </w:rPr>
              <w:t>、克百威、乐果、噻虫嗪、</w:t>
            </w:r>
            <w:r>
              <w:rPr>
                <w:spacing w:val="8"/>
                <w:sz w:val="17"/>
                <w:szCs w:val="17"/>
              </w:rPr>
              <w:t>氧乐果、乙螨唑、乙酰甲胺磷、异丙威</w:t>
            </w:r>
          </w:p>
        </w:tc>
      </w:tr>
      <w:tr w14:paraId="4FBDE3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459" w:type="dxa"/>
            <w:vMerge w:val="continue"/>
            <w:tcBorders>
              <w:top w:val="nil"/>
              <w:bottom w:val="nil"/>
            </w:tcBorders>
            <w:vAlign w:val="top"/>
          </w:tcPr>
          <w:p w14:paraId="7F1435FF">
            <w:pPr>
              <w:rPr>
                <w:rFonts w:ascii="Arial"/>
                <w:sz w:val="21"/>
              </w:rPr>
            </w:pPr>
          </w:p>
        </w:tc>
        <w:tc>
          <w:tcPr>
            <w:tcW w:w="942" w:type="dxa"/>
            <w:vMerge w:val="continue"/>
            <w:tcBorders>
              <w:top w:val="nil"/>
              <w:bottom w:val="nil"/>
            </w:tcBorders>
            <w:vAlign w:val="top"/>
          </w:tcPr>
          <w:p w14:paraId="7811F9D1">
            <w:pPr>
              <w:rPr>
                <w:rFonts w:ascii="Arial"/>
                <w:sz w:val="21"/>
              </w:rPr>
            </w:pPr>
          </w:p>
        </w:tc>
        <w:tc>
          <w:tcPr>
            <w:tcW w:w="1360" w:type="dxa"/>
            <w:vMerge w:val="continue"/>
            <w:tcBorders>
              <w:top w:val="nil"/>
              <w:bottom w:val="nil"/>
            </w:tcBorders>
            <w:vAlign w:val="top"/>
          </w:tcPr>
          <w:p w14:paraId="52311E26">
            <w:pPr>
              <w:rPr>
                <w:rFonts w:ascii="Arial"/>
                <w:sz w:val="21"/>
              </w:rPr>
            </w:pPr>
          </w:p>
        </w:tc>
        <w:tc>
          <w:tcPr>
            <w:tcW w:w="1581" w:type="dxa"/>
            <w:vMerge w:val="restart"/>
            <w:tcBorders>
              <w:bottom w:val="nil"/>
            </w:tcBorders>
            <w:vAlign w:val="top"/>
          </w:tcPr>
          <w:p w14:paraId="410C1401">
            <w:pPr>
              <w:spacing w:line="312" w:lineRule="auto"/>
              <w:rPr>
                <w:rFonts w:ascii="Arial"/>
                <w:sz w:val="21"/>
              </w:rPr>
            </w:pPr>
          </w:p>
          <w:p w14:paraId="045DA685">
            <w:pPr>
              <w:spacing w:line="313" w:lineRule="auto"/>
              <w:rPr>
                <w:rFonts w:ascii="Arial"/>
                <w:sz w:val="21"/>
              </w:rPr>
            </w:pPr>
          </w:p>
          <w:p w14:paraId="3C95DA76">
            <w:pPr>
              <w:spacing w:line="313" w:lineRule="auto"/>
              <w:rPr>
                <w:rFonts w:ascii="Arial"/>
                <w:sz w:val="21"/>
              </w:rPr>
            </w:pPr>
          </w:p>
          <w:p w14:paraId="0F485419">
            <w:pPr>
              <w:pStyle w:val="51"/>
              <w:spacing w:before="55" w:line="224" w:lineRule="auto"/>
              <w:ind w:left="438"/>
              <w:rPr>
                <w:sz w:val="17"/>
                <w:szCs w:val="17"/>
              </w:rPr>
            </w:pPr>
            <w:r>
              <w:rPr>
                <w:spacing w:val="7"/>
                <w:sz w:val="17"/>
                <w:szCs w:val="17"/>
              </w:rPr>
              <w:t>豆类蔬菜</w:t>
            </w:r>
          </w:p>
        </w:tc>
        <w:tc>
          <w:tcPr>
            <w:tcW w:w="1586" w:type="dxa"/>
            <w:vAlign w:val="top"/>
          </w:tcPr>
          <w:p w14:paraId="5B188555">
            <w:pPr>
              <w:pStyle w:val="51"/>
              <w:spacing w:before="238" w:line="224" w:lineRule="auto"/>
              <w:ind w:left="623"/>
              <w:rPr>
                <w:sz w:val="17"/>
                <w:szCs w:val="17"/>
              </w:rPr>
            </w:pPr>
            <w:r>
              <w:rPr>
                <w:spacing w:val="2"/>
                <w:sz w:val="17"/>
                <w:szCs w:val="17"/>
              </w:rPr>
              <w:t>菜豆</w:t>
            </w:r>
          </w:p>
        </w:tc>
        <w:tc>
          <w:tcPr>
            <w:tcW w:w="682" w:type="dxa"/>
            <w:vAlign w:val="top"/>
          </w:tcPr>
          <w:p w14:paraId="1253D5AF">
            <w:pPr>
              <w:pStyle w:val="51"/>
              <w:spacing w:before="238" w:line="227" w:lineRule="auto"/>
              <w:ind w:left="170"/>
              <w:rPr>
                <w:sz w:val="17"/>
                <w:szCs w:val="17"/>
              </w:rPr>
            </w:pPr>
            <w:r>
              <w:rPr>
                <w:spacing w:val="3"/>
                <w:sz w:val="17"/>
                <w:szCs w:val="17"/>
              </w:rPr>
              <w:t>较高</w:t>
            </w:r>
          </w:p>
        </w:tc>
        <w:tc>
          <w:tcPr>
            <w:tcW w:w="8563" w:type="dxa"/>
            <w:vAlign w:val="top"/>
          </w:tcPr>
          <w:p w14:paraId="3E433680">
            <w:pPr>
              <w:pStyle w:val="51"/>
              <w:spacing w:before="90" w:line="274" w:lineRule="auto"/>
              <w:ind w:left="44" w:right="27" w:hanging="5"/>
              <w:rPr>
                <w:sz w:val="17"/>
                <w:szCs w:val="17"/>
              </w:rPr>
            </w:pPr>
            <w:r>
              <w:rPr>
                <w:spacing w:val="11"/>
                <w:sz w:val="17"/>
                <w:szCs w:val="17"/>
              </w:rPr>
              <w:t>倍硫磷、吡虫啉、毒死蜱、多菌灵、甲氨基阿维菌素苯甲酸盐、甲胺</w:t>
            </w:r>
            <w:r>
              <w:rPr>
                <w:spacing w:val="10"/>
                <w:sz w:val="17"/>
                <w:szCs w:val="17"/>
              </w:rPr>
              <w:t>磷、克百威、氯氟氰菊酯和高效氯氟氰</w:t>
            </w:r>
            <w:r>
              <w:rPr>
                <w:spacing w:val="9"/>
                <w:sz w:val="17"/>
                <w:szCs w:val="17"/>
              </w:rPr>
              <w:t>菊酯、灭蝇胺、噻虫胺、水胺硫磷、氧乐果、乙酰甲胺磷</w:t>
            </w:r>
          </w:p>
        </w:tc>
      </w:tr>
      <w:tr w14:paraId="202266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4" w:hRule="atLeast"/>
        </w:trPr>
        <w:tc>
          <w:tcPr>
            <w:tcW w:w="459" w:type="dxa"/>
            <w:vMerge w:val="continue"/>
            <w:tcBorders>
              <w:top w:val="nil"/>
              <w:bottom w:val="nil"/>
            </w:tcBorders>
            <w:vAlign w:val="top"/>
          </w:tcPr>
          <w:p w14:paraId="3339953A">
            <w:pPr>
              <w:rPr>
                <w:rFonts w:ascii="Arial"/>
                <w:sz w:val="21"/>
              </w:rPr>
            </w:pPr>
          </w:p>
        </w:tc>
        <w:tc>
          <w:tcPr>
            <w:tcW w:w="942" w:type="dxa"/>
            <w:vMerge w:val="continue"/>
            <w:tcBorders>
              <w:top w:val="nil"/>
              <w:bottom w:val="nil"/>
            </w:tcBorders>
            <w:vAlign w:val="top"/>
          </w:tcPr>
          <w:p w14:paraId="051ECEA5">
            <w:pPr>
              <w:rPr>
                <w:rFonts w:ascii="Arial"/>
                <w:sz w:val="21"/>
              </w:rPr>
            </w:pPr>
          </w:p>
        </w:tc>
        <w:tc>
          <w:tcPr>
            <w:tcW w:w="1360" w:type="dxa"/>
            <w:vMerge w:val="continue"/>
            <w:tcBorders>
              <w:top w:val="nil"/>
              <w:bottom w:val="nil"/>
            </w:tcBorders>
            <w:vAlign w:val="top"/>
          </w:tcPr>
          <w:p w14:paraId="57138E39">
            <w:pPr>
              <w:rPr>
                <w:rFonts w:ascii="Arial"/>
                <w:sz w:val="21"/>
              </w:rPr>
            </w:pPr>
          </w:p>
        </w:tc>
        <w:tc>
          <w:tcPr>
            <w:tcW w:w="1581" w:type="dxa"/>
            <w:vMerge w:val="continue"/>
            <w:tcBorders>
              <w:top w:val="nil"/>
              <w:bottom w:val="nil"/>
            </w:tcBorders>
            <w:vAlign w:val="top"/>
          </w:tcPr>
          <w:p w14:paraId="27527F9A">
            <w:pPr>
              <w:rPr>
                <w:rFonts w:ascii="Arial"/>
                <w:sz w:val="21"/>
              </w:rPr>
            </w:pPr>
          </w:p>
        </w:tc>
        <w:tc>
          <w:tcPr>
            <w:tcW w:w="1586" w:type="dxa"/>
            <w:vAlign w:val="top"/>
          </w:tcPr>
          <w:p w14:paraId="72D44494">
            <w:pPr>
              <w:spacing w:line="332" w:lineRule="auto"/>
              <w:rPr>
                <w:rFonts w:ascii="Arial"/>
                <w:sz w:val="21"/>
              </w:rPr>
            </w:pPr>
          </w:p>
          <w:p w14:paraId="37A59558">
            <w:pPr>
              <w:pStyle w:val="51"/>
              <w:spacing w:before="55" w:line="238" w:lineRule="auto"/>
              <w:ind w:left="622"/>
              <w:rPr>
                <w:sz w:val="17"/>
                <w:szCs w:val="17"/>
              </w:rPr>
            </w:pPr>
            <w:r>
              <w:rPr>
                <w:spacing w:val="3"/>
                <w:sz w:val="17"/>
                <w:szCs w:val="17"/>
              </w:rPr>
              <w:t>豇豆</w:t>
            </w:r>
          </w:p>
        </w:tc>
        <w:tc>
          <w:tcPr>
            <w:tcW w:w="682" w:type="dxa"/>
            <w:vAlign w:val="top"/>
          </w:tcPr>
          <w:p w14:paraId="273100D8">
            <w:pPr>
              <w:spacing w:line="332" w:lineRule="auto"/>
              <w:rPr>
                <w:rFonts w:ascii="Arial"/>
                <w:sz w:val="21"/>
              </w:rPr>
            </w:pPr>
          </w:p>
          <w:p w14:paraId="72BCF568">
            <w:pPr>
              <w:pStyle w:val="51"/>
              <w:spacing w:before="55" w:line="227" w:lineRule="auto"/>
              <w:ind w:left="170"/>
              <w:rPr>
                <w:sz w:val="17"/>
                <w:szCs w:val="17"/>
              </w:rPr>
            </w:pPr>
            <w:r>
              <w:rPr>
                <w:spacing w:val="3"/>
                <w:sz w:val="17"/>
                <w:szCs w:val="17"/>
              </w:rPr>
              <w:t>较高</w:t>
            </w:r>
          </w:p>
        </w:tc>
        <w:tc>
          <w:tcPr>
            <w:tcW w:w="8563" w:type="dxa"/>
            <w:vAlign w:val="top"/>
          </w:tcPr>
          <w:p w14:paraId="44DE8A85">
            <w:pPr>
              <w:pStyle w:val="51"/>
              <w:spacing w:before="90" w:line="291" w:lineRule="auto"/>
              <w:ind w:left="38" w:right="49" w:firstLine="10"/>
              <w:rPr>
                <w:sz w:val="17"/>
                <w:szCs w:val="17"/>
              </w:rPr>
            </w:pPr>
            <w:r>
              <w:rPr>
                <w:spacing w:val="10"/>
                <w:sz w:val="17"/>
                <w:szCs w:val="17"/>
              </w:rPr>
              <w:t>阿维菌素、倍硫磷、啶虫脒、毒死蜱、氟虫腈、甲氨基阿维菌素苯甲酸盐、甲胺磷</w:t>
            </w:r>
            <w:r>
              <w:rPr>
                <w:spacing w:val="9"/>
                <w:sz w:val="17"/>
                <w:szCs w:val="17"/>
              </w:rPr>
              <w:t>、甲拌磷、甲基异柳磷、</w:t>
            </w:r>
            <w:r>
              <w:rPr>
                <w:spacing w:val="10"/>
                <w:sz w:val="17"/>
                <w:szCs w:val="17"/>
              </w:rPr>
              <w:t>克百威、乐果、氯氟氰菊酯和高效氯氟氰菊酯、灭蝇胺、噻虫胺、噻虫嗪、三唑磷、水胺硫磷、氧乐果、乙</w:t>
            </w:r>
            <w:r>
              <w:rPr>
                <w:spacing w:val="6"/>
                <w:sz w:val="17"/>
                <w:szCs w:val="17"/>
              </w:rPr>
              <w:t>酰甲胺磷</w:t>
            </w:r>
          </w:p>
        </w:tc>
      </w:tr>
      <w:tr w14:paraId="7B89C0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459" w:type="dxa"/>
            <w:vMerge w:val="continue"/>
            <w:tcBorders>
              <w:top w:val="nil"/>
              <w:bottom w:val="nil"/>
            </w:tcBorders>
            <w:vAlign w:val="top"/>
          </w:tcPr>
          <w:p w14:paraId="075A633B">
            <w:pPr>
              <w:rPr>
                <w:rFonts w:ascii="Arial"/>
                <w:sz w:val="21"/>
              </w:rPr>
            </w:pPr>
          </w:p>
        </w:tc>
        <w:tc>
          <w:tcPr>
            <w:tcW w:w="942" w:type="dxa"/>
            <w:vMerge w:val="continue"/>
            <w:tcBorders>
              <w:top w:val="nil"/>
              <w:bottom w:val="nil"/>
            </w:tcBorders>
            <w:vAlign w:val="top"/>
          </w:tcPr>
          <w:p w14:paraId="74ED1DE8">
            <w:pPr>
              <w:rPr>
                <w:rFonts w:ascii="Arial"/>
                <w:sz w:val="21"/>
              </w:rPr>
            </w:pPr>
          </w:p>
        </w:tc>
        <w:tc>
          <w:tcPr>
            <w:tcW w:w="1360" w:type="dxa"/>
            <w:vMerge w:val="continue"/>
            <w:tcBorders>
              <w:top w:val="nil"/>
              <w:bottom w:val="nil"/>
            </w:tcBorders>
            <w:vAlign w:val="top"/>
          </w:tcPr>
          <w:p w14:paraId="5E27C3CB">
            <w:pPr>
              <w:rPr>
                <w:rFonts w:ascii="Arial"/>
                <w:sz w:val="21"/>
              </w:rPr>
            </w:pPr>
          </w:p>
        </w:tc>
        <w:tc>
          <w:tcPr>
            <w:tcW w:w="1581" w:type="dxa"/>
            <w:vMerge w:val="continue"/>
            <w:tcBorders>
              <w:top w:val="nil"/>
            </w:tcBorders>
            <w:vAlign w:val="top"/>
          </w:tcPr>
          <w:p w14:paraId="2A49AE84">
            <w:pPr>
              <w:rPr>
                <w:rFonts w:ascii="Arial"/>
                <w:sz w:val="21"/>
              </w:rPr>
            </w:pPr>
          </w:p>
        </w:tc>
        <w:tc>
          <w:tcPr>
            <w:tcW w:w="1586" w:type="dxa"/>
            <w:vAlign w:val="top"/>
          </w:tcPr>
          <w:p w14:paraId="4AFE244F">
            <w:pPr>
              <w:pStyle w:val="51"/>
              <w:spacing w:before="238" w:line="230" w:lineRule="auto"/>
              <w:ind w:left="440"/>
              <w:rPr>
                <w:sz w:val="17"/>
                <w:szCs w:val="17"/>
              </w:rPr>
            </w:pPr>
            <w:r>
              <w:rPr>
                <w:spacing w:val="7"/>
                <w:sz w:val="17"/>
                <w:szCs w:val="17"/>
              </w:rPr>
              <w:t>食荚豌豆</w:t>
            </w:r>
          </w:p>
        </w:tc>
        <w:tc>
          <w:tcPr>
            <w:tcW w:w="682" w:type="dxa"/>
            <w:vAlign w:val="top"/>
          </w:tcPr>
          <w:p w14:paraId="46BBAD51">
            <w:pPr>
              <w:pStyle w:val="51"/>
              <w:spacing w:before="239" w:line="227" w:lineRule="auto"/>
              <w:ind w:left="170"/>
              <w:rPr>
                <w:sz w:val="17"/>
                <w:szCs w:val="17"/>
              </w:rPr>
            </w:pPr>
            <w:r>
              <w:rPr>
                <w:spacing w:val="3"/>
                <w:sz w:val="17"/>
                <w:szCs w:val="17"/>
              </w:rPr>
              <w:t>较高</w:t>
            </w:r>
          </w:p>
        </w:tc>
        <w:tc>
          <w:tcPr>
            <w:tcW w:w="8563" w:type="dxa"/>
            <w:vAlign w:val="top"/>
          </w:tcPr>
          <w:p w14:paraId="1410B9D5">
            <w:pPr>
              <w:pStyle w:val="51"/>
              <w:spacing w:before="90" w:line="274" w:lineRule="auto"/>
              <w:ind w:left="37" w:right="24" w:firstLine="9"/>
              <w:rPr>
                <w:sz w:val="17"/>
                <w:szCs w:val="17"/>
              </w:rPr>
            </w:pPr>
            <w:r>
              <w:rPr>
                <w:spacing w:val="11"/>
                <w:sz w:val="17"/>
                <w:szCs w:val="17"/>
              </w:rPr>
              <w:t>吡唑醚菌酯、毒死蜱、多菌灵、甲氨基阿维菌素苯甲酸盐、</w:t>
            </w:r>
            <w:r>
              <w:rPr>
                <w:spacing w:val="10"/>
                <w:sz w:val="17"/>
                <w:szCs w:val="17"/>
              </w:rPr>
              <w:t>灭蝇胺、噻虫胺、烯酰吗啉、氧乐果、乙酰甲胺</w:t>
            </w:r>
            <w:r>
              <w:rPr>
                <w:spacing w:val="9"/>
                <w:sz w:val="17"/>
                <w:szCs w:val="17"/>
              </w:rPr>
              <w:t>磷、苯醚甲环唑、甲胺磷、噻虫嗪</w:t>
            </w:r>
          </w:p>
        </w:tc>
      </w:tr>
      <w:tr w14:paraId="6AE19D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459" w:type="dxa"/>
            <w:vMerge w:val="continue"/>
            <w:tcBorders>
              <w:top w:val="nil"/>
              <w:bottom w:val="nil"/>
            </w:tcBorders>
            <w:vAlign w:val="top"/>
          </w:tcPr>
          <w:p w14:paraId="27436265">
            <w:pPr>
              <w:rPr>
                <w:rFonts w:ascii="Arial"/>
                <w:sz w:val="21"/>
              </w:rPr>
            </w:pPr>
          </w:p>
        </w:tc>
        <w:tc>
          <w:tcPr>
            <w:tcW w:w="942" w:type="dxa"/>
            <w:vMerge w:val="continue"/>
            <w:tcBorders>
              <w:top w:val="nil"/>
              <w:bottom w:val="nil"/>
            </w:tcBorders>
            <w:vAlign w:val="top"/>
          </w:tcPr>
          <w:p w14:paraId="40A3C012">
            <w:pPr>
              <w:rPr>
                <w:rFonts w:ascii="Arial"/>
                <w:sz w:val="21"/>
              </w:rPr>
            </w:pPr>
          </w:p>
        </w:tc>
        <w:tc>
          <w:tcPr>
            <w:tcW w:w="1360" w:type="dxa"/>
            <w:vMerge w:val="continue"/>
            <w:tcBorders>
              <w:top w:val="nil"/>
              <w:bottom w:val="nil"/>
            </w:tcBorders>
            <w:vAlign w:val="top"/>
          </w:tcPr>
          <w:p w14:paraId="0E3A7333">
            <w:pPr>
              <w:rPr>
                <w:rFonts w:ascii="Arial"/>
                <w:sz w:val="21"/>
              </w:rPr>
            </w:pPr>
          </w:p>
        </w:tc>
        <w:tc>
          <w:tcPr>
            <w:tcW w:w="1581" w:type="dxa"/>
            <w:vMerge w:val="restart"/>
            <w:tcBorders>
              <w:bottom w:val="nil"/>
            </w:tcBorders>
            <w:vAlign w:val="top"/>
          </w:tcPr>
          <w:p w14:paraId="600495F5">
            <w:pPr>
              <w:spacing w:line="270" w:lineRule="auto"/>
              <w:rPr>
                <w:rFonts w:ascii="Arial"/>
                <w:sz w:val="21"/>
              </w:rPr>
            </w:pPr>
          </w:p>
          <w:p w14:paraId="13D77946">
            <w:pPr>
              <w:spacing w:line="270" w:lineRule="auto"/>
              <w:rPr>
                <w:rFonts w:ascii="Arial"/>
                <w:sz w:val="21"/>
              </w:rPr>
            </w:pPr>
          </w:p>
          <w:p w14:paraId="4126F3C0">
            <w:pPr>
              <w:spacing w:line="270" w:lineRule="auto"/>
              <w:rPr>
                <w:rFonts w:ascii="Arial"/>
                <w:sz w:val="21"/>
              </w:rPr>
            </w:pPr>
          </w:p>
          <w:p w14:paraId="3052321E">
            <w:pPr>
              <w:spacing w:line="270" w:lineRule="auto"/>
              <w:rPr>
                <w:rFonts w:ascii="Arial"/>
                <w:sz w:val="21"/>
              </w:rPr>
            </w:pPr>
          </w:p>
          <w:p w14:paraId="362F903E">
            <w:pPr>
              <w:spacing w:line="270" w:lineRule="auto"/>
              <w:rPr>
                <w:rFonts w:ascii="Arial"/>
                <w:sz w:val="21"/>
              </w:rPr>
            </w:pPr>
          </w:p>
          <w:p w14:paraId="6085F082">
            <w:pPr>
              <w:pStyle w:val="51"/>
              <w:spacing w:before="55" w:line="227" w:lineRule="auto"/>
              <w:ind w:left="78"/>
              <w:rPr>
                <w:sz w:val="17"/>
                <w:szCs w:val="17"/>
              </w:rPr>
            </w:pPr>
            <w:r>
              <w:rPr>
                <w:spacing w:val="8"/>
                <w:sz w:val="17"/>
                <w:szCs w:val="17"/>
              </w:rPr>
              <w:t>根茎类和薯芋类蔬</w:t>
            </w:r>
          </w:p>
          <w:p w14:paraId="18DA7E60">
            <w:pPr>
              <w:pStyle w:val="51"/>
              <w:spacing w:before="91" w:line="224" w:lineRule="auto"/>
              <w:ind w:left="711"/>
              <w:rPr>
                <w:sz w:val="17"/>
                <w:szCs w:val="17"/>
              </w:rPr>
            </w:pPr>
            <w:r>
              <w:rPr>
                <w:sz w:val="17"/>
                <w:szCs w:val="17"/>
              </w:rPr>
              <w:t>菜</w:t>
            </w:r>
          </w:p>
        </w:tc>
        <w:tc>
          <w:tcPr>
            <w:tcW w:w="1586" w:type="dxa"/>
            <w:vAlign w:val="top"/>
          </w:tcPr>
          <w:p w14:paraId="4D80442A">
            <w:pPr>
              <w:pStyle w:val="51"/>
              <w:spacing w:before="241" w:line="229" w:lineRule="auto"/>
              <w:ind w:left="535"/>
              <w:rPr>
                <w:sz w:val="17"/>
                <w:szCs w:val="17"/>
              </w:rPr>
            </w:pPr>
            <w:r>
              <w:rPr>
                <w:spacing w:val="4"/>
                <w:sz w:val="17"/>
                <w:szCs w:val="17"/>
              </w:rPr>
              <w:t>马铃薯</w:t>
            </w:r>
          </w:p>
        </w:tc>
        <w:tc>
          <w:tcPr>
            <w:tcW w:w="682" w:type="dxa"/>
            <w:vAlign w:val="top"/>
          </w:tcPr>
          <w:p w14:paraId="308665D5">
            <w:pPr>
              <w:pStyle w:val="51"/>
              <w:spacing w:before="241" w:line="227" w:lineRule="auto"/>
              <w:ind w:left="38"/>
              <w:rPr>
                <w:sz w:val="17"/>
                <w:szCs w:val="17"/>
              </w:rPr>
            </w:pPr>
            <w:r>
              <w:rPr>
                <w:spacing w:val="1"/>
                <w:sz w:val="17"/>
                <w:szCs w:val="17"/>
              </w:rPr>
              <w:t>较高</w:t>
            </w:r>
          </w:p>
        </w:tc>
        <w:tc>
          <w:tcPr>
            <w:tcW w:w="8563" w:type="dxa"/>
            <w:vAlign w:val="top"/>
          </w:tcPr>
          <w:p w14:paraId="02C79141">
            <w:pPr>
              <w:pStyle w:val="51"/>
              <w:spacing w:before="90" w:line="274" w:lineRule="auto"/>
              <w:ind w:left="43" w:right="36" w:hanging="6"/>
              <w:rPr>
                <w:sz w:val="17"/>
                <w:szCs w:val="17"/>
              </w:rPr>
            </w:pPr>
            <w:r>
              <w:rPr>
                <w:spacing w:val="11"/>
                <w:sz w:val="17"/>
                <w:szCs w:val="17"/>
              </w:rPr>
              <w:t>铅(以</w:t>
            </w:r>
            <w:r>
              <w:rPr>
                <w:sz w:val="17"/>
                <w:szCs w:val="17"/>
              </w:rPr>
              <w:t>Pb</w:t>
            </w:r>
            <w:r>
              <w:rPr>
                <w:spacing w:val="11"/>
                <w:sz w:val="17"/>
                <w:szCs w:val="17"/>
              </w:rPr>
              <w:t>计)、镉(以</w:t>
            </w:r>
            <w:r>
              <w:rPr>
                <w:sz w:val="17"/>
                <w:szCs w:val="17"/>
              </w:rPr>
              <w:t>Cd</w:t>
            </w:r>
            <w:r>
              <w:rPr>
                <w:spacing w:val="11"/>
                <w:sz w:val="17"/>
                <w:szCs w:val="17"/>
              </w:rPr>
              <w:t>计)、毒死蜱、甲拌磷、氯氟</w:t>
            </w:r>
            <w:r>
              <w:rPr>
                <w:spacing w:val="10"/>
                <w:sz w:val="17"/>
                <w:szCs w:val="17"/>
              </w:rPr>
              <w:t>氰菊酯和高效氯氟氰菊酯、氯氰菊酯和高效氯氰菊酯、噻</w:t>
            </w:r>
            <w:r>
              <w:rPr>
                <w:spacing w:val="5"/>
                <w:sz w:val="17"/>
                <w:szCs w:val="17"/>
              </w:rPr>
              <w:t>虫嗪、乙酰甲胺磷、</w:t>
            </w:r>
            <w:r>
              <w:rPr>
                <w:spacing w:val="-24"/>
                <w:sz w:val="17"/>
                <w:szCs w:val="17"/>
              </w:rPr>
              <w:t xml:space="preserve"> </w:t>
            </w:r>
            <w:r>
              <w:rPr>
                <w:spacing w:val="5"/>
                <w:sz w:val="17"/>
                <w:szCs w:val="17"/>
              </w:rPr>
              <w:t>二氧化硫残留量</w:t>
            </w:r>
          </w:p>
        </w:tc>
      </w:tr>
      <w:tr w14:paraId="50BD4A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459" w:type="dxa"/>
            <w:vMerge w:val="continue"/>
            <w:tcBorders>
              <w:top w:val="nil"/>
              <w:bottom w:val="nil"/>
            </w:tcBorders>
            <w:vAlign w:val="top"/>
          </w:tcPr>
          <w:p w14:paraId="5BB8D3E3">
            <w:pPr>
              <w:rPr>
                <w:rFonts w:ascii="Arial"/>
                <w:sz w:val="21"/>
              </w:rPr>
            </w:pPr>
          </w:p>
        </w:tc>
        <w:tc>
          <w:tcPr>
            <w:tcW w:w="942" w:type="dxa"/>
            <w:vMerge w:val="continue"/>
            <w:tcBorders>
              <w:top w:val="nil"/>
              <w:bottom w:val="nil"/>
            </w:tcBorders>
            <w:vAlign w:val="top"/>
          </w:tcPr>
          <w:p w14:paraId="7D4193EB">
            <w:pPr>
              <w:rPr>
                <w:rFonts w:ascii="Arial"/>
                <w:sz w:val="21"/>
              </w:rPr>
            </w:pPr>
          </w:p>
        </w:tc>
        <w:tc>
          <w:tcPr>
            <w:tcW w:w="1360" w:type="dxa"/>
            <w:vMerge w:val="continue"/>
            <w:tcBorders>
              <w:top w:val="nil"/>
              <w:bottom w:val="nil"/>
            </w:tcBorders>
            <w:vAlign w:val="top"/>
          </w:tcPr>
          <w:p w14:paraId="2BA401E3">
            <w:pPr>
              <w:rPr>
                <w:rFonts w:ascii="Arial"/>
                <w:sz w:val="21"/>
              </w:rPr>
            </w:pPr>
          </w:p>
        </w:tc>
        <w:tc>
          <w:tcPr>
            <w:tcW w:w="1581" w:type="dxa"/>
            <w:vMerge w:val="continue"/>
            <w:tcBorders>
              <w:top w:val="nil"/>
              <w:bottom w:val="nil"/>
            </w:tcBorders>
            <w:vAlign w:val="top"/>
          </w:tcPr>
          <w:p w14:paraId="02AEAF09">
            <w:pPr>
              <w:rPr>
                <w:rFonts w:ascii="Arial"/>
                <w:sz w:val="21"/>
              </w:rPr>
            </w:pPr>
          </w:p>
        </w:tc>
        <w:tc>
          <w:tcPr>
            <w:tcW w:w="1586" w:type="dxa"/>
            <w:vAlign w:val="top"/>
          </w:tcPr>
          <w:p w14:paraId="3D5D9870">
            <w:pPr>
              <w:pStyle w:val="51"/>
              <w:spacing w:before="240" w:line="228" w:lineRule="auto"/>
              <w:ind w:left="622"/>
              <w:rPr>
                <w:sz w:val="17"/>
                <w:szCs w:val="17"/>
              </w:rPr>
            </w:pPr>
            <w:r>
              <w:rPr>
                <w:spacing w:val="3"/>
                <w:sz w:val="17"/>
                <w:szCs w:val="17"/>
              </w:rPr>
              <w:t>甘薯</w:t>
            </w:r>
          </w:p>
        </w:tc>
        <w:tc>
          <w:tcPr>
            <w:tcW w:w="682" w:type="dxa"/>
            <w:vAlign w:val="top"/>
          </w:tcPr>
          <w:p w14:paraId="2BD1DCB3">
            <w:pPr>
              <w:pStyle w:val="51"/>
              <w:spacing w:before="240" w:line="227" w:lineRule="auto"/>
              <w:ind w:left="38"/>
              <w:rPr>
                <w:sz w:val="17"/>
                <w:szCs w:val="17"/>
              </w:rPr>
            </w:pPr>
            <w:r>
              <w:rPr>
                <w:spacing w:val="1"/>
                <w:sz w:val="17"/>
                <w:szCs w:val="17"/>
              </w:rPr>
              <w:t>较高</w:t>
            </w:r>
          </w:p>
        </w:tc>
        <w:tc>
          <w:tcPr>
            <w:tcW w:w="8563" w:type="dxa"/>
            <w:vAlign w:val="top"/>
          </w:tcPr>
          <w:p w14:paraId="3B090961">
            <w:pPr>
              <w:pStyle w:val="51"/>
              <w:spacing w:before="88" w:line="275" w:lineRule="auto"/>
              <w:ind w:left="41" w:hanging="4"/>
              <w:rPr>
                <w:sz w:val="17"/>
                <w:szCs w:val="17"/>
              </w:rPr>
            </w:pPr>
            <w:r>
              <w:rPr>
                <w:spacing w:val="7"/>
                <w:sz w:val="17"/>
                <w:szCs w:val="17"/>
              </w:rPr>
              <w:t>铅(以</w:t>
            </w:r>
            <w:r>
              <w:rPr>
                <w:sz w:val="17"/>
                <w:szCs w:val="17"/>
              </w:rPr>
              <w:t>Pb</w:t>
            </w:r>
            <w:r>
              <w:rPr>
                <w:spacing w:val="7"/>
                <w:sz w:val="17"/>
                <w:szCs w:val="17"/>
              </w:rPr>
              <w:t>计)、毒死蜱、氟虫腈、</w:t>
            </w:r>
            <w:r>
              <w:rPr>
                <w:spacing w:val="-51"/>
                <w:sz w:val="17"/>
                <w:szCs w:val="17"/>
              </w:rPr>
              <w:t xml:space="preserve"> </w:t>
            </w:r>
            <w:r>
              <w:rPr>
                <w:spacing w:val="7"/>
                <w:sz w:val="17"/>
                <w:szCs w:val="17"/>
              </w:rPr>
              <w:t>甲拌磷、氯氟氰菊酯和高效氯氟氰菊酯、氯氰菊酯和</w:t>
            </w:r>
            <w:r>
              <w:rPr>
                <w:spacing w:val="6"/>
                <w:sz w:val="17"/>
                <w:szCs w:val="17"/>
              </w:rPr>
              <w:t>高效氯氰菊酯、噻虫嗪、</w:t>
            </w:r>
            <w:r>
              <w:rPr>
                <w:spacing w:val="7"/>
                <w:sz w:val="17"/>
                <w:szCs w:val="17"/>
              </w:rPr>
              <w:t>杀扑磷、苯醚甲环唑、联苯菊酯</w:t>
            </w:r>
          </w:p>
        </w:tc>
      </w:tr>
      <w:tr w14:paraId="6EBE93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459" w:type="dxa"/>
            <w:vMerge w:val="continue"/>
            <w:tcBorders>
              <w:top w:val="nil"/>
              <w:bottom w:val="nil"/>
            </w:tcBorders>
            <w:vAlign w:val="top"/>
          </w:tcPr>
          <w:p w14:paraId="631A1FC1">
            <w:pPr>
              <w:rPr>
                <w:rFonts w:ascii="Arial"/>
                <w:sz w:val="21"/>
              </w:rPr>
            </w:pPr>
          </w:p>
        </w:tc>
        <w:tc>
          <w:tcPr>
            <w:tcW w:w="942" w:type="dxa"/>
            <w:vMerge w:val="continue"/>
            <w:tcBorders>
              <w:top w:val="nil"/>
              <w:bottom w:val="nil"/>
            </w:tcBorders>
            <w:vAlign w:val="top"/>
          </w:tcPr>
          <w:p w14:paraId="4DC3C738">
            <w:pPr>
              <w:rPr>
                <w:rFonts w:ascii="Arial"/>
                <w:sz w:val="21"/>
              </w:rPr>
            </w:pPr>
          </w:p>
        </w:tc>
        <w:tc>
          <w:tcPr>
            <w:tcW w:w="1360" w:type="dxa"/>
            <w:vMerge w:val="continue"/>
            <w:tcBorders>
              <w:top w:val="nil"/>
              <w:bottom w:val="nil"/>
            </w:tcBorders>
            <w:vAlign w:val="top"/>
          </w:tcPr>
          <w:p w14:paraId="300CA782">
            <w:pPr>
              <w:rPr>
                <w:rFonts w:ascii="Arial"/>
                <w:sz w:val="21"/>
              </w:rPr>
            </w:pPr>
          </w:p>
        </w:tc>
        <w:tc>
          <w:tcPr>
            <w:tcW w:w="1581" w:type="dxa"/>
            <w:vMerge w:val="continue"/>
            <w:tcBorders>
              <w:top w:val="nil"/>
              <w:bottom w:val="nil"/>
            </w:tcBorders>
            <w:vAlign w:val="top"/>
          </w:tcPr>
          <w:p w14:paraId="39F1DFAD">
            <w:pPr>
              <w:rPr>
                <w:rFonts w:ascii="Arial"/>
                <w:sz w:val="21"/>
              </w:rPr>
            </w:pPr>
          </w:p>
        </w:tc>
        <w:tc>
          <w:tcPr>
            <w:tcW w:w="1586" w:type="dxa"/>
            <w:vAlign w:val="top"/>
          </w:tcPr>
          <w:p w14:paraId="11ABD731">
            <w:pPr>
              <w:pStyle w:val="51"/>
              <w:spacing w:before="239" w:line="227" w:lineRule="auto"/>
              <w:ind w:left="534"/>
              <w:rPr>
                <w:sz w:val="17"/>
                <w:szCs w:val="17"/>
              </w:rPr>
            </w:pPr>
            <w:r>
              <w:rPr>
                <w:spacing w:val="5"/>
                <w:sz w:val="17"/>
                <w:szCs w:val="17"/>
              </w:rPr>
              <w:t>胡萝卜</w:t>
            </w:r>
          </w:p>
        </w:tc>
        <w:tc>
          <w:tcPr>
            <w:tcW w:w="682" w:type="dxa"/>
            <w:vAlign w:val="top"/>
          </w:tcPr>
          <w:p w14:paraId="2963BBE4">
            <w:pPr>
              <w:pStyle w:val="51"/>
              <w:spacing w:before="240" w:line="227" w:lineRule="auto"/>
              <w:ind w:left="170"/>
              <w:rPr>
                <w:sz w:val="17"/>
                <w:szCs w:val="17"/>
              </w:rPr>
            </w:pPr>
            <w:r>
              <w:rPr>
                <w:spacing w:val="3"/>
                <w:sz w:val="17"/>
                <w:szCs w:val="17"/>
              </w:rPr>
              <w:t>较高</w:t>
            </w:r>
          </w:p>
        </w:tc>
        <w:tc>
          <w:tcPr>
            <w:tcW w:w="8563" w:type="dxa"/>
            <w:vAlign w:val="top"/>
          </w:tcPr>
          <w:p w14:paraId="52F31735">
            <w:pPr>
              <w:pStyle w:val="51"/>
              <w:spacing w:before="88" w:line="275" w:lineRule="auto"/>
              <w:ind w:left="42" w:right="62" w:hanging="5"/>
              <w:rPr>
                <w:sz w:val="17"/>
                <w:szCs w:val="17"/>
              </w:rPr>
            </w:pPr>
            <w:r>
              <w:rPr>
                <w:spacing w:val="10"/>
                <w:sz w:val="17"/>
                <w:szCs w:val="17"/>
              </w:rPr>
              <w:t>铅(以</w:t>
            </w:r>
            <w:r>
              <w:rPr>
                <w:sz w:val="17"/>
                <w:szCs w:val="17"/>
              </w:rPr>
              <w:t>Pb</w:t>
            </w:r>
            <w:r>
              <w:rPr>
                <w:spacing w:val="10"/>
                <w:sz w:val="17"/>
                <w:szCs w:val="17"/>
              </w:rPr>
              <w:t>计)、毒死蜱、氟虫腈、甲拌磷、氯氟氰菊酯和高效氯氟氰菊酯、噻虫胺、腈菌唑、乐果、噻</w:t>
            </w:r>
            <w:r>
              <w:rPr>
                <w:spacing w:val="9"/>
                <w:sz w:val="17"/>
                <w:szCs w:val="17"/>
              </w:rPr>
              <w:t>虫嗪、</w:t>
            </w:r>
            <w:r>
              <w:rPr>
                <w:spacing w:val="4"/>
                <w:sz w:val="17"/>
                <w:szCs w:val="17"/>
              </w:rPr>
              <w:t>辛硫磷</w:t>
            </w:r>
          </w:p>
        </w:tc>
      </w:tr>
      <w:tr w14:paraId="031C28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4" w:hRule="atLeast"/>
        </w:trPr>
        <w:tc>
          <w:tcPr>
            <w:tcW w:w="459" w:type="dxa"/>
            <w:vMerge w:val="continue"/>
            <w:tcBorders>
              <w:top w:val="nil"/>
              <w:bottom w:val="nil"/>
            </w:tcBorders>
            <w:vAlign w:val="top"/>
          </w:tcPr>
          <w:p w14:paraId="24E137A0">
            <w:pPr>
              <w:rPr>
                <w:rFonts w:ascii="Arial"/>
                <w:sz w:val="21"/>
              </w:rPr>
            </w:pPr>
          </w:p>
        </w:tc>
        <w:tc>
          <w:tcPr>
            <w:tcW w:w="942" w:type="dxa"/>
            <w:vMerge w:val="continue"/>
            <w:tcBorders>
              <w:top w:val="nil"/>
              <w:bottom w:val="nil"/>
            </w:tcBorders>
            <w:vAlign w:val="top"/>
          </w:tcPr>
          <w:p w14:paraId="31D160BD">
            <w:pPr>
              <w:rPr>
                <w:rFonts w:ascii="Arial"/>
                <w:sz w:val="21"/>
              </w:rPr>
            </w:pPr>
          </w:p>
        </w:tc>
        <w:tc>
          <w:tcPr>
            <w:tcW w:w="1360" w:type="dxa"/>
            <w:vMerge w:val="continue"/>
            <w:tcBorders>
              <w:top w:val="nil"/>
              <w:bottom w:val="nil"/>
            </w:tcBorders>
            <w:vAlign w:val="top"/>
          </w:tcPr>
          <w:p w14:paraId="2C3CC542">
            <w:pPr>
              <w:rPr>
                <w:rFonts w:ascii="Arial"/>
                <w:sz w:val="21"/>
              </w:rPr>
            </w:pPr>
          </w:p>
        </w:tc>
        <w:tc>
          <w:tcPr>
            <w:tcW w:w="1581" w:type="dxa"/>
            <w:vMerge w:val="continue"/>
            <w:tcBorders>
              <w:top w:val="nil"/>
              <w:bottom w:val="nil"/>
            </w:tcBorders>
            <w:vAlign w:val="top"/>
          </w:tcPr>
          <w:p w14:paraId="7B7B6B63">
            <w:pPr>
              <w:rPr>
                <w:rFonts w:ascii="Arial"/>
                <w:sz w:val="21"/>
              </w:rPr>
            </w:pPr>
          </w:p>
        </w:tc>
        <w:tc>
          <w:tcPr>
            <w:tcW w:w="1586" w:type="dxa"/>
            <w:vAlign w:val="top"/>
          </w:tcPr>
          <w:p w14:paraId="3582D916">
            <w:pPr>
              <w:spacing w:line="333" w:lineRule="auto"/>
              <w:rPr>
                <w:rFonts w:ascii="Arial"/>
                <w:sz w:val="21"/>
              </w:rPr>
            </w:pPr>
          </w:p>
          <w:p w14:paraId="6D860AE5">
            <w:pPr>
              <w:pStyle w:val="51"/>
              <w:spacing w:before="56" w:line="229" w:lineRule="auto"/>
              <w:ind w:left="715"/>
              <w:rPr>
                <w:sz w:val="17"/>
                <w:szCs w:val="17"/>
              </w:rPr>
            </w:pPr>
            <w:r>
              <w:rPr>
                <w:sz w:val="17"/>
                <w:szCs w:val="17"/>
              </w:rPr>
              <w:t>姜</w:t>
            </w:r>
          </w:p>
        </w:tc>
        <w:tc>
          <w:tcPr>
            <w:tcW w:w="682" w:type="dxa"/>
            <w:vAlign w:val="top"/>
          </w:tcPr>
          <w:p w14:paraId="47522699">
            <w:pPr>
              <w:spacing w:line="333" w:lineRule="auto"/>
              <w:rPr>
                <w:rFonts w:ascii="Arial"/>
                <w:sz w:val="21"/>
              </w:rPr>
            </w:pPr>
          </w:p>
          <w:p w14:paraId="14051F61">
            <w:pPr>
              <w:pStyle w:val="51"/>
              <w:spacing w:before="55" w:line="227" w:lineRule="auto"/>
              <w:ind w:left="170"/>
              <w:rPr>
                <w:sz w:val="17"/>
                <w:szCs w:val="17"/>
              </w:rPr>
            </w:pPr>
            <w:r>
              <w:rPr>
                <w:spacing w:val="3"/>
                <w:sz w:val="17"/>
                <w:szCs w:val="17"/>
              </w:rPr>
              <w:t>较高</w:t>
            </w:r>
          </w:p>
        </w:tc>
        <w:tc>
          <w:tcPr>
            <w:tcW w:w="8563" w:type="dxa"/>
            <w:vAlign w:val="top"/>
          </w:tcPr>
          <w:p w14:paraId="2A409D0F">
            <w:pPr>
              <w:pStyle w:val="51"/>
              <w:spacing w:before="90" w:line="291" w:lineRule="auto"/>
              <w:ind w:left="37" w:right="28"/>
              <w:jc w:val="both"/>
              <w:rPr>
                <w:sz w:val="17"/>
                <w:szCs w:val="17"/>
              </w:rPr>
            </w:pPr>
            <w:r>
              <w:rPr>
                <w:spacing w:val="10"/>
                <w:sz w:val="17"/>
                <w:szCs w:val="17"/>
              </w:rPr>
              <w:t>铅(以</w:t>
            </w:r>
            <w:r>
              <w:rPr>
                <w:sz w:val="17"/>
                <w:szCs w:val="17"/>
              </w:rPr>
              <w:t>Pb</w:t>
            </w:r>
            <w:r>
              <w:rPr>
                <w:spacing w:val="10"/>
                <w:sz w:val="17"/>
                <w:szCs w:val="17"/>
              </w:rPr>
              <w:t>计)、镉(以</w:t>
            </w:r>
            <w:r>
              <w:rPr>
                <w:sz w:val="17"/>
                <w:szCs w:val="17"/>
              </w:rPr>
              <w:t>Cd</w:t>
            </w:r>
            <w:r>
              <w:rPr>
                <w:spacing w:val="10"/>
                <w:sz w:val="17"/>
                <w:szCs w:val="17"/>
              </w:rPr>
              <w:t>计)、吡虫啉、吡唑醚菌酯、敌敌畏、毒死蜱、</w:t>
            </w:r>
            <w:r>
              <w:rPr>
                <w:spacing w:val="-43"/>
                <w:sz w:val="17"/>
                <w:szCs w:val="17"/>
              </w:rPr>
              <w:t xml:space="preserve"> </w:t>
            </w:r>
            <w:r>
              <w:rPr>
                <w:spacing w:val="10"/>
                <w:sz w:val="17"/>
                <w:szCs w:val="17"/>
              </w:rPr>
              <w:t>甲拌磷、克百</w:t>
            </w:r>
            <w:r>
              <w:rPr>
                <w:spacing w:val="9"/>
                <w:sz w:val="17"/>
                <w:szCs w:val="17"/>
              </w:rPr>
              <w:t>威、六六六、氯氟氰菊酯</w:t>
            </w:r>
            <w:r>
              <w:rPr>
                <w:spacing w:val="11"/>
                <w:sz w:val="17"/>
                <w:szCs w:val="17"/>
              </w:rPr>
              <w:t>和高效氯氟氰菊酯、氯氰菊酯和高效氯氰菊酯、氯唑磷、咪鲜胺和咪</w:t>
            </w:r>
            <w:r>
              <w:rPr>
                <w:spacing w:val="10"/>
                <w:sz w:val="17"/>
                <w:szCs w:val="17"/>
              </w:rPr>
              <w:t>鲜胺锰盐、噻虫胺、噻虫嗪、二氧化硫</w:t>
            </w:r>
            <w:r>
              <w:rPr>
                <w:spacing w:val="6"/>
                <w:sz w:val="17"/>
                <w:szCs w:val="17"/>
              </w:rPr>
              <w:t>残留量</w:t>
            </w:r>
          </w:p>
        </w:tc>
      </w:tr>
      <w:tr w14:paraId="4EBA8B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7" w:hRule="atLeast"/>
        </w:trPr>
        <w:tc>
          <w:tcPr>
            <w:tcW w:w="459" w:type="dxa"/>
            <w:vMerge w:val="continue"/>
            <w:tcBorders>
              <w:top w:val="nil"/>
            </w:tcBorders>
            <w:vAlign w:val="top"/>
          </w:tcPr>
          <w:p w14:paraId="19D122A5">
            <w:pPr>
              <w:rPr>
                <w:rFonts w:ascii="Arial"/>
                <w:sz w:val="21"/>
              </w:rPr>
            </w:pPr>
          </w:p>
        </w:tc>
        <w:tc>
          <w:tcPr>
            <w:tcW w:w="942" w:type="dxa"/>
            <w:vMerge w:val="continue"/>
            <w:tcBorders>
              <w:top w:val="nil"/>
            </w:tcBorders>
            <w:vAlign w:val="top"/>
          </w:tcPr>
          <w:p w14:paraId="78D948CA">
            <w:pPr>
              <w:rPr>
                <w:rFonts w:ascii="Arial"/>
                <w:sz w:val="21"/>
              </w:rPr>
            </w:pPr>
          </w:p>
        </w:tc>
        <w:tc>
          <w:tcPr>
            <w:tcW w:w="1360" w:type="dxa"/>
            <w:vMerge w:val="continue"/>
            <w:tcBorders>
              <w:top w:val="nil"/>
            </w:tcBorders>
            <w:vAlign w:val="top"/>
          </w:tcPr>
          <w:p w14:paraId="66F5E208">
            <w:pPr>
              <w:rPr>
                <w:rFonts w:ascii="Arial"/>
                <w:sz w:val="21"/>
              </w:rPr>
            </w:pPr>
          </w:p>
        </w:tc>
        <w:tc>
          <w:tcPr>
            <w:tcW w:w="1581" w:type="dxa"/>
            <w:vMerge w:val="continue"/>
            <w:tcBorders>
              <w:top w:val="nil"/>
            </w:tcBorders>
            <w:vAlign w:val="top"/>
          </w:tcPr>
          <w:p w14:paraId="2680A8FF">
            <w:pPr>
              <w:rPr>
                <w:rFonts w:ascii="Arial"/>
                <w:sz w:val="21"/>
              </w:rPr>
            </w:pPr>
          </w:p>
        </w:tc>
        <w:tc>
          <w:tcPr>
            <w:tcW w:w="1586" w:type="dxa"/>
            <w:vAlign w:val="top"/>
          </w:tcPr>
          <w:p w14:paraId="58A3E9F9">
            <w:pPr>
              <w:pStyle w:val="51"/>
              <w:spacing w:before="196" w:line="227" w:lineRule="auto"/>
              <w:ind w:left="630"/>
              <w:rPr>
                <w:sz w:val="17"/>
                <w:szCs w:val="17"/>
              </w:rPr>
            </w:pPr>
            <w:r>
              <w:rPr>
                <w:spacing w:val="-1"/>
                <w:sz w:val="17"/>
                <w:szCs w:val="17"/>
              </w:rPr>
              <w:t>萝卜</w:t>
            </w:r>
          </w:p>
        </w:tc>
        <w:tc>
          <w:tcPr>
            <w:tcW w:w="682" w:type="dxa"/>
            <w:vAlign w:val="top"/>
          </w:tcPr>
          <w:p w14:paraId="07A94A7A">
            <w:pPr>
              <w:pStyle w:val="51"/>
              <w:spacing w:before="197" w:line="227" w:lineRule="auto"/>
              <w:ind w:left="170"/>
              <w:rPr>
                <w:sz w:val="17"/>
                <w:szCs w:val="17"/>
              </w:rPr>
            </w:pPr>
            <w:r>
              <w:rPr>
                <w:spacing w:val="3"/>
                <w:sz w:val="17"/>
                <w:szCs w:val="17"/>
              </w:rPr>
              <w:t>较高</w:t>
            </w:r>
          </w:p>
        </w:tc>
        <w:tc>
          <w:tcPr>
            <w:tcW w:w="8563" w:type="dxa"/>
            <w:vAlign w:val="top"/>
          </w:tcPr>
          <w:p w14:paraId="7C387EBE">
            <w:pPr>
              <w:pStyle w:val="51"/>
              <w:spacing w:before="196" w:line="227" w:lineRule="auto"/>
              <w:ind w:left="37"/>
              <w:rPr>
                <w:sz w:val="17"/>
                <w:szCs w:val="17"/>
              </w:rPr>
            </w:pPr>
            <w:r>
              <w:rPr>
                <w:spacing w:val="9"/>
                <w:sz w:val="17"/>
                <w:szCs w:val="17"/>
              </w:rPr>
              <w:t>铅(以</w:t>
            </w:r>
            <w:r>
              <w:rPr>
                <w:sz w:val="17"/>
                <w:szCs w:val="17"/>
              </w:rPr>
              <w:t>Pb</w:t>
            </w:r>
            <w:r>
              <w:rPr>
                <w:spacing w:val="9"/>
                <w:sz w:val="17"/>
                <w:szCs w:val="17"/>
              </w:rPr>
              <w:t>计)、毒死蜱、甲胺磷、甲拌磷、氯氟氰菊酯和高效氯氟氰菊酯、噻虫嗪、氧乐果、噻虫胺</w:t>
            </w:r>
          </w:p>
        </w:tc>
      </w:tr>
    </w:tbl>
    <w:p w14:paraId="15191932">
      <w:pPr>
        <w:rPr>
          <w:rFonts w:ascii="Arial"/>
          <w:sz w:val="21"/>
        </w:rPr>
      </w:pPr>
    </w:p>
    <w:p w14:paraId="2DD0BC36">
      <w:pPr>
        <w:rPr>
          <w:rFonts w:ascii="Arial" w:hAnsi="Arial" w:eastAsia="Arial" w:cs="Arial"/>
          <w:sz w:val="21"/>
          <w:szCs w:val="21"/>
        </w:rPr>
        <w:sectPr>
          <w:pgSz w:w="16838" w:h="11906"/>
          <w:pgMar w:top="1011" w:right="829" w:bottom="400" w:left="363" w:header="567" w:footer="567" w:gutter="0"/>
          <w:pgNumType w:fmt="decimal"/>
          <w:cols w:space="720" w:num="1"/>
        </w:sectPr>
      </w:pPr>
    </w:p>
    <w:p w14:paraId="1A356252">
      <w:pPr>
        <w:spacing w:before="18"/>
      </w:pPr>
    </w:p>
    <w:p w14:paraId="20743D65">
      <w:pPr>
        <w:spacing w:before="18"/>
      </w:pPr>
    </w:p>
    <w:tbl>
      <w:tblPr>
        <w:tblStyle w:val="50"/>
        <w:tblW w:w="15173" w:type="dxa"/>
        <w:tblInd w:w="46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59"/>
        <w:gridCol w:w="942"/>
        <w:gridCol w:w="1360"/>
        <w:gridCol w:w="1581"/>
        <w:gridCol w:w="1586"/>
        <w:gridCol w:w="682"/>
        <w:gridCol w:w="8563"/>
      </w:tblGrid>
      <w:tr w14:paraId="7F45CF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459" w:type="dxa"/>
            <w:vAlign w:val="top"/>
          </w:tcPr>
          <w:p w14:paraId="015B74AA">
            <w:pPr>
              <w:spacing w:before="241" w:line="234" w:lineRule="auto"/>
              <w:ind w:left="52"/>
              <w:rPr>
                <w:rFonts w:ascii="黑体" w:hAnsi="黑体" w:eastAsia="黑体" w:cs="黑体"/>
                <w:sz w:val="17"/>
                <w:szCs w:val="17"/>
              </w:rPr>
            </w:pPr>
            <w:r>
              <w:rPr>
                <w:rFonts w:ascii="黑体" w:hAnsi="黑体" w:eastAsia="黑体" w:cs="黑体"/>
                <w:spacing w:val="6"/>
                <w:sz w:val="17"/>
                <w:szCs w:val="17"/>
              </w:rPr>
              <w:t>序号</w:t>
            </w:r>
          </w:p>
        </w:tc>
        <w:tc>
          <w:tcPr>
            <w:tcW w:w="942" w:type="dxa"/>
            <w:vAlign w:val="top"/>
          </w:tcPr>
          <w:p w14:paraId="7DBBB9A5">
            <w:pPr>
              <w:spacing w:before="90" w:line="232" w:lineRule="auto"/>
              <w:ind w:left="111"/>
              <w:rPr>
                <w:rFonts w:ascii="黑体" w:hAnsi="黑体" w:eastAsia="黑体" w:cs="黑体"/>
                <w:sz w:val="17"/>
                <w:szCs w:val="17"/>
              </w:rPr>
            </w:pPr>
            <w:r>
              <w:rPr>
                <w:rFonts w:ascii="黑体" w:hAnsi="黑体" w:eastAsia="黑体" w:cs="黑体"/>
                <w:spacing w:val="8"/>
                <w:sz w:val="17"/>
                <w:szCs w:val="17"/>
              </w:rPr>
              <w:t>食品大类</w:t>
            </w:r>
          </w:p>
          <w:p w14:paraId="4B353E40">
            <w:pPr>
              <w:spacing w:before="86" w:line="227" w:lineRule="auto"/>
              <w:ind w:left="237"/>
              <w:rPr>
                <w:rFonts w:ascii="黑体" w:hAnsi="黑体" w:eastAsia="黑体" w:cs="黑体"/>
                <w:sz w:val="17"/>
                <w:szCs w:val="17"/>
              </w:rPr>
            </w:pPr>
            <w:r>
              <w:rPr>
                <w:rFonts w:ascii="黑体" w:hAnsi="黑体" w:eastAsia="黑体" w:cs="黑体"/>
                <w:spacing w:val="-4"/>
                <w:sz w:val="17"/>
                <w:szCs w:val="17"/>
              </w:rPr>
              <w:t>(一级)</w:t>
            </w:r>
          </w:p>
        </w:tc>
        <w:tc>
          <w:tcPr>
            <w:tcW w:w="1360" w:type="dxa"/>
            <w:vAlign w:val="top"/>
          </w:tcPr>
          <w:p w14:paraId="37B723BF">
            <w:pPr>
              <w:spacing w:before="90" w:line="232" w:lineRule="auto"/>
              <w:ind w:left="321"/>
              <w:rPr>
                <w:rFonts w:ascii="黑体" w:hAnsi="黑体" w:eastAsia="黑体" w:cs="黑体"/>
                <w:sz w:val="17"/>
                <w:szCs w:val="17"/>
              </w:rPr>
            </w:pPr>
            <w:r>
              <w:rPr>
                <w:rFonts w:ascii="黑体" w:hAnsi="黑体" w:eastAsia="黑体" w:cs="黑体"/>
                <w:spacing w:val="8"/>
                <w:sz w:val="17"/>
                <w:szCs w:val="17"/>
              </w:rPr>
              <w:t>食品亚类</w:t>
            </w:r>
          </w:p>
          <w:p w14:paraId="22BE47C5">
            <w:pPr>
              <w:spacing w:before="86" w:line="227" w:lineRule="auto"/>
              <w:ind w:left="444"/>
              <w:rPr>
                <w:rFonts w:ascii="黑体" w:hAnsi="黑体" w:eastAsia="黑体" w:cs="黑体"/>
                <w:sz w:val="17"/>
                <w:szCs w:val="17"/>
              </w:rPr>
            </w:pPr>
            <w:r>
              <w:rPr>
                <w:rFonts w:ascii="黑体" w:hAnsi="黑体" w:eastAsia="黑体" w:cs="黑体"/>
                <w:spacing w:val="-3"/>
                <w:sz w:val="17"/>
                <w:szCs w:val="17"/>
              </w:rPr>
              <w:t>(二级)</w:t>
            </w:r>
          </w:p>
        </w:tc>
        <w:tc>
          <w:tcPr>
            <w:tcW w:w="1581" w:type="dxa"/>
            <w:vAlign w:val="top"/>
          </w:tcPr>
          <w:p w14:paraId="0A9CB47A">
            <w:pPr>
              <w:spacing w:before="90" w:line="232" w:lineRule="auto"/>
              <w:ind w:left="433"/>
              <w:rPr>
                <w:rFonts w:ascii="黑体" w:hAnsi="黑体" w:eastAsia="黑体" w:cs="黑体"/>
                <w:sz w:val="17"/>
                <w:szCs w:val="17"/>
              </w:rPr>
            </w:pPr>
            <w:r>
              <w:rPr>
                <w:rFonts w:ascii="黑体" w:hAnsi="黑体" w:eastAsia="黑体" w:cs="黑体"/>
                <w:spacing w:val="8"/>
                <w:sz w:val="17"/>
                <w:szCs w:val="17"/>
              </w:rPr>
              <w:t>食品品种</w:t>
            </w:r>
          </w:p>
          <w:p w14:paraId="25CE738A">
            <w:pPr>
              <w:spacing w:before="86" w:line="227" w:lineRule="auto"/>
              <w:ind w:left="558"/>
              <w:rPr>
                <w:rFonts w:ascii="黑体" w:hAnsi="黑体" w:eastAsia="黑体" w:cs="黑体"/>
                <w:sz w:val="17"/>
                <w:szCs w:val="17"/>
              </w:rPr>
            </w:pPr>
            <w:r>
              <w:rPr>
                <w:rFonts w:ascii="黑体" w:hAnsi="黑体" w:eastAsia="黑体" w:cs="黑体"/>
                <w:spacing w:val="-4"/>
                <w:sz w:val="17"/>
                <w:szCs w:val="17"/>
              </w:rPr>
              <w:t>(三级)</w:t>
            </w:r>
          </w:p>
        </w:tc>
        <w:tc>
          <w:tcPr>
            <w:tcW w:w="1586" w:type="dxa"/>
            <w:vAlign w:val="top"/>
          </w:tcPr>
          <w:p w14:paraId="58611786">
            <w:pPr>
              <w:spacing w:before="90" w:line="232" w:lineRule="auto"/>
              <w:ind w:left="436"/>
              <w:rPr>
                <w:rFonts w:ascii="黑体" w:hAnsi="黑体" w:eastAsia="黑体" w:cs="黑体"/>
                <w:sz w:val="17"/>
                <w:szCs w:val="17"/>
              </w:rPr>
            </w:pPr>
            <w:r>
              <w:rPr>
                <w:rFonts w:ascii="黑体" w:hAnsi="黑体" w:eastAsia="黑体" w:cs="黑体"/>
                <w:spacing w:val="8"/>
                <w:sz w:val="17"/>
                <w:szCs w:val="17"/>
              </w:rPr>
              <w:t>食品细类</w:t>
            </w:r>
          </w:p>
          <w:p w14:paraId="22CC1C60">
            <w:pPr>
              <w:spacing w:before="86" w:line="227" w:lineRule="auto"/>
              <w:ind w:left="561"/>
              <w:rPr>
                <w:rFonts w:ascii="黑体" w:hAnsi="黑体" w:eastAsia="黑体" w:cs="黑体"/>
                <w:sz w:val="17"/>
                <w:szCs w:val="17"/>
              </w:rPr>
            </w:pPr>
            <w:r>
              <w:rPr>
                <w:rFonts w:ascii="黑体" w:hAnsi="黑体" w:eastAsia="黑体" w:cs="黑体"/>
                <w:spacing w:val="-4"/>
                <w:sz w:val="17"/>
                <w:szCs w:val="17"/>
              </w:rPr>
              <w:t>(四级)</w:t>
            </w:r>
          </w:p>
        </w:tc>
        <w:tc>
          <w:tcPr>
            <w:tcW w:w="682" w:type="dxa"/>
            <w:vAlign w:val="top"/>
          </w:tcPr>
          <w:p w14:paraId="68EFB3A9">
            <w:pPr>
              <w:spacing w:before="89" w:line="233" w:lineRule="auto"/>
              <w:ind w:left="166"/>
              <w:rPr>
                <w:rFonts w:ascii="黑体" w:hAnsi="黑体" w:eastAsia="黑体" w:cs="黑体"/>
                <w:sz w:val="17"/>
                <w:szCs w:val="17"/>
              </w:rPr>
            </w:pPr>
            <w:r>
              <w:rPr>
                <w:rFonts w:ascii="黑体" w:hAnsi="黑体" w:eastAsia="黑体" w:cs="黑体"/>
                <w:spacing w:val="6"/>
                <w:sz w:val="17"/>
                <w:szCs w:val="17"/>
              </w:rPr>
              <w:t>风险</w:t>
            </w:r>
          </w:p>
          <w:p w14:paraId="2827E81D">
            <w:pPr>
              <w:spacing w:before="85" w:line="227" w:lineRule="auto"/>
              <w:ind w:left="163"/>
              <w:rPr>
                <w:rFonts w:ascii="黑体" w:hAnsi="黑体" w:eastAsia="黑体" w:cs="黑体"/>
                <w:sz w:val="17"/>
                <w:szCs w:val="17"/>
              </w:rPr>
            </w:pPr>
            <w:r>
              <w:rPr>
                <w:rFonts w:ascii="黑体" w:hAnsi="黑体" w:eastAsia="黑体" w:cs="黑体"/>
                <w:spacing w:val="7"/>
                <w:sz w:val="17"/>
                <w:szCs w:val="17"/>
              </w:rPr>
              <w:t>等级</w:t>
            </w:r>
          </w:p>
        </w:tc>
        <w:tc>
          <w:tcPr>
            <w:tcW w:w="8563" w:type="dxa"/>
            <w:vAlign w:val="top"/>
          </w:tcPr>
          <w:p w14:paraId="331B9737">
            <w:pPr>
              <w:spacing w:before="241" w:line="232" w:lineRule="auto"/>
              <w:ind w:left="3744"/>
              <w:rPr>
                <w:rFonts w:ascii="黑体" w:hAnsi="黑体" w:eastAsia="黑体" w:cs="黑体"/>
                <w:sz w:val="17"/>
                <w:szCs w:val="17"/>
              </w:rPr>
            </w:pPr>
            <w:r>
              <w:rPr>
                <w:rFonts w:ascii="黑体" w:hAnsi="黑体" w:eastAsia="黑体" w:cs="黑体"/>
                <w:spacing w:val="8"/>
                <w:sz w:val="17"/>
                <w:szCs w:val="17"/>
              </w:rPr>
              <w:t>监督抽检项目</w:t>
            </w:r>
          </w:p>
        </w:tc>
      </w:tr>
      <w:tr w14:paraId="61E2D6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459" w:type="dxa"/>
            <w:vMerge w:val="restart"/>
            <w:tcBorders>
              <w:bottom w:val="nil"/>
            </w:tcBorders>
            <w:vAlign w:val="top"/>
          </w:tcPr>
          <w:p w14:paraId="69E9D88C">
            <w:pPr>
              <w:rPr>
                <w:rFonts w:ascii="Arial"/>
                <w:sz w:val="21"/>
              </w:rPr>
            </w:pPr>
          </w:p>
        </w:tc>
        <w:tc>
          <w:tcPr>
            <w:tcW w:w="942" w:type="dxa"/>
            <w:vMerge w:val="restart"/>
            <w:tcBorders>
              <w:bottom w:val="nil"/>
            </w:tcBorders>
            <w:vAlign w:val="top"/>
          </w:tcPr>
          <w:p w14:paraId="4391E25F">
            <w:pPr>
              <w:rPr>
                <w:rFonts w:ascii="Arial"/>
                <w:sz w:val="21"/>
              </w:rPr>
            </w:pPr>
          </w:p>
        </w:tc>
        <w:tc>
          <w:tcPr>
            <w:tcW w:w="1360" w:type="dxa"/>
            <w:vMerge w:val="restart"/>
            <w:tcBorders>
              <w:bottom w:val="nil"/>
            </w:tcBorders>
            <w:vAlign w:val="top"/>
          </w:tcPr>
          <w:p w14:paraId="11CA1A40">
            <w:pPr>
              <w:rPr>
                <w:rFonts w:ascii="Arial"/>
                <w:sz w:val="21"/>
              </w:rPr>
            </w:pPr>
          </w:p>
        </w:tc>
        <w:tc>
          <w:tcPr>
            <w:tcW w:w="1581" w:type="dxa"/>
            <w:vAlign w:val="top"/>
          </w:tcPr>
          <w:p w14:paraId="381B8DED">
            <w:pPr>
              <w:rPr>
                <w:rFonts w:ascii="Arial"/>
                <w:sz w:val="21"/>
              </w:rPr>
            </w:pPr>
          </w:p>
        </w:tc>
        <w:tc>
          <w:tcPr>
            <w:tcW w:w="1586" w:type="dxa"/>
            <w:vAlign w:val="top"/>
          </w:tcPr>
          <w:p w14:paraId="4DBE7CEB">
            <w:pPr>
              <w:pStyle w:val="51"/>
              <w:spacing w:before="192" w:line="229" w:lineRule="auto"/>
              <w:ind w:left="637"/>
              <w:rPr>
                <w:sz w:val="17"/>
                <w:szCs w:val="17"/>
              </w:rPr>
            </w:pPr>
            <w:r>
              <w:rPr>
                <w:spacing w:val="-3"/>
                <w:sz w:val="17"/>
                <w:szCs w:val="17"/>
              </w:rPr>
              <w:t>山药</w:t>
            </w:r>
          </w:p>
        </w:tc>
        <w:tc>
          <w:tcPr>
            <w:tcW w:w="682" w:type="dxa"/>
            <w:vAlign w:val="top"/>
          </w:tcPr>
          <w:p w14:paraId="6E17309C">
            <w:pPr>
              <w:pStyle w:val="51"/>
              <w:spacing w:before="192" w:line="227" w:lineRule="auto"/>
              <w:ind w:left="170"/>
              <w:rPr>
                <w:sz w:val="17"/>
                <w:szCs w:val="17"/>
              </w:rPr>
            </w:pPr>
            <w:r>
              <w:rPr>
                <w:spacing w:val="3"/>
                <w:sz w:val="17"/>
                <w:szCs w:val="17"/>
              </w:rPr>
              <w:t>较高</w:t>
            </w:r>
          </w:p>
        </w:tc>
        <w:tc>
          <w:tcPr>
            <w:tcW w:w="8563" w:type="dxa"/>
            <w:vAlign w:val="top"/>
          </w:tcPr>
          <w:p w14:paraId="7A14D1E2">
            <w:pPr>
              <w:pStyle w:val="51"/>
              <w:spacing w:before="192" w:line="227" w:lineRule="auto"/>
              <w:ind w:left="37"/>
              <w:rPr>
                <w:sz w:val="17"/>
                <w:szCs w:val="17"/>
              </w:rPr>
            </w:pPr>
            <w:r>
              <w:rPr>
                <w:spacing w:val="9"/>
                <w:sz w:val="17"/>
                <w:szCs w:val="17"/>
              </w:rPr>
              <w:t>铅(以</w:t>
            </w:r>
            <w:r>
              <w:rPr>
                <w:sz w:val="17"/>
                <w:szCs w:val="17"/>
              </w:rPr>
              <w:t>Pb</w:t>
            </w:r>
            <w:r>
              <w:rPr>
                <w:spacing w:val="9"/>
                <w:sz w:val="17"/>
                <w:szCs w:val="17"/>
              </w:rPr>
              <w:t>计)、毒死蜱、氯氟氰菊酯和高效氯氟氰菊酯、咪鲜胺和咪鲜胺锰盐、涕灭威</w:t>
            </w:r>
          </w:p>
        </w:tc>
      </w:tr>
      <w:tr w14:paraId="030B01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459" w:type="dxa"/>
            <w:vMerge w:val="continue"/>
            <w:tcBorders>
              <w:top w:val="nil"/>
            </w:tcBorders>
            <w:vAlign w:val="top"/>
          </w:tcPr>
          <w:p w14:paraId="5CF869FE">
            <w:pPr>
              <w:rPr>
                <w:rFonts w:ascii="Arial"/>
                <w:sz w:val="21"/>
              </w:rPr>
            </w:pPr>
          </w:p>
        </w:tc>
        <w:tc>
          <w:tcPr>
            <w:tcW w:w="942" w:type="dxa"/>
            <w:vMerge w:val="continue"/>
            <w:tcBorders>
              <w:top w:val="nil"/>
            </w:tcBorders>
            <w:vAlign w:val="top"/>
          </w:tcPr>
          <w:p w14:paraId="3469ADF8">
            <w:pPr>
              <w:rPr>
                <w:rFonts w:ascii="Arial"/>
                <w:sz w:val="21"/>
              </w:rPr>
            </w:pPr>
          </w:p>
        </w:tc>
        <w:tc>
          <w:tcPr>
            <w:tcW w:w="1360" w:type="dxa"/>
            <w:vMerge w:val="continue"/>
            <w:tcBorders>
              <w:top w:val="nil"/>
            </w:tcBorders>
            <w:vAlign w:val="top"/>
          </w:tcPr>
          <w:p w14:paraId="06BFDB1F">
            <w:pPr>
              <w:rPr>
                <w:rFonts w:ascii="Arial"/>
                <w:sz w:val="21"/>
              </w:rPr>
            </w:pPr>
          </w:p>
        </w:tc>
        <w:tc>
          <w:tcPr>
            <w:tcW w:w="1581" w:type="dxa"/>
            <w:vAlign w:val="top"/>
          </w:tcPr>
          <w:p w14:paraId="3F4E15ED">
            <w:pPr>
              <w:pStyle w:val="51"/>
              <w:spacing w:before="235" w:line="224" w:lineRule="auto"/>
              <w:ind w:left="443"/>
              <w:rPr>
                <w:sz w:val="17"/>
                <w:szCs w:val="17"/>
              </w:rPr>
            </w:pPr>
            <w:r>
              <w:rPr>
                <w:spacing w:val="5"/>
                <w:sz w:val="17"/>
                <w:szCs w:val="17"/>
              </w:rPr>
              <w:t>去皮蔬菜</w:t>
            </w:r>
          </w:p>
        </w:tc>
        <w:tc>
          <w:tcPr>
            <w:tcW w:w="1586" w:type="dxa"/>
            <w:vAlign w:val="top"/>
          </w:tcPr>
          <w:p w14:paraId="1E223913">
            <w:pPr>
              <w:pStyle w:val="51"/>
              <w:spacing w:before="235" w:line="224" w:lineRule="auto"/>
              <w:ind w:left="446"/>
              <w:rPr>
                <w:sz w:val="17"/>
                <w:szCs w:val="17"/>
              </w:rPr>
            </w:pPr>
            <w:r>
              <w:rPr>
                <w:spacing w:val="5"/>
                <w:sz w:val="17"/>
                <w:szCs w:val="17"/>
              </w:rPr>
              <w:t>去皮蔬菜</w:t>
            </w:r>
          </w:p>
        </w:tc>
        <w:tc>
          <w:tcPr>
            <w:tcW w:w="682" w:type="dxa"/>
            <w:vAlign w:val="top"/>
          </w:tcPr>
          <w:p w14:paraId="4C48FAEC">
            <w:pPr>
              <w:pStyle w:val="51"/>
              <w:spacing w:before="236" w:line="227" w:lineRule="auto"/>
              <w:ind w:left="170"/>
              <w:rPr>
                <w:sz w:val="17"/>
                <w:szCs w:val="17"/>
              </w:rPr>
            </w:pPr>
            <w:r>
              <w:rPr>
                <w:spacing w:val="3"/>
                <w:sz w:val="17"/>
                <w:szCs w:val="17"/>
              </w:rPr>
              <w:t>较高</w:t>
            </w:r>
          </w:p>
        </w:tc>
        <w:tc>
          <w:tcPr>
            <w:tcW w:w="8563" w:type="dxa"/>
            <w:vAlign w:val="top"/>
          </w:tcPr>
          <w:p w14:paraId="4198EEAE">
            <w:pPr>
              <w:pStyle w:val="51"/>
              <w:spacing w:before="86" w:line="276" w:lineRule="auto"/>
              <w:ind w:left="37" w:right="42" w:firstLine="2"/>
              <w:rPr>
                <w:sz w:val="17"/>
                <w:szCs w:val="17"/>
              </w:rPr>
            </w:pPr>
            <w:r>
              <w:rPr>
                <w:spacing w:val="10"/>
                <w:sz w:val="17"/>
                <w:szCs w:val="17"/>
              </w:rPr>
              <w:t>苯甲酸及其钠盐(以苯甲酸计)、山梨酸及其钾盐(以山梨酸计)、脱氢乙酸</w:t>
            </w:r>
            <w:r>
              <w:rPr>
                <w:spacing w:val="9"/>
                <w:sz w:val="17"/>
                <w:szCs w:val="17"/>
              </w:rPr>
              <w:t>及其钠盐(以脱氢乙酸计)、二氧化硫残留量、合成着色剂(柠檬黄、日落黄、胭脂红、苋菜红、亮蓝、诱惑红 )</w:t>
            </w:r>
          </w:p>
        </w:tc>
      </w:tr>
      <w:tr w14:paraId="53907B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4" w:hRule="atLeast"/>
        </w:trPr>
        <w:tc>
          <w:tcPr>
            <w:tcW w:w="459" w:type="dxa"/>
            <w:vMerge w:val="restart"/>
            <w:tcBorders>
              <w:bottom w:val="nil"/>
            </w:tcBorders>
            <w:vAlign w:val="top"/>
          </w:tcPr>
          <w:p w14:paraId="544242E1">
            <w:pPr>
              <w:spacing w:line="243" w:lineRule="auto"/>
              <w:rPr>
                <w:rFonts w:ascii="Arial"/>
                <w:sz w:val="21"/>
              </w:rPr>
            </w:pPr>
          </w:p>
          <w:p w14:paraId="01C5CEAC">
            <w:pPr>
              <w:spacing w:line="243" w:lineRule="auto"/>
              <w:rPr>
                <w:rFonts w:ascii="Arial"/>
                <w:sz w:val="21"/>
              </w:rPr>
            </w:pPr>
          </w:p>
          <w:p w14:paraId="6C03BF89">
            <w:pPr>
              <w:spacing w:line="243" w:lineRule="auto"/>
              <w:rPr>
                <w:rFonts w:ascii="Arial"/>
                <w:sz w:val="21"/>
              </w:rPr>
            </w:pPr>
          </w:p>
          <w:p w14:paraId="46E77501">
            <w:pPr>
              <w:spacing w:line="243" w:lineRule="auto"/>
              <w:rPr>
                <w:rFonts w:ascii="Arial"/>
                <w:sz w:val="21"/>
              </w:rPr>
            </w:pPr>
          </w:p>
          <w:p w14:paraId="05513212">
            <w:pPr>
              <w:spacing w:line="243" w:lineRule="auto"/>
              <w:rPr>
                <w:rFonts w:ascii="Arial"/>
                <w:sz w:val="21"/>
              </w:rPr>
            </w:pPr>
          </w:p>
          <w:p w14:paraId="1F3126AA">
            <w:pPr>
              <w:spacing w:line="244" w:lineRule="auto"/>
              <w:rPr>
                <w:rFonts w:ascii="Arial"/>
                <w:sz w:val="21"/>
              </w:rPr>
            </w:pPr>
          </w:p>
          <w:p w14:paraId="00EF26D2">
            <w:pPr>
              <w:spacing w:line="244" w:lineRule="auto"/>
              <w:rPr>
                <w:rFonts w:ascii="Arial"/>
                <w:sz w:val="21"/>
              </w:rPr>
            </w:pPr>
          </w:p>
          <w:p w14:paraId="579A8E35">
            <w:pPr>
              <w:spacing w:line="244" w:lineRule="auto"/>
              <w:rPr>
                <w:rFonts w:ascii="Arial"/>
                <w:sz w:val="21"/>
              </w:rPr>
            </w:pPr>
          </w:p>
          <w:p w14:paraId="6A652CF2">
            <w:pPr>
              <w:spacing w:line="244" w:lineRule="auto"/>
              <w:rPr>
                <w:rFonts w:ascii="Arial"/>
                <w:sz w:val="21"/>
              </w:rPr>
            </w:pPr>
          </w:p>
          <w:p w14:paraId="09B42C11">
            <w:pPr>
              <w:spacing w:line="244" w:lineRule="auto"/>
              <w:rPr>
                <w:rFonts w:ascii="Arial"/>
                <w:sz w:val="21"/>
              </w:rPr>
            </w:pPr>
          </w:p>
          <w:p w14:paraId="27B2E9BE">
            <w:pPr>
              <w:pStyle w:val="51"/>
              <w:spacing w:before="56" w:line="227" w:lineRule="exact"/>
              <w:ind w:left="146"/>
              <w:rPr>
                <w:sz w:val="17"/>
                <w:szCs w:val="17"/>
              </w:rPr>
            </w:pPr>
            <w:r>
              <w:rPr>
                <w:spacing w:val="-1"/>
                <w:position w:val="1"/>
                <w:sz w:val="17"/>
                <w:szCs w:val="17"/>
              </w:rPr>
              <w:t>33</w:t>
            </w:r>
          </w:p>
        </w:tc>
        <w:tc>
          <w:tcPr>
            <w:tcW w:w="942" w:type="dxa"/>
            <w:vMerge w:val="restart"/>
            <w:tcBorders>
              <w:bottom w:val="nil"/>
            </w:tcBorders>
            <w:vAlign w:val="top"/>
          </w:tcPr>
          <w:p w14:paraId="43564C77">
            <w:pPr>
              <w:spacing w:line="243" w:lineRule="auto"/>
              <w:rPr>
                <w:rFonts w:ascii="Arial"/>
                <w:sz w:val="21"/>
              </w:rPr>
            </w:pPr>
          </w:p>
          <w:p w14:paraId="191939A4">
            <w:pPr>
              <w:spacing w:line="243" w:lineRule="auto"/>
              <w:rPr>
                <w:rFonts w:ascii="Arial"/>
                <w:sz w:val="21"/>
              </w:rPr>
            </w:pPr>
          </w:p>
          <w:p w14:paraId="0F6ED6B3">
            <w:pPr>
              <w:spacing w:line="243" w:lineRule="auto"/>
              <w:rPr>
                <w:rFonts w:ascii="Arial"/>
                <w:sz w:val="21"/>
              </w:rPr>
            </w:pPr>
          </w:p>
          <w:p w14:paraId="0564C324">
            <w:pPr>
              <w:spacing w:line="243" w:lineRule="auto"/>
              <w:rPr>
                <w:rFonts w:ascii="Arial"/>
                <w:sz w:val="21"/>
              </w:rPr>
            </w:pPr>
          </w:p>
          <w:p w14:paraId="556D2039">
            <w:pPr>
              <w:spacing w:line="243" w:lineRule="auto"/>
              <w:rPr>
                <w:rFonts w:ascii="Arial"/>
                <w:sz w:val="21"/>
              </w:rPr>
            </w:pPr>
          </w:p>
          <w:p w14:paraId="09135116">
            <w:pPr>
              <w:spacing w:line="244" w:lineRule="auto"/>
              <w:rPr>
                <w:rFonts w:ascii="Arial"/>
                <w:sz w:val="21"/>
              </w:rPr>
            </w:pPr>
          </w:p>
          <w:p w14:paraId="771515B6">
            <w:pPr>
              <w:spacing w:line="244" w:lineRule="auto"/>
              <w:rPr>
                <w:rFonts w:ascii="Arial"/>
                <w:sz w:val="21"/>
              </w:rPr>
            </w:pPr>
          </w:p>
          <w:p w14:paraId="28411804">
            <w:pPr>
              <w:spacing w:line="244" w:lineRule="auto"/>
              <w:rPr>
                <w:rFonts w:ascii="Arial"/>
                <w:sz w:val="21"/>
              </w:rPr>
            </w:pPr>
          </w:p>
          <w:p w14:paraId="43165B97">
            <w:pPr>
              <w:spacing w:line="244" w:lineRule="auto"/>
              <w:rPr>
                <w:rFonts w:ascii="Arial"/>
                <w:sz w:val="21"/>
              </w:rPr>
            </w:pPr>
          </w:p>
          <w:p w14:paraId="37AC99F8">
            <w:pPr>
              <w:spacing w:line="244" w:lineRule="auto"/>
              <w:rPr>
                <w:rFonts w:ascii="Arial"/>
                <w:sz w:val="21"/>
              </w:rPr>
            </w:pPr>
          </w:p>
          <w:p w14:paraId="54EBEBEA">
            <w:pPr>
              <w:pStyle w:val="51"/>
              <w:spacing w:before="55" w:line="229" w:lineRule="auto"/>
              <w:ind w:left="207"/>
              <w:rPr>
                <w:sz w:val="17"/>
                <w:szCs w:val="17"/>
              </w:rPr>
            </w:pPr>
            <w:r>
              <w:rPr>
                <w:spacing w:val="6"/>
                <w:sz w:val="17"/>
                <w:szCs w:val="17"/>
              </w:rPr>
              <w:t>水产品</w:t>
            </w:r>
          </w:p>
        </w:tc>
        <w:tc>
          <w:tcPr>
            <w:tcW w:w="1360" w:type="dxa"/>
            <w:vMerge w:val="restart"/>
            <w:tcBorders>
              <w:bottom w:val="nil"/>
            </w:tcBorders>
            <w:vAlign w:val="top"/>
          </w:tcPr>
          <w:p w14:paraId="60B7D497">
            <w:pPr>
              <w:spacing w:line="243" w:lineRule="auto"/>
              <w:rPr>
                <w:rFonts w:ascii="Arial"/>
                <w:sz w:val="21"/>
              </w:rPr>
            </w:pPr>
          </w:p>
          <w:p w14:paraId="5C35F5B4">
            <w:pPr>
              <w:spacing w:line="243" w:lineRule="auto"/>
              <w:rPr>
                <w:rFonts w:ascii="Arial"/>
                <w:sz w:val="21"/>
              </w:rPr>
            </w:pPr>
          </w:p>
          <w:p w14:paraId="53E33A2D">
            <w:pPr>
              <w:spacing w:line="243" w:lineRule="auto"/>
              <w:rPr>
                <w:rFonts w:ascii="Arial"/>
                <w:sz w:val="21"/>
              </w:rPr>
            </w:pPr>
          </w:p>
          <w:p w14:paraId="5E369C20">
            <w:pPr>
              <w:spacing w:line="243" w:lineRule="auto"/>
              <w:rPr>
                <w:rFonts w:ascii="Arial"/>
                <w:sz w:val="21"/>
              </w:rPr>
            </w:pPr>
          </w:p>
          <w:p w14:paraId="46E19B2E">
            <w:pPr>
              <w:spacing w:line="243" w:lineRule="auto"/>
              <w:rPr>
                <w:rFonts w:ascii="Arial"/>
                <w:sz w:val="21"/>
              </w:rPr>
            </w:pPr>
          </w:p>
          <w:p w14:paraId="20771E61">
            <w:pPr>
              <w:spacing w:line="244" w:lineRule="auto"/>
              <w:rPr>
                <w:rFonts w:ascii="Arial"/>
                <w:sz w:val="21"/>
              </w:rPr>
            </w:pPr>
          </w:p>
          <w:p w14:paraId="4E2164D4">
            <w:pPr>
              <w:spacing w:line="244" w:lineRule="auto"/>
              <w:rPr>
                <w:rFonts w:ascii="Arial"/>
                <w:sz w:val="21"/>
              </w:rPr>
            </w:pPr>
          </w:p>
          <w:p w14:paraId="3FFEF67C">
            <w:pPr>
              <w:spacing w:line="244" w:lineRule="auto"/>
              <w:rPr>
                <w:rFonts w:ascii="Arial"/>
                <w:sz w:val="21"/>
              </w:rPr>
            </w:pPr>
          </w:p>
          <w:p w14:paraId="27242F57">
            <w:pPr>
              <w:spacing w:line="244" w:lineRule="auto"/>
              <w:rPr>
                <w:rFonts w:ascii="Arial"/>
                <w:sz w:val="21"/>
              </w:rPr>
            </w:pPr>
          </w:p>
          <w:p w14:paraId="1D8657B1">
            <w:pPr>
              <w:spacing w:line="244" w:lineRule="auto"/>
              <w:rPr>
                <w:rFonts w:ascii="Arial"/>
                <w:sz w:val="21"/>
              </w:rPr>
            </w:pPr>
          </w:p>
          <w:p w14:paraId="5B36B61B">
            <w:pPr>
              <w:pStyle w:val="51"/>
              <w:spacing w:before="55" w:line="229" w:lineRule="auto"/>
              <w:ind w:left="415"/>
              <w:rPr>
                <w:sz w:val="17"/>
                <w:szCs w:val="17"/>
              </w:rPr>
            </w:pPr>
            <w:r>
              <w:rPr>
                <w:spacing w:val="6"/>
                <w:sz w:val="17"/>
                <w:szCs w:val="17"/>
              </w:rPr>
              <w:t>水产品</w:t>
            </w:r>
          </w:p>
        </w:tc>
        <w:tc>
          <w:tcPr>
            <w:tcW w:w="1581" w:type="dxa"/>
            <w:vMerge w:val="restart"/>
            <w:tcBorders>
              <w:bottom w:val="nil"/>
            </w:tcBorders>
            <w:vAlign w:val="top"/>
          </w:tcPr>
          <w:p w14:paraId="40FE6EA2">
            <w:pPr>
              <w:spacing w:line="278" w:lineRule="auto"/>
              <w:rPr>
                <w:rFonts w:ascii="Arial"/>
                <w:sz w:val="21"/>
              </w:rPr>
            </w:pPr>
          </w:p>
          <w:p w14:paraId="1ED2A2D0">
            <w:pPr>
              <w:spacing w:line="278" w:lineRule="auto"/>
              <w:rPr>
                <w:rFonts w:ascii="Arial"/>
                <w:sz w:val="21"/>
              </w:rPr>
            </w:pPr>
          </w:p>
          <w:p w14:paraId="27521ADF">
            <w:pPr>
              <w:spacing w:line="278" w:lineRule="auto"/>
              <w:rPr>
                <w:rFonts w:ascii="Arial"/>
                <w:sz w:val="21"/>
              </w:rPr>
            </w:pPr>
          </w:p>
          <w:p w14:paraId="19AB9939">
            <w:pPr>
              <w:pStyle w:val="51"/>
              <w:spacing w:before="56" w:line="229" w:lineRule="auto"/>
              <w:ind w:left="440"/>
              <w:rPr>
                <w:sz w:val="17"/>
                <w:szCs w:val="17"/>
              </w:rPr>
            </w:pPr>
            <w:r>
              <w:rPr>
                <w:spacing w:val="6"/>
                <w:sz w:val="17"/>
                <w:szCs w:val="17"/>
              </w:rPr>
              <w:t>淡水产品</w:t>
            </w:r>
          </w:p>
        </w:tc>
        <w:tc>
          <w:tcPr>
            <w:tcW w:w="1586" w:type="dxa"/>
            <w:vAlign w:val="top"/>
          </w:tcPr>
          <w:p w14:paraId="1F066198">
            <w:pPr>
              <w:spacing w:line="329" w:lineRule="auto"/>
              <w:rPr>
                <w:rFonts w:ascii="Arial"/>
                <w:sz w:val="21"/>
              </w:rPr>
            </w:pPr>
          </w:p>
          <w:p w14:paraId="701148C0">
            <w:pPr>
              <w:pStyle w:val="51"/>
              <w:spacing w:before="55" w:line="229" w:lineRule="auto"/>
              <w:ind w:left="535"/>
              <w:rPr>
                <w:sz w:val="17"/>
                <w:szCs w:val="17"/>
              </w:rPr>
            </w:pPr>
            <w:r>
              <w:rPr>
                <w:spacing w:val="5"/>
                <w:sz w:val="17"/>
                <w:szCs w:val="17"/>
              </w:rPr>
              <w:t>淡水鱼</w:t>
            </w:r>
          </w:p>
        </w:tc>
        <w:tc>
          <w:tcPr>
            <w:tcW w:w="682" w:type="dxa"/>
            <w:vAlign w:val="top"/>
          </w:tcPr>
          <w:p w14:paraId="384C20DF">
            <w:pPr>
              <w:spacing w:line="329" w:lineRule="auto"/>
              <w:rPr>
                <w:rFonts w:ascii="Arial"/>
                <w:sz w:val="21"/>
              </w:rPr>
            </w:pPr>
          </w:p>
          <w:p w14:paraId="4F6FB1B1">
            <w:pPr>
              <w:pStyle w:val="51"/>
              <w:spacing w:before="55" w:line="230" w:lineRule="auto"/>
              <w:ind w:left="267"/>
              <w:rPr>
                <w:sz w:val="17"/>
                <w:szCs w:val="17"/>
              </w:rPr>
            </w:pPr>
            <w:r>
              <w:rPr>
                <w:sz w:val="17"/>
                <w:szCs w:val="17"/>
              </w:rPr>
              <w:t>高</w:t>
            </w:r>
          </w:p>
        </w:tc>
        <w:tc>
          <w:tcPr>
            <w:tcW w:w="8563" w:type="dxa"/>
            <w:vAlign w:val="top"/>
          </w:tcPr>
          <w:p w14:paraId="6C441F95">
            <w:pPr>
              <w:pStyle w:val="51"/>
              <w:spacing w:before="87" w:line="292" w:lineRule="auto"/>
              <w:ind w:left="41" w:right="24" w:hanging="2"/>
              <w:jc w:val="both"/>
              <w:rPr>
                <w:sz w:val="17"/>
                <w:szCs w:val="17"/>
              </w:rPr>
            </w:pPr>
            <w:r>
              <w:rPr>
                <w:spacing w:val="9"/>
                <w:sz w:val="17"/>
                <w:szCs w:val="17"/>
              </w:rPr>
              <w:t>挥发性盐基氮、镉(以</w:t>
            </w:r>
            <w:r>
              <w:rPr>
                <w:sz w:val="17"/>
                <w:szCs w:val="17"/>
              </w:rPr>
              <w:t>Cd</w:t>
            </w:r>
            <w:r>
              <w:rPr>
                <w:spacing w:val="9"/>
                <w:sz w:val="17"/>
                <w:szCs w:val="17"/>
              </w:rPr>
              <w:t>计)、孔雀石绿、氯霉素、呋喃唑酮代谢物、呋喃西林</w:t>
            </w:r>
            <w:r>
              <w:rPr>
                <w:spacing w:val="8"/>
                <w:sz w:val="17"/>
                <w:szCs w:val="17"/>
              </w:rPr>
              <w:t>代谢物、 呋喃妥因代谢物、五</w:t>
            </w:r>
            <w:r>
              <w:rPr>
                <w:spacing w:val="10"/>
                <w:sz w:val="17"/>
                <w:szCs w:val="17"/>
              </w:rPr>
              <w:t>氯酚酸钠(以五氯酚计)、恩诺沙星、沙拉沙星、磺胺类(总量)、甲氧苄啶、氟苯尼考、甲硝唑、地西泮、氧</w:t>
            </w:r>
            <w:r>
              <w:rPr>
                <w:spacing w:val="6"/>
                <w:sz w:val="17"/>
                <w:szCs w:val="17"/>
              </w:rPr>
              <w:t>氟沙星、</w:t>
            </w:r>
            <w:r>
              <w:rPr>
                <w:spacing w:val="-50"/>
                <w:sz w:val="17"/>
                <w:szCs w:val="17"/>
              </w:rPr>
              <w:t xml:space="preserve"> </w:t>
            </w:r>
            <w:r>
              <w:rPr>
                <w:spacing w:val="6"/>
                <w:sz w:val="17"/>
                <w:szCs w:val="17"/>
              </w:rPr>
              <w:t>诺氟沙星、培氟沙星</w:t>
            </w:r>
          </w:p>
        </w:tc>
      </w:tr>
      <w:tr w14:paraId="545F4D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459" w:type="dxa"/>
            <w:vMerge w:val="continue"/>
            <w:tcBorders>
              <w:top w:val="nil"/>
              <w:bottom w:val="nil"/>
            </w:tcBorders>
            <w:vAlign w:val="top"/>
          </w:tcPr>
          <w:p w14:paraId="0EE3B592">
            <w:pPr>
              <w:rPr>
                <w:rFonts w:ascii="Arial"/>
                <w:sz w:val="21"/>
              </w:rPr>
            </w:pPr>
          </w:p>
        </w:tc>
        <w:tc>
          <w:tcPr>
            <w:tcW w:w="942" w:type="dxa"/>
            <w:vMerge w:val="continue"/>
            <w:tcBorders>
              <w:top w:val="nil"/>
              <w:bottom w:val="nil"/>
            </w:tcBorders>
            <w:vAlign w:val="top"/>
          </w:tcPr>
          <w:p w14:paraId="64EED4A6">
            <w:pPr>
              <w:rPr>
                <w:rFonts w:ascii="Arial"/>
                <w:sz w:val="21"/>
              </w:rPr>
            </w:pPr>
          </w:p>
        </w:tc>
        <w:tc>
          <w:tcPr>
            <w:tcW w:w="1360" w:type="dxa"/>
            <w:vMerge w:val="continue"/>
            <w:tcBorders>
              <w:top w:val="nil"/>
              <w:bottom w:val="nil"/>
            </w:tcBorders>
            <w:vAlign w:val="top"/>
          </w:tcPr>
          <w:p w14:paraId="766AB774">
            <w:pPr>
              <w:rPr>
                <w:rFonts w:ascii="Arial"/>
                <w:sz w:val="21"/>
              </w:rPr>
            </w:pPr>
          </w:p>
        </w:tc>
        <w:tc>
          <w:tcPr>
            <w:tcW w:w="1581" w:type="dxa"/>
            <w:vMerge w:val="continue"/>
            <w:tcBorders>
              <w:top w:val="nil"/>
              <w:bottom w:val="nil"/>
            </w:tcBorders>
            <w:vAlign w:val="top"/>
          </w:tcPr>
          <w:p w14:paraId="181C4B6C">
            <w:pPr>
              <w:rPr>
                <w:rFonts w:ascii="Arial"/>
                <w:sz w:val="21"/>
              </w:rPr>
            </w:pPr>
          </w:p>
        </w:tc>
        <w:tc>
          <w:tcPr>
            <w:tcW w:w="1586" w:type="dxa"/>
            <w:vAlign w:val="top"/>
          </w:tcPr>
          <w:p w14:paraId="30418DFB">
            <w:pPr>
              <w:pStyle w:val="51"/>
              <w:spacing w:before="238" w:line="227" w:lineRule="auto"/>
              <w:ind w:left="535"/>
              <w:rPr>
                <w:sz w:val="17"/>
                <w:szCs w:val="17"/>
              </w:rPr>
            </w:pPr>
            <w:r>
              <w:rPr>
                <w:spacing w:val="5"/>
                <w:sz w:val="17"/>
                <w:szCs w:val="17"/>
              </w:rPr>
              <w:t>淡水虾</w:t>
            </w:r>
          </w:p>
        </w:tc>
        <w:tc>
          <w:tcPr>
            <w:tcW w:w="682" w:type="dxa"/>
            <w:vAlign w:val="top"/>
          </w:tcPr>
          <w:p w14:paraId="412E129B">
            <w:pPr>
              <w:pStyle w:val="51"/>
              <w:spacing w:before="238" w:line="230" w:lineRule="auto"/>
              <w:ind w:left="267"/>
              <w:rPr>
                <w:sz w:val="17"/>
                <w:szCs w:val="17"/>
              </w:rPr>
            </w:pPr>
            <w:r>
              <w:rPr>
                <w:sz w:val="17"/>
                <w:szCs w:val="17"/>
              </w:rPr>
              <w:t>高</w:t>
            </w:r>
          </w:p>
        </w:tc>
        <w:tc>
          <w:tcPr>
            <w:tcW w:w="8563" w:type="dxa"/>
            <w:vAlign w:val="top"/>
          </w:tcPr>
          <w:p w14:paraId="71E711C5">
            <w:pPr>
              <w:pStyle w:val="51"/>
              <w:spacing w:before="86" w:line="276" w:lineRule="auto"/>
              <w:ind w:left="40" w:hanging="2"/>
              <w:rPr>
                <w:sz w:val="17"/>
                <w:szCs w:val="17"/>
              </w:rPr>
            </w:pPr>
            <w:r>
              <w:rPr>
                <w:spacing w:val="7"/>
                <w:sz w:val="17"/>
                <w:szCs w:val="17"/>
              </w:rPr>
              <w:t>镉(以</w:t>
            </w:r>
            <w:r>
              <w:rPr>
                <w:sz w:val="17"/>
                <w:szCs w:val="17"/>
              </w:rPr>
              <w:t>Cd</w:t>
            </w:r>
            <w:r>
              <w:rPr>
                <w:spacing w:val="7"/>
                <w:sz w:val="17"/>
                <w:szCs w:val="17"/>
              </w:rPr>
              <w:t>计)、孔雀石绿、氯霉素、呋喃唑酮代谢物、呋喃妥因代谢物、五氯酚酸钠(以五氯酚计)、恩诺沙星、</w:t>
            </w:r>
            <w:r>
              <w:rPr>
                <w:spacing w:val="8"/>
                <w:sz w:val="17"/>
                <w:szCs w:val="17"/>
              </w:rPr>
              <w:t>磺胺类(总量)、土霉素/金霉素/四环素(</w:t>
            </w:r>
            <w:r>
              <w:rPr>
                <w:spacing w:val="7"/>
                <w:sz w:val="17"/>
                <w:szCs w:val="17"/>
              </w:rPr>
              <w:t>组合含量)、氧氟沙星、诺氟沙星</w:t>
            </w:r>
          </w:p>
        </w:tc>
      </w:tr>
      <w:tr w14:paraId="1242E7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459" w:type="dxa"/>
            <w:vMerge w:val="continue"/>
            <w:tcBorders>
              <w:top w:val="nil"/>
              <w:bottom w:val="nil"/>
            </w:tcBorders>
            <w:vAlign w:val="top"/>
          </w:tcPr>
          <w:p w14:paraId="66E88F7A">
            <w:pPr>
              <w:rPr>
                <w:rFonts w:ascii="Arial"/>
                <w:sz w:val="21"/>
              </w:rPr>
            </w:pPr>
          </w:p>
        </w:tc>
        <w:tc>
          <w:tcPr>
            <w:tcW w:w="942" w:type="dxa"/>
            <w:vMerge w:val="continue"/>
            <w:tcBorders>
              <w:top w:val="nil"/>
              <w:bottom w:val="nil"/>
            </w:tcBorders>
            <w:vAlign w:val="top"/>
          </w:tcPr>
          <w:p w14:paraId="42B2A463">
            <w:pPr>
              <w:rPr>
                <w:rFonts w:ascii="Arial"/>
                <w:sz w:val="21"/>
              </w:rPr>
            </w:pPr>
          </w:p>
        </w:tc>
        <w:tc>
          <w:tcPr>
            <w:tcW w:w="1360" w:type="dxa"/>
            <w:vMerge w:val="continue"/>
            <w:tcBorders>
              <w:top w:val="nil"/>
              <w:bottom w:val="nil"/>
            </w:tcBorders>
            <w:vAlign w:val="top"/>
          </w:tcPr>
          <w:p w14:paraId="39982C03">
            <w:pPr>
              <w:rPr>
                <w:rFonts w:ascii="Arial"/>
                <w:sz w:val="21"/>
              </w:rPr>
            </w:pPr>
          </w:p>
        </w:tc>
        <w:tc>
          <w:tcPr>
            <w:tcW w:w="1581" w:type="dxa"/>
            <w:vMerge w:val="continue"/>
            <w:tcBorders>
              <w:top w:val="nil"/>
            </w:tcBorders>
            <w:vAlign w:val="top"/>
          </w:tcPr>
          <w:p w14:paraId="60BE18FA">
            <w:pPr>
              <w:rPr>
                <w:rFonts w:ascii="Arial"/>
                <w:sz w:val="21"/>
              </w:rPr>
            </w:pPr>
          </w:p>
        </w:tc>
        <w:tc>
          <w:tcPr>
            <w:tcW w:w="1586" w:type="dxa"/>
            <w:vAlign w:val="top"/>
          </w:tcPr>
          <w:p w14:paraId="4A80622E">
            <w:pPr>
              <w:pStyle w:val="51"/>
              <w:spacing w:before="134" w:line="229" w:lineRule="auto"/>
              <w:ind w:left="535"/>
              <w:rPr>
                <w:sz w:val="17"/>
                <w:szCs w:val="17"/>
              </w:rPr>
            </w:pPr>
            <w:r>
              <w:rPr>
                <w:spacing w:val="5"/>
                <w:sz w:val="17"/>
                <w:szCs w:val="17"/>
              </w:rPr>
              <w:t>淡水蟹</w:t>
            </w:r>
          </w:p>
        </w:tc>
        <w:tc>
          <w:tcPr>
            <w:tcW w:w="682" w:type="dxa"/>
            <w:vAlign w:val="top"/>
          </w:tcPr>
          <w:p w14:paraId="394939C3">
            <w:pPr>
              <w:pStyle w:val="51"/>
              <w:spacing w:before="135" w:line="230" w:lineRule="auto"/>
              <w:ind w:left="267"/>
              <w:rPr>
                <w:sz w:val="17"/>
                <w:szCs w:val="17"/>
              </w:rPr>
            </w:pPr>
            <w:r>
              <w:rPr>
                <w:sz w:val="17"/>
                <w:szCs w:val="17"/>
              </w:rPr>
              <w:t>高</w:t>
            </w:r>
          </w:p>
        </w:tc>
        <w:tc>
          <w:tcPr>
            <w:tcW w:w="8563" w:type="dxa"/>
            <w:vAlign w:val="top"/>
          </w:tcPr>
          <w:p w14:paraId="32A85BA0">
            <w:pPr>
              <w:pStyle w:val="51"/>
              <w:spacing w:before="134" w:line="227" w:lineRule="auto"/>
              <w:ind w:left="38"/>
              <w:rPr>
                <w:sz w:val="17"/>
                <w:szCs w:val="17"/>
              </w:rPr>
            </w:pPr>
            <w:r>
              <w:rPr>
                <w:spacing w:val="9"/>
                <w:sz w:val="17"/>
                <w:szCs w:val="17"/>
              </w:rPr>
              <w:t>镉(以</w:t>
            </w:r>
            <w:r>
              <w:rPr>
                <w:sz w:val="17"/>
                <w:szCs w:val="17"/>
              </w:rPr>
              <w:t>Cd</w:t>
            </w:r>
            <w:r>
              <w:rPr>
                <w:spacing w:val="9"/>
                <w:sz w:val="17"/>
                <w:szCs w:val="17"/>
              </w:rPr>
              <w:t>计)、五氯酚酸钠(以五氯酚计)、呋喃唑酮代谢物</w:t>
            </w:r>
          </w:p>
        </w:tc>
      </w:tr>
      <w:tr w14:paraId="1FFAFD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4" w:hRule="atLeast"/>
        </w:trPr>
        <w:tc>
          <w:tcPr>
            <w:tcW w:w="459" w:type="dxa"/>
            <w:vMerge w:val="continue"/>
            <w:tcBorders>
              <w:top w:val="nil"/>
              <w:bottom w:val="nil"/>
            </w:tcBorders>
            <w:vAlign w:val="top"/>
          </w:tcPr>
          <w:p w14:paraId="3EEE0DD9">
            <w:pPr>
              <w:rPr>
                <w:rFonts w:ascii="Arial"/>
                <w:sz w:val="21"/>
              </w:rPr>
            </w:pPr>
          </w:p>
        </w:tc>
        <w:tc>
          <w:tcPr>
            <w:tcW w:w="942" w:type="dxa"/>
            <w:vMerge w:val="continue"/>
            <w:tcBorders>
              <w:top w:val="nil"/>
              <w:bottom w:val="nil"/>
            </w:tcBorders>
            <w:vAlign w:val="top"/>
          </w:tcPr>
          <w:p w14:paraId="7E8C12E0">
            <w:pPr>
              <w:rPr>
                <w:rFonts w:ascii="Arial"/>
                <w:sz w:val="21"/>
              </w:rPr>
            </w:pPr>
          </w:p>
        </w:tc>
        <w:tc>
          <w:tcPr>
            <w:tcW w:w="1360" w:type="dxa"/>
            <w:vMerge w:val="continue"/>
            <w:tcBorders>
              <w:top w:val="nil"/>
              <w:bottom w:val="nil"/>
            </w:tcBorders>
            <w:vAlign w:val="top"/>
          </w:tcPr>
          <w:p w14:paraId="016F4A3B">
            <w:pPr>
              <w:rPr>
                <w:rFonts w:ascii="Arial"/>
                <w:sz w:val="21"/>
              </w:rPr>
            </w:pPr>
          </w:p>
        </w:tc>
        <w:tc>
          <w:tcPr>
            <w:tcW w:w="1581" w:type="dxa"/>
            <w:vMerge w:val="restart"/>
            <w:tcBorders>
              <w:bottom w:val="nil"/>
            </w:tcBorders>
            <w:vAlign w:val="top"/>
          </w:tcPr>
          <w:p w14:paraId="25D07FE7">
            <w:pPr>
              <w:spacing w:line="278" w:lineRule="auto"/>
              <w:rPr>
                <w:rFonts w:ascii="Arial"/>
                <w:sz w:val="21"/>
              </w:rPr>
            </w:pPr>
          </w:p>
          <w:p w14:paraId="206D7BEF">
            <w:pPr>
              <w:spacing w:line="279" w:lineRule="auto"/>
              <w:rPr>
                <w:rFonts w:ascii="Arial"/>
                <w:sz w:val="21"/>
              </w:rPr>
            </w:pPr>
          </w:p>
          <w:p w14:paraId="0275D519">
            <w:pPr>
              <w:spacing w:line="279" w:lineRule="auto"/>
              <w:rPr>
                <w:rFonts w:ascii="Arial"/>
                <w:sz w:val="21"/>
              </w:rPr>
            </w:pPr>
          </w:p>
          <w:p w14:paraId="378CF0B2">
            <w:pPr>
              <w:pStyle w:val="51"/>
              <w:spacing w:before="55" w:line="229" w:lineRule="auto"/>
              <w:ind w:left="439"/>
              <w:rPr>
                <w:sz w:val="17"/>
                <w:szCs w:val="17"/>
              </w:rPr>
            </w:pPr>
            <w:r>
              <w:rPr>
                <w:spacing w:val="6"/>
                <w:sz w:val="17"/>
                <w:szCs w:val="17"/>
              </w:rPr>
              <w:t>海水产品</w:t>
            </w:r>
          </w:p>
        </w:tc>
        <w:tc>
          <w:tcPr>
            <w:tcW w:w="1586" w:type="dxa"/>
            <w:vAlign w:val="top"/>
          </w:tcPr>
          <w:p w14:paraId="09DE32C0">
            <w:pPr>
              <w:spacing w:line="330" w:lineRule="auto"/>
              <w:rPr>
                <w:rFonts w:ascii="Arial"/>
                <w:sz w:val="21"/>
              </w:rPr>
            </w:pPr>
          </w:p>
          <w:p w14:paraId="7EBF0D4A">
            <w:pPr>
              <w:pStyle w:val="51"/>
              <w:spacing w:before="55" w:line="229" w:lineRule="auto"/>
              <w:ind w:left="533"/>
              <w:rPr>
                <w:sz w:val="17"/>
                <w:szCs w:val="17"/>
              </w:rPr>
            </w:pPr>
            <w:r>
              <w:rPr>
                <w:spacing w:val="5"/>
                <w:sz w:val="17"/>
                <w:szCs w:val="17"/>
              </w:rPr>
              <w:t>海水鱼</w:t>
            </w:r>
          </w:p>
        </w:tc>
        <w:tc>
          <w:tcPr>
            <w:tcW w:w="682" w:type="dxa"/>
            <w:vAlign w:val="top"/>
          </w:tcPr>
          <w:p w14:paraId="43E725B8">
            <w:pPr>
              <w:spacing w:line="330" w:lineRule="auto"/>
              <w:rPr>
                <w:rFonts w:ascii="Arial"/>
                <w:sz w:val="21"/>
              </w:rPr>
            </w:pPr>
          </w:p>
          <w:p w14:paraId="219729BF">
            <w:pPr>
              <w:pStyle w:val="51"/>
              <w:spacing w:before="56" w:line="230" w:lineRule="auto"/>
              <w:ind w:left="267"/>
              <w:rPr>
                <w:sz w:val="17"/>
                <w:szCs w:val="17"/>
              </w:rPr>
            </w:pPr>
            <w:r>
              <w:rPr>
                <w:sz w:val="17"/>
                <w:szCs w:val="17"/>
              </w:rPr>
              <w:t>高</w:t>
            </w:r>
          </w:p>
        </w:tc>
        <w:tc>
          <w:tcPr>
            <w:tcW w:w="8563" w:type="dxa"/>
            <w:vAlign w:val="top"/>
          </w:tcPr>
          <w:p w14:paraId="0CDE1D66">
            <w:pPr>
              <w:pStyle w:val="51"/>
              <w:spacing w:before="87" w:line="292" w:lineRule="auto"/>
              <w:ind w:left="38" w:right="28"/>
              <w:rPr>
                <w:sz w:val="17"/>
                <w:szCs w:val="17"/>
              </w:rPr>
            </w:pPr>
            <w:r>
              <w:rPr>
                <w:spacing w:val="11"/>
                <w:sz w:val="17"/>
                <w:szCs w:val="17"/>
              </w:rPr>
              <w:t>挥发性盐基氮、组胺、镉(以</w:t>
            </w:r>
            <w:r>
              <w:rPr>
                <w:sz w:val="17"/>
                <w:szCs w:val="17"/>
              </w:rPr>
              <w:t>Cd</w:t>
            </w:r>
            <w:r>
              <w:rPr>
                <w:spacing w:val="11"/>
                <w:sz w:val="17"/>
                <w:szCs w:val="17"/>
              </w:rPr>
              <w:t>计)、孔雀石绿、氯霉素、呋喃唑酮</w:t>
            </w:r>
            <w:r>
              <w:rPr>
                <w:spacing w:val="10"/>
                <w:sz w:val="17"/>
                <w:szCs w:val="17"/>
              </w:rPr>
              <w:t>代谢物、呋喃它酮代谢物、呋喃西林代谢</w:t>
            </w:r>
            <w:r>
              <w:rPr>
                <w:spacing w:val="9"/>
                <w:sz w:val="17"/>
                <w:szCs w:val="17"/>
              </w:rPr>
              <w:t>物、五氯酚酸钠(以五氯酚计)、恩诺沙星、磺胺类(总量)、土霉素/金霉素/四环素(组合含量)、甲氧苄啶、甲硝唑、氧氟沙星、培氟沙星、诺氟沙星、柠檬黄、呋喃妥因代谢物</w:t>
            </w:r>
          </w:p>
        </w:tc>
      </w:tr>
      <w:tr w14:paraId="3B89E5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459" w:type="dxa"/>
            <w:vMerge w:val="continue"/>
            <w:tcBorders>
              <w:top w:val="nil"/>
              <w:bottom w:val="nil"/>
            </w:tcBorders>
            <w:vAlign w:val="top"/>
          </w:tcPr>
          <w:p w14:paraId="1E029CA5">
            <w:pPr>
              <w:rPr>
                <w:rFonts w:ascii="Arial"/>
                <w:sz w:val="21"/>
              </w:rPr>
            </w:pPr>
          </w:p>
        </w:tc>
        <w:tc>
          <w:tcPr>
            <w:tcW w:w="942" w:type="dxa"/>
            <w:vMerge w:val="continue"/>
            <w:tcBorders>
              <w:top w:val="nil"/>
              <w:bottom w:val="nil"/>
            </w:tcBorders>
            <w:vAlign w:val="top"/>
          </w:tcPr>
          <w:p w14:paraId="41E81FA9">
            <w:pPr>
              <w:rPr>
                <w:rFonts w:ascii="Arial"/>
                <w:sz w:val="21"/>
              </w:rPr>
            </w:pPr>
          </w:p>
        </w:tc>
        <w:tc>
          <w:tcPr>
            <w:tcW w:w="1360" w:type="dxa"/>
            <w:vMerge w:val="continue"/>
            <w:tcBorders>
              <w:top w:val="nil"/>
              <w:bottom w:val="nil"/>
            </w:tcBorders>
            <w:vAlign w:val="top"/>
          </w:tcPr>
          <w:p w14:paraId="192F25F7">
            <w:pPr>
              <w:rPr>
                <w:rFonts w:ascii="Arial"/>
                <w:sz w:val="21"/>
              </w:rPr>
            </w:pPr>
          </w:p>
        </w:tc>
        <w:tc>
          <w:tcPr>
            <w:tcW w:w="1581" w:type="dxa"/>
            <w:vMerge w:val="continue"/>
            <w:tcBorders>
              <w:top w:val="nil"/>
              <w:bottom w:val="nil"/>
            </w:tcBorders>
            <w:vAlign w:val="top"/>
          </w:tcPr>
          <w:p w14:paraId="21979A66">
            <w:pPr>
              <w:rPr>
                <w:rFonts w:ascii="Arial"/>
                <w:sz w:val="21"/>
              </w:rPr>
            </w:pPr>
          </w:p>
        </w:tc>
        <w:tc>
          <w:tcPr>
            <w:tcW w:w="1586" w:type="dxa"/>
            <w:vAlign w:val="top"/>
          </w:tcPr>
          <w:p w14:paraId="65B90670">
            <w:pPr>
              <w:pStyle w:val="51"/>
              <w:spacing w:before="239" w:line="227" w:lineRule="auto"/>
              <w:ind w:left="533"/>
              <w:rPr>
                <w:sz w:val="17"/>
                <w:szCs w:val="17"/>
              </w:rPr>
            </w:pPr>
            <w:r>
              <w:rPr>
                <w:spacing w:val="5"/>
                <w:sz w:val="17"/>
                <w:szCs w:val="17"/>
              </w:rPr>
              <w:t>海水虾</w:t>
            </w:r>
          </w:p>
        </w:tc>
        <w:tc>
          <w:tcPr>
            <w:tcW w:w="682" w:type="dxa"/>
            <w:vAlign w:val="top"/>
          </w:tcPr>
          <w:p w14:paraId="75254563">
            <w:pPr>
              <w:pStyle w:val="51"/>
              <w:spacing w:before="239" w:line="230" w:lineRule="auto"/>
              <w:ind w:left="267"/>
              <w:rPr>
                <w:sz w:val="17"/>
                <w:szCs w:val="17"/>
              </w:rPr>
            </w:pPr>
            <w:r>
              <w:rPr>
                <w:sz w:val="17"/>
                <w:szCs w:val="17"/>
              </w:rPr>
              <w:t>高</w:t>
            </w:r>
          </w:p>
        </w:tc>
        <w:tc>
          <w:tcPr>
            <w:tcW w:w="8563" w:type="dxa"/>
            <w:vAlign w:val="top"/>
          </w:tcPr>
          <w:p w14:paraId="3DC97FCD">
            <w:pPr>
              <w:pStyle w:val="51"/>
              <w:spacing w:before="88" w:line="275" w:lineRule="auto"/>
              <w:ind w:left="38" w:right="24"/>
              <w:rPr>
                <w:sz w:val="17"/>
                <w:szCs w:val="17"/>
              </w:rPr>
            </w:pPr>
            <w:r>
              <w:rPr>
                <w:spacing w:val="9"/>
                <w:sz w:val="17"/>
                <w:szCs w:val="17"/>
              </w:rPr>
              <w:t>挥发性盐基氮、镉(以</w:t>
            </w:r>
            <w:r>
              <w:rPr>
                <w:sz w:val="17"/>
                <w:szCs w:val="17"/>
              </w:rPr>
              <w:t>Cd</w:t>
            </w:r>
            <w:r>
              <w:rPr>
                <w:spacing w:val="9"/>
                <w:sz w:val="17"/>
                <w:szCs w:val="17"/>
              </w:rPr>
              <w:t>计)、二氧化硫残留量、孔雀石绿、氯霉素、呋喃唑酮</w:t>
            </w:r>
            <w:r>
              <w:rPr>
                <w:spacing w:val="8"/>
                <w:sz w:val="17"/>
                <w:szCs w:val="17"/>
              </w:rPr>
              <w:t>代谢物、恩诺沙星、土霉素/金</w:t>
            </w:r>
            <w:r>
              <w:rPr>
                <w:spacing w:val="7"/>
                <w:sz w:val="17"/>
                <w:szCs w:val="17"/>
              </w:rPr>
              <w:t>霉素/四环素(组合含量)、磺胺类(总量)、诺氟沙星</w:t>
            </w:r>
          </w:p>
        </w:tc>
      </w:tr>
      <w:tr w14:paraId="5BD9E4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459" w:type="dxa"/>
            <w:vMerge w:val="continue"/>
            <w:tcBorders>
              <w:top w:val="nil"/>
              <w:bottom w:val="nil"/>
            </w:tcBorders>
            <w:vAlign w:val="top"/>
          </w:tcPr>
          <w:p w14:paraId="1B4E141B">
            <w:pPr>
              <w:rPr>
                <w:rFonts w:ascii="Arial"/>
                <w:sz w:val="21"/>
              </w:rPr>
            </w:pPr>
          </w:p>
        </w:tc>
        <w:tc>
          <w:tcPr>
            <w:tcW w:w="942" w:type="dxa"/>
            <w:vMerge w:val="continue"/>
            <w:tcBorders>
              <w:top w:val="nil"/>
              <w:bottom w:val="nil"/>
            </w:tcBorders>
            <w:vAlign w:val="top"/>
          </w:tcPr>
          <w:p w14:paraId="79800CF8">
            <w:pPr>
              <w:rPr>
                <w:rFonts w:ascii="Arial"/>
                <w:sz w:val="21"/>
              </w:rPr>
            </w:pPr>
          </w:p>
        </w:tc>
        <w:tc>
          <w:tcPr>
            <w:tcW w:w="1360" w:type="dxa"/>
            <w:vMerge w:val="continue"/>
            <w:tcBorders>
              <w:top w:val="nil"/>
              <w:bottom w:val="nil"/>
            </w:tcBorders>
            <w:vAlign w:val="top"/>
          </w:tcPr>
          <w:p w14:paraId="6B3CC2D8">
            <w:pPr>
              <w:rPr>
                <w:rFonts w:ascii="Arial"/>
                <w:sz w:val="21"/>
              </w:rPr>
            </w:pPr>
          </w:p>
        </w:tc>
        <w:tc>
          <w:tcPr>
            <w:tcW w:w="1581" w:type="dxa"/>
            <w:vMerge w:val="continue"/>
            <w:tcBorders>
              <w:top w:val="nil"/>
            </w:tcBorders>
            <w:vAlign w:val="top"/>
          </w:tcPr>
          <w:p w14:paraId="3B4A3631">
            <w:pPr>
              <w:rPr>
                <w:rFonts w:ascii="Arial"/>
                <w:sz w:val="21"/>
              </w:rPr>
            </w:pPr>
          </w:p>
        </w:tc>
        <w:tc>
          <w:tcPr>
            <w:tcW w:w="1586" w:type="dxa"/>
            <w:vAlign w:val="top"/>
          </w:tcPr>
          <w:p w14:paraId="2A62E4E9">
            <w:pPr>
              <w:pStyle w:val="51"/>
              <w:spacing w:before="135" w:line="229" w:lineRule="auto"/>
              <w:ind w:left="533"/>
              <w:rPr>
                <w:sz w:val="17"/>
                <w:szCs w:val="17"/>
              </w:rPr>
            </w:pPr>
            <w:r>
              <w:rPr>
                <w:spacing w:val="5"/>
                <w:sz w:val="17"/>
                <w:szCs w:val="17"/>
              </w:rPr>
              <w:t>海水蟹</w:t>
            </w:r>
          </w:p>
        </w:tc>
        <w:tc>
          <w:tcPr>
            <w:tcW w:w="682" w:type="dxa"/>
            <w:vAlign w:val="top"/>
          </w:tcPr>
          <w:p w14:paraId="76C24296">
            <w:pPr>
              <w:pStyle w:val="51"/>
              <w:spacing w:before="136" w:line="230" w:lineRule="auto"/>
              <w:ind w:left="267"/>
              <w:rPr>
                <w:sz w:val="17"/>
                <w:szCs w:val="17"/>
              </w:rPr>
            </w:pPr>
            <w:r>
              <w:rPr>
                <w:sz w:val="17"/>
                <w:szCs w:val="17"/>
              </w:rPr>
              <w:t>高</w:t>
            </w:r>
          </w:p>
        </w:tc>
        <w:tc>
          <w:tcPr>
            <w:tcW w:w="8563" w:type="dxa"/>
            <w:vAlign w:val="top"/>
          </w:tcPr>
          <w:p w14:paraId="14910D3D">
            <w:pPr>
              <w:pStyle w:val="51"/>
              <w:spacing w:before="135" w:line="227" w:lineRule="auto"/>
              <w:ind w:left="38"/>
              <w:rPr>
                <w:sz w:val="17"/>
                <w:szCs w:val="17"/>
              </w:rPr>
            </w:pPr>
            <w:r>
              <w:rPr>
                <w:spacing w:val="5"/>
                <w:sz w:val="17"/>
                <w:szCs w:val="17"/>
              </w:rPr>
              <w:t>镉(以</w:t>
            </w:r>
            <w:r>
              <w:rPr>
                <w:sz w:val="17"/>
                <w:szCs w:val="17"/>
              </w:rPr>
              <w:t>Cd</w:t>
            </w:r>
            <w:r>
              <w:rPr>
                <w:spacing w:val="5"/>
                <w:sz w:val="17"/>
                <w:szCs w:val="17"/>
              </w:rPr>
              <w:t>计)、二氧化硫残留量、氯霉素、</w:t>
            </w:r>
            <w:r>
              <w:rPr>
                <w:spacing w:val="54"/>
                <w:sz w:val="17"/>
                <w:szCs w:val="17"/>
              </w:rPr>
              <w:t xml:space="preserve"> </w:t>
            </w:r>
            <w:r>
              <w:rPr>
                <w:spacing w:val="5"/>
                <w:sz w:val="17"/>
                <w:szCs w:val="17"/>
              </w:rPr>
              <w:t>呋喃妥因代谢物、</w:t>
            </w:r>
            <w:r>
              <w:rPr>
                <w:spacing w:val="-13"/>
                <w:sz w:val="17"/>
                <w:szCs w:val="17"/>
              </w:rPr>
              <w:t xml:space="preserve"> </w:t>
            </w:r>
            <w:r>
              <w:rPr>
                <w:spacing w:val="5"/>
                <w:sz w:val="17"/>
                <w:szCs w:val="17"/>
              </w:rPr>
              <w:t>孔雀石绿、呋喃</w:t>
            </w:r>
            <w:r>
              <w:rPr>
                <w:spacing w:val="4"/>
                <w:sz w:val="17"/>
                <w:szCs w:val="17"/>
              </w:rPr>
              <w:t>唑酮代谢物、氧氟沙星</w:t>
            </w:r>
          </w:p>
        </w:tc>
      </w:tr>
      <w:tr w14:paraId="3747EA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459" w:type="dxa"/>
            <w:vMerge w:val="continue"/>
            <w:tcBorders>
              <w:top w:val="nil"/>
              <w:bottom w:val="nil"/>
            </w:tcBorders>
            <w:vAlign w:val="top"/>
          </w:tcPr>
          <w:p w14:paraId="56729464">
            <w:pPr>
              <w:rPr>
                <w:rFonts w:ascii="Arial"/>
                <w:sz w:val="21"/>
              </w:rPr>
            </w:pPr>
          </w:p>
        </w:tc>
        <w:tc>
          <w:tcPr>
            <w:tcW w:w="942" w:type="dxa"/>
            <w:vMerge w:val="continue"/>
            <w:tcBorders>
              <w:top w:val="nil"/>
              <w:bottom w:val="nil"/>
            </w:tcBorders>
            <w:vAlign w:val="top"/>
          </w:tcPr>
          <w:p w14:paraId="40CD0163">
            <w:pPr>
              <w:rPr>
                <w:rFonts w:ascii="Arial"/>
                <w:sz w:val="21"/>
              </w:rPr>
            </w:pPr>
          </w:p>
        </w:tc>
        <w:tc>
          <w:tcPr>
            <w:tcW w:w="1360" w:type="dxa"/>
            <w:vMerge w:val="continue"/>
            <w:tcBorders>
              <w:top w:val="nil"/>
              <w:bottom w:val="nil"/>
            </w:tcBorders>
            <w:vAlign w:val="top"/>
          </w:tcPr>
          <w:p w14:paraId="5EB005FE">
            <w:pPr>
              <w:rPr>
                <w:rFonts w:ascii="Arial"/>
                <w:sz w:val="21"/>
              </w:rPr>
            </w:pPr>
          </w:p>
        </w:tc>
        <w:tc>
          <w:tcPr>
            <w:tcW w:w="1581" w:type="dxa"/>
            <w:vAlign w:val="top"/>
          </w:tcPr>
          <w:p w14:paraId="171DC79F">
            <w:pPr>
              <w:pStyle w:val="51"/>
              <w:spacing w:before="238" w:line="229" w:lineRule="auto"/>
              <w:ind w:left="620"/>
              <w:rPr>
                <w:sz w:val="17"/>
                <w:szCs w:val="17"/>
              </w:rPr>
            </w:pPr>
            <w:r>
              <w:rPr>
                <w:spacing w:val="2"/>
                <w:sz w:val="17"/>
                <w:szCs w:val="17"/>
              </w:rPr>
              <w:t>贝类</w:t>
            </w:r>
          </w:p>
        </w:tc>
        <w:tc>
          <w:tcPr>
            <w:tcW w:w="1586" w:type="dxa"/>
            <w:vAlign w:val="top"/>
          </w:tcPr>
          <w:p w14:paraId="6F28D693">
            <w:pPr>
              <w:pStyle w:val="51"/>
              <w:spacing w:before="238" w:line="229" w:lineRule="auto"/>
              <w:ind w:left="623"/>
              <w:rPr>
                <w:sz w:val="17"/>
                <w:szCs w:val="17"/>
              </w:rPr>
            </w:pPr>
            <w:r>
              <w:rPr>
                <w:spacing w:val="2"/>
                <w:sz w:val="17"/>
                <w:szCs w:val="17"/>
              </w:rPr>
              <w:t>贝类</w:t>
            </w:r>
          </w:p>
        </w:tc>
        <w:tc>
          <w:tcPr>
            <w:tcW w:w="682" w:type="dxa"/>
            <w:vAlign w:val="top"/>
          </w:tcPr>
          <w:p w14:paraId="0B717DBC">
            <w:pPr>
              <w:pStyle w:val="51"/>
              <w:spacing w:before="238" w:line="230" w:lineRule="auto"/>
              <w:ind w:left="267"/>
              <w:rPr>
                <w:sz w:val="17"/>
                <w:szCs w:val="17"/>
              </w:rPr>
            </w:pPr>
            <w:r>
              <w:rPr>
                <w:sz w:val="17"/>
                <w:szCs w:val="17"/>
              </w:rPr>
              <w:t>高</w:t>
            </w:r>
          </w:p>
        </w:tc>
        <w:tc>
          <w:tcPr>
            <w:tcW w:w="8563" w:type="dxa"/>
            <w:vAlign w:val="top"/>
          </w:tcPr>
          <w:p w14:paraId="53FF2329">
            <w:pPr>
              <w:pStyle w:val="51"/>
              <w:spacing w:before="89" w:line="274" w:lineRule="auto"/>
              <w:ind w:left="40" w:right="62" w:hanging="2"/>
              <w:rPr>
                <w:sz w:val="17"/>
                <w:szCs w:val="17"/>
              </w:rPr>
            </w:pPr>
            <w:r>
              <w:rPr>
                <w:spacing w:val="10"/>
                <w:sz w:val="17"/>
                <w:szCs w:val="17"/>
              </w:rPr>
              <w:t>镉(以</w:t>
            </w:r>
            <w:r>
              <w:rPr>
                <w:sz w:val="17"/>
                <w:szCs w:val="17"/>
              </w:rPr>
              <w:t>Cd</w:t>
            </w:r>
            <w:r>
              <w:rPr>
                <w:spacing w:val="10"/>
                <w:sz w:val="17"/>
                <w:szCs w:val="17"/>
              </w:rPr>
              <w:t>计)、无机砷(以</w:t>
            </w:r>
            <w:r>
              <w:rPr>
                <w:sz w:val="17"/>
                <w:szCs w:val="17"/>
              </w:rPr>
              <w:t>As</w:t>
            </w:r>
            <w:r>
              <w:rPr>
                <w:spacing w:val="10"/>
                <w:sz w:val="17"/>
                <w:szCs w:val="17"/>
              </w:rPr>
              <w:t>计)、孔雀石绿、氯霉素、呋喃唑酮代谢物、呋喃西林代谢物、呋喃妥因</w:t>
            </w:r>
            <w:r>
              <w:rPr>
                <w:spacing w:val="9"/>
                <w:sz w:val="17"/>
                <w:szCs w:val="17"/>
              </w:rPr>
              <w:t>代谢物、五氯酚酸钠(以五氯酚计)、恩诺沙星、氟苯尼考</w:t>
            </w:r>
            <w:r>
              <w:rPr>
                <w:spacing w:val="8"/>
                <w:sz w:val="17"/>
                <w:szCs w:val="17"/>
              </w:rPr>
              <w:t>、磺胺类(总量)</w:t>
            </w:r>
          </w:p>
        </w:tc>
      </w:tr>
      <w:tr w14:paraId="649402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8" w:hRule="atLeast"/>
        </w:trPr>
        <w:tc>
          <w:tcPr>
            <w:tcW w:w="459" w:type="dxa"/>
            <w:vMerge w:val="continue"/>
            <w:tcBorders>
              <w:top w:val="nil"/>
            </w:tcBorders>
            <w:vAlign w:val="top"/>
          </w:tcPr>
          <w:p w14:paraId="7A1B7FEA">
            <w:pPr>
              <w:rPr>
                <w:rFonts w:ascii="Arial"/>
                <w:sz w:val="21"/>
              </w:rPr>
            </w:pPr>
          </w:p>
        </w:tc>
        <w:tc>
          <w:tcPr>
            <w:tcW w:w="942" w:type="dxa"/>
            <w:vMerge w:val="continue"/>
            <w:tcBorders>
              <w:top w:val="nil"/>
            </w:tcBorders>
            <w:vAlign w:val="top"/>
          </w:tcPr>
          <w:p w14:paraId="09D5E0C6">
            <w:pPr>
              <w:rPr>
                <w:rFonts w:ascii="Arial"/>
                <w:sz w:val="21"/>
              </w:rPr>
            </w:pPr>
          </w:p>
        </w:tc>
        <w:tc>
          <w:tcPr>
            <w:tcW w:w="1360" w:type="dxa"/>
            <w:vMerge w:val="continue"/>
            <w:tcBorders>
              <w:top w:val="nil"/>
            </w:tcBorders>
            <w:vAlign w:val="top"/>
          </w:tcPr>
          <w:p w14:paraId="001DE5CA">
            <w:pPr>
              <w:rPr>
                <w:rFonts w:ascii="Arial"/>
                <w:sz w:val="21"/>
              </w:rPr>
            </w:pPr>
          </w:p>
        </w:tc>
        <w:tc>
          <w:tcPr>
            <w:tcW w:w="1581" w:type="dxa"/>
            <w:vAlign w:val="top"/>
          </w:tcPr>
          <w:p w14:paraId="21179F54">
            <w:pPr>
              <w:pStyle w:val="51"/>
              <w:spacing w:before="277" w:line="227" w:lineRule="auto"/>
              <w:ind w:left="350"/>
              <w:rPr>
                <w:sz w:val="17"/>
                <w:szCs w:val="17"/>
              </w:rPr>
            </w:pPr>
            <w:r>
              <w:rPr>
                <w:spacing w:val="7"/>
                <w:sz w:val="17"/>
                <w:szCs w:val="17"/>
              </w:rPr>
              <w:t>其他水产品</w:t>
            </w:r>
          </w:p>
        </w:tc>
        <w:tc>
          <w:tcPr>
            <w:tcW w:w="1586" w:type="dxa"/>
            <w:vAlign w:val="top"/>
          </w:tcPr>
          <w:p w14:paraId="4FDC8CDC">
            <w:pPr>
              <w:pStyle w:val="51"/>
              <w:spacing w:before="277" w:line="227" w:lineRule="auto"/>
              <w:ind w:left="353"/>
              <w:rPr>
                <w:sz w:val="17"/>
                <w:szCs w:val="17"/>
              </w:rPr>
            </w:pPr>
            <w:r>
              <w:rPr>
                <w:spacing w:val="7"/>
                <w:sz w:val="17"/>
                <w:szCs w:val="17"/>
              </w:rPr>
              <w:t>其他水产品</w:t>
            </w:r>
          </w:p>
        </w:tc>
        <w:tc>
          <w:tcPr>
            <w:tcW w:w="682" w:type="dxa"/>
            <w:vAlign w:val="top"/>
          </w:tcPr>
          <w:p w14:paraId="097C0AFA">
            <w:pPr>
              <w:pStyle w:val="51"/>
              <w:spacing w:before="277" w:line="230" w:lineRule="auto"/>
              <w:ind w:left="267"/>
              <w:rPr>
                <w:sz w:val="17"/>
                <w:szCs w:val="17"/>
              </w:rPr>
            </w:pPr>
            <w:r>
              <w:rPr>
                <w:sz w:val="17"/>
                <w:szCs w:val="17"/>
              </w:rPr>
              <w:t>高</w:t>
            </w:r>
          </w:p>
        </w:tc>
        <w:tc>
          <w:tcPr>
            <w:tcW w:w="8563" w:type="dxa"/>
            <w:vAlign w:val="top"/>
          </w:tcPr>
          <w:p w14:paraId="7516CC37">
            <w:pPr>
              <w:pStyle w:val="51"/>
              <w:spacing w:before="126" w:line="294" w:lineRule="auto"/>
              <w:ind w:left="39" w:right="26" w:hanging="1"/>
              <w:rPr>
                <w:sz w:val="17"/>
                <w:szCs w:val="17"/>
              </w:rPr>
            </w:pPr>
            <w:r>
              <w:rPr>
                <w:spacing w:val="9"/>
                <w:sz w:val="17"/>
                <w:szCs w:val="17"/>
              </w:rPr>
              <w:t>镉(以</w:t>
            </w:r>
            <w:r>
              <w:rPr>
                <w:sz w:val="17"/>
                <w:szCs w:val="17"/>
              </w:rPr>
              <w:t>Cd</w:t>
            </w:r>
            <w:r>
              <w:rPr>
                <w:spacing w:val="9"/>
                <w:sz w:val="17"/>
                <w:szCs w:val="17"/>
              </w:rPr>
              <w:t>计)、孔雀石绿、氯霉素、呋喃唑酮代谢物、呋喃西林代谢物、呋</w:t>
            </w:r>
            <w:r>
              <w:rPr>
                <w:spacing w:val="8"/>
                <w:sz w:val="17"/>
                <w:szCs w:val="17"/>
              </w:rPr>
              <w:t>喃妥因代谢物、五氯酚酸钠(以五氯</w:t>
            </w:r>
            <w:r>
              <w:rPr>
                <w:spacing w:val="9"/>
                <w:sz w:val="17"/>
                <w:szCs w:val="17"/>
              </w:rPr>
              <w:t>酚计)、恩诺沙星、磺胺类(总量)、氟苯尼考</w:t>
            </w:r>
            <w:r>
              <w:rPr>
                <w:spacing w:val="8"/>
                <w:sz w:val="17"/>
                <w:szCs w:val="17"/>
              </w:rPr>
              <w:t>、甲硝唑、氧氟沙星、诺氟沙星</w:t>
            </w:r>
          </w:p>
        </w:tc>
      </w:tr>
      <w:tr w14:paraId="015306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459" w:type="dxa"/>
            <w:vMerge w:val="restart"/>
            <w:tcBorders>
              <w:bottom w:val="nil"/>
            </w:tcBorders>
            <w:vAlign w:val="top"/>
          </w:tcPr>
          <w:p w14:paraId="0A5502E6">
            <w:pPr>
              <w:spacing w:line="294" w:lineRule="auto"/>
              <w:rPr>
                <w:rFonts w:ascii="Arial"/>
                <w:sz w:val="21"/>
              </w:rPr>
            </w:pPr>
          </w:p>
          <w:p w14:paraId="7894CB7E">
            <w:pPr>
              <w:spacing w:line="294" w:lineRule="auto"/>
              <w:rPr>
                <w:rFonts w:ascii="Arial"/>
                <w:sz w:val="21"/>
              </w:rPr>
            </w:pPr>
          </w:p>
          <w:p w14:paraId="5F3D4094">
            <w:pPr>
              <w:pStyle w:val="51"/>
              <w:spacing w:before="55" w:line="228" w:lineRule="exact"/>
              <w:ind w:left="146"/>
              <w:rPr>
                <w:sz w:val="17"/>
                <w:szCs w:val="17"/>
              </w:rPr>
            </w:pPr>
            <w:r>
              <w:rPr>
                <w:spacing w:val="-1"/>
                <w:position w:val="1"/>
                <w:sz w:val="17"/>
                <w:szCs w:val="17"/>
              </w:rPr>
              <w:t>34</w:t>
            </w:r>
          </w:p>
        </w:tc>
        <w:tc>
          <w:tcPr>
            <w:tcW w:w="942" w:type="dxa"/>
            <w:vMerge w:val="restart"/>
            <w:tcBorders>
              <w:bottom w:val="nil"/>
            </w:tcBorders>
            <w:vAlign w:val="top"/>
          </w:tcPr>
          <w:p w14:paraId="0EAB5B12">
            <w:pPr>
              <w:spacing w:line="294" w:lineRule="auto"/>
              <w:rPr>
                <w:rFonts w:ascii="Arial"/>
                <w:sz w:val="21"/>
              </w:rPr>
            </w:pPr>
          </w:p>
          <w:p w14:paraId="44BC3303">
            <w:pPr>
              <w:spacing w:line="294" w:lineRule="auto"/>
              <w:rPr>
                <w:rFonts w:ascii="Arial"/>
                <w:sz w:val="21"/>
              </w:rPr>
            </w:pPr>
          </w:p>
          <w:p w14:paraId="001F5C5C">
            <w:pPr>
              <w:pStyle w:val="51"/>
              <w:spacing w:before="55" w:line="228" w:lineRule="auto"/>
              <w:ind w:left="207"/>
              <w:rPr>
                <w:sz w:val="17"/>
                <w:szCs w:val="17"/>
              </w:rPr>
            </w:pPr>
            <w:r>
              <w:rPr>
                <w:spacing w:val="6"/>
                <w:sz w:val="17"/>
                <w:szCs w:val="17"/>
              </w:rPr>
              <w:t>水果类</w:t>
            </w:r>
          </w:p>
        </w:tc>
        <w:tc>
          <w:tcPr>
            <w:tcW w:w="1360" w:type="dxa"/>
            <w:vMerge w:val="restart"/>
            <w:tcBorders>
              <w:bottom w:val="nil"/>
            </w:tcBorders>
            <w:vAlign w:val="top"/>
          </w:tcPr>
          <w:p w14:paraId="2933E6FE">
            <w:pPr>
              <w:spacing w:line="294" w:lineRule="auto"/>
              <w:rPr>
                <w:rFonts w:ascii="Arial"/>
                <w:sz w:val="21"/>
              </w:rPr>
            </w:pPr>
          </w:p>
          <w:p w14:paraId="74B9D236">
            <w:pPr>
              <w:spacing w:line="294" w:lineRule="auto"/>
              <w:rPr>
                <w:rFonts w:ascii="Arial"/>
                <w:sz w:val="21"/>
              </w:rPr>
            </w:pPr>
          </w:p>
          <w:p w14:paraId="7A540699">
            <w:pPr>
              <w:pStyle w:val="51"/>
              <w:spacing w:before="55" w:line="228" w:lineRule="auto"/>
              <w:ind w:left="415"/>
              <w:rPr>
                <w:sz w:val="17"/>
                <w:szCs w:val="17"/>
              </w:rPr>
            </w:pPr>
            <w:r>
              <w:rPr>
                <w:spacing w:val="6"/>
                <w:sz w:val="17"/>
                <w:szCs w:val="17"/>
              </w:rPr>
              <w:t>水果类</w:t>
            </w:r>
          </w:p>
        </w:tc>
        <w:tc>
          <w:tcPr>
            <w:tcW w:w="1581" w:type="dxa"/>
            <w:vMerge w:val="restart"/>
            <w:tcBorders>
              <w:bottom w:val="nil"/>
            </w:tcBorders>
            <w:vAlign w:val="top"/>
          </w:tcPr>
          <w:p w14:paraId="4044E246">
            <w:pPr>
              <w:spacing w:line="385" w:lineRule="auto"/>
              <w:rPr>
                <w:rFonts w:ascii="Arial"/>
                <w:sz w:val="21"/>
              </w:rPr>
            </w:pPr>
          </w:p>
          <w:p w14:paraId="7C51ED60">
            <w:pPr>
              <w:pStyle w:val="51"/>
              <w:spacing w:before="56" w:line="228" w:lineRule="auto"/>
              <w:ind w:left="349"/>
              <w:rPr>
                <w:sz w:val="17"/>
                <w:szCs w:val="17"/>
              </w:rPr>
            </w:pPr>
            <w:r>
              <w:rPr>
                <w:spacing w:val="7"/>
                <w:sz w:val="17"/>
                <w:szCs w:val="17"/>
              </w:rPr>
              <w:t>仁果类水果</w:t>
            </w:r>
          </w:p>
        </w:tc>
        <w:tc>
          <w:tcPr>
            <w:tcW w:w="1586" w:type="dxa"/>
            <w:vAlign w:val="top"/>
          </w:tcPr>
          <w:p w14:paraId="2F69B152">
            <w:pPr>
              <w:pStyle w:val="51"/>
              <w:spacing w:before="138" w:line="228" w:lineRule="auto"/>
              <w:ind w:left="620"/>
              <w:rPr>
                <w:sz w:val="17"/>
                <w:szCs w:val="17"/>
              </w:rPr>
            </w:pPr>
            <w:r>
              <w:rPr>
                <w:spacing w:val="4"/>
                <w:sz w:val="17"/>
                <w:szCs w:val="17"/>
              </w:rPr>
              <w:t>苹果</w:t>
            </w:r>
          </w:p>
        </w:tc>
        <w:tc>
          <w:tcPr>
            <w:tcW w:w="682" w:type="dxa"/>
            <w:vAlign w:val="top"/>
          </w:tcPr>
          <w:p w14:paraId="405D8253">
            <w:pPr>
              <w:pStyle w:val="51"/>
              <w:spacing w:before="138" w:line="227" w:lineRule="auto"/>
              <w:ind w:left="170"/>
              <w:rPr>
                <w:sz w:val="17"/>
                <w:szCs w:val="17"/>
              </w:rPr>
            </w:pPr>
            <w:r>
              <w:rPr>
                <w:spacing w:val="3"/>
                <w:sz w:val="17"/>
                <w:szCs w:val="17"/>
              </w:rPr>
              <w:t>较高</w:t>
            </w:r>
          </w:p>
        </w:tc>
        <w:tc>
          <w:tcPr>
            <w:tcW w:w="8563" w:type="dxa"/>
            <w:vAlign w:val="top"/>
          </w:tcPr>
          <w:p w14:paraId="7865211E">
            <w:pPr>
              <w:pStyle w:val="51"/>
              <w:spacing w:before="138" w:line="226" w:lineRule="auto"/>
              <w:ind w:left="37"/>
              <w:rPr>
                <w:sz w:val="17"/>
                <w:szCs w:val="17"/>
              </w:rPr>
            </w:pPr>
            <w:r>
              <w:rPr>
                <w:spacing w:val="9"/>
                <w:sz w:val="17"/>
                <w:szCs w:val="17"/>
              </w:rPr>
              <w:t>敌敌畏、甲拌磷、克百威、氧乐果、三氯杀螨醇</w:t>
            </w:r>
          </w:p>
        </w:tc>
      </w:tr>
      <w:tr w14:paraId="0C85AF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459" w:type="dxa"/>
            <w:vMerge w:val="continue"/>
            <w:tcBorders>
              <w:top w:val="nil"/>
              <w:bottom w:val="nil"/>
            </w:tcBorders>
            <w:vAlign w:val="top"/>
          </w:tcPr>
          <w:p w14:paraId="36DA3C7A">
            <w:pPr>
              <w:rPr>
                <w:rFonts w:ascii="Arial"/>
                <w:sz w:val="21"/>
              </w:rPr>
            </w:pPr>
          </w:p>
        </w:tc>
        <w:tc>
          <w:tcPr>
            <w:tcW w:w="942" w:type="dxa"/>
            <w:vMerge w:val="continue"/>
            <w:tcBorders>
              <w:top w:val="nil"/>
              <w:bottom w:val="nil"/>
            </w:tcBorders>
            <w:vAlign w:val="top"/>
          </w:tcPr>
          <w:p w14:paraId="3BB61CFB">
            <w:pPr>
              <w:rPr>
                <w:rFonts w:ascii="Arial"/>
                <w:sz w:val="21"/>
              </w:rPr>
            </w:pPr>
          </w:p>
        </w:tc>
        <w:tc>
          <w:tcPr>
            <w:tcW w:w="1360" w:type="dxa"/>
            <w:vMerge w:val="continue"/>
            <w:tcBorders>
              <w:top w:val="nil"/>
              <w:bottom w:val="nil"/>
            </w:tcBorders>
            <w:vAlign w:val="top"/>
          </w:tcPr>
          <w:p w14:paraId="52AFCFDD">
            <w:pPr>
              <w:rPr>
                <w:rFonts w:ascii="Arial"/>
                <w:sz w:val="21"/>
              </w:rPr>
            </w:pPr>
          </w:p>
        </w:tc>
        <w:tc>
          <w:tcPr>
            <w:tcW w:w="1581" w:type="dxa"/>
            <w:vMerge w:val="continue"/>
            <w:tcBorders>
              <w:top w:val="nil"/>
            </w:tcBorders>
            <w:vAlign w:val="top"/>
          </w:tcPr>
          <w:p w14:paraId="1AA84BAE">
            <w:pPr>
              <w:rPr>
                <w:rFonts w:ascii="Arial"/>
                <w:sz w:val="21"/>
              </w:rPr>
            </w:pPr>
          </w:p>
        </w:tc>
        <w:tc>
          <w:tcPr>
            <w:tcW w:w="1586" w:type="dxa"/>
            <w:vAlign w:val="top"/>
          </w:tcPr>
          <w:p w14:paraId="38F69305">
            <w:pPr>
              <w:pStyle w:val="51"/>
              <w:spacing w:before="240" w:line="228" w:lineRule="auto"/>
              <w:ind w:left="712"/>
              <w:rPr>
                <w:sz w:val="17"/>
                <w:szCs w:val="17"/>
              </w:rPr>
            </w:pPr>
            <w:r>
              <w:rPr>
                <w:sz w:val="17"/>
                <w:szCs w:val="17"/>
              </w:rPr>
              <w:t>梨</w:t>
            </w:r>
          </w:p>
        </w:tc>
        <w:tc>
          <w:tcPr>
            <w:tcW w:w="682" w:type="dxa"/>
            <w:vAlign w:val="top"/>
          </w:tcPr>
          <w:p w14:paraId="602988E8">
            <w:pPr>
              <w:pStyle w:val="51"/>
              <w:spacing w:before="240" w:line="227" w:lineRule="auto"/>
              <w:ind w:left="170"/>
              <w:rPr>
                <w:sz w:val="17"/>
                <w:szCs w:val="17"/>
              </w:rPr>
            </w:pPr>
            <w:r>
              <w:rPr>
                <w:spacing w:val="3"/>
                <w:sz w:val="17"/>
                <w:szCs w:val="17"/>
              </w:rPr>
              <w:t>较高</w:t>
            </w:r>
          </w:p>
        </w:tc>
        <w:tc>
          <w:tcPr>
            <w:tcW w:w="8563" w:type="dxa"/>
            <w:vAlign w:val="top"/>
          </w:tcPr>
          <w:p w14:paraId="29014C70">
            <w:pPr>
              <w:pStyle w:val="51"/>
              <w:spacing w:before="92" w:line="273" w:lineRule="auto"/>
              <w:ind w:left="45" w:right="24"/>
              <w:rPr>
                <w:sz w:val="17"/>
                <w:szCs w:val="17"/>
              </w:rPr>
            </w:pPr>
            <w:r>
              <w:rPr>
                <w:spacing w:val="11"/>
                <w:sz w:val="17"/>
                <w:szCs w:val="17"/>
              </w:rPr>
              <w:t>吡虫啉、敌敌畏、毒死蜱、多菌灵、克百威、氯氟氰菊酯和</w:t>
            </w:r>
            <w:r>
              <w:rPr>
                <w:spacing w:val="10"/>
                <w:sz w:val="17"/>
                <w:szCs w:val="17"/>
              </w:rPr>
              <w:t>高效氯氟氰菊酯、氧乐果、水胺硫磷、苯醚甲环</w:t>
            </w:r>
            <w:r>
              <w:rPr>
                <w:spacing w:val="9"/>
                <w:sz w:val="17"/>
                <w:szCs w:val="17"/>
              </w:rPr>
              <w:t>唑、咪鲜胺和咪鲜胺锰盐、噻虫嗪、乙螨唑、乙酰甲胺磷、阿维菌素</w:t>
            </w:r>
          </w:p>
        </w:tc>
      </w:tr>
      <w:tr w14:paraId="76CB75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459" w:type="dxa"/>
            <w:vMerge w:val="continue"/>
            <w:tcBorders>
              <w:top w:val="nil"/>
            </w:tcBorders>
            <w:vAlign w:val="top"/>
          </w:tcPr>
          <w:p w14:paraId="3A0F64EA">
            <w:pPr>
              <w:rPr>
                <w:rFonts w:ascii="Arial"/>
                <w:sz w:val="21"/>
              </w:rPr>
            </w:pPr>
          </w:p>
        </w:tc>
        <w:tc>
          <w:tcPr>
            <w:tcW w:w="942" w:type="dxa"/>
            <w:vMerge w:val="continue"/>
            <w:tcBorders>
              <w:top w:val="nil"/>
            </w:tcBorders>
            <w:vAlign w:val="top"/>
          </w:tcPr>
          <w:p w14:paraId="41DFD2C7">
            <w:pPr>
              <w:rPr>
                <w:rFonts w:ascii="Arial"/>
                <w:sz w:val="21"/>
              </w:rPr>
            </w:pPr>
          </w:p>
        </w:tc>
        <w:tc>
          <w:tcPr>
            <w:tcW w:w="1360" w:type="dxa"/>
            <w:vMerge w:val="continue"/>
            <w:tcBorders>
              <w:top w:val="nil"/>
            </w:tcBorders>
            <w:vAlign w:val="top"/>
          </w:tcPr>
          <w:p w14:paraId="5D0DDCB5">
            <w:pPr>
              <w:rPr>
                <w:rFonts w:ascii="Arial"/>
                <w:sz w:val="21"/>
              </w:rPr>
            </w:pPr>
          </w:p>
        </w:tc>
        <w:tc>
          <w:tcPr>
            <w:tcW w:w="1581" w:type="dxa"/>
            <w:vAlign w:val="top"/>
          </w:tcPr>
          <w:p w14:paraId="2B949B96">
            <w:pPr>
              <w:pStyle w:val="51"/>
              <w:spacing w:before="139" w:line="228" w:lineRule="auto"/>
              <w:ind w:left="348"/>
              <w:rPr>
                <w:sz w:val="17"/>
                <w:szCs w:val="17"/>
              </w:rPr>
            </w:pPr>
            <w:r>
              <w:rPr>
                <w:spacing w:val="7"/>
                <w:sz w:val="17"/>
                <w:szCs w:val="17"/>
              </w:rPr>
              <w:t>核果类水果</w:t>
            </w:r>
          </w:p>
        </w:tc>
        <w:tc>
          <w:tcPr>
            <w:tcW w:w="1586" w:type="dxa"/>
            <w:vAlign w:val="top"/>
          </w:tcPr>
          <w:p w14:paraId="1B233336">
            <w:pPr>
              <w:pStyle w:val="51"/>
              <w:spacing w:before="139" w:line="229" w:lineRule="auto"/>
              <w:ind w:left="713"/>
              <w:rPr>
                <w:sz w:val="17"/>
                <w:szCs w:val="17"/>
              </w:rPr>
            </w:pPr>
            <w:r>
              <w:rPr>
                <w:sz w:val="17"/>
                <w:szCs w:val="17"/>
              </w:rPr>
              <w:t>枣</w:t>
            </w:r>
          </w:p>
        </w:tc>
        <w:tc>
          <w:tcPr>
            <w:tcW w:w="682" w:type="dxa"/>
            <w:vAlign w:val="top"/>
          </w:tcPr>
          <w:p w14:paraId="08F088AA">
            <w:pPr>
              <w:pStyle w:val="51"/>
              <w:spacing w:before="139" w:line="227" w:lineRule="auto"/>
              <w:ind w:left="170"/>
              <w:rPr>
                <w:sz w:val="17"/>
                <w:szCs w:val="17"/>
              </w:rPr>
            </w:pPr>
            <w:r>
              <w:rPr>
                <w:spacing w:val="3"/>
                <w:sz w:val="17"/>
                <w:szCs w:val="17"/>
              </w:rPr>
              <w:t>较高</w:t>
            </w:r>
          </w:p>
        </w:tc>
        <w:tc>
          <w:tcPr>
            <w:tcW w:w="8563" w:type="dxa"/>
            <w:vAlign w:val="top"/>
          </w:tcPr>
          <w:p w14:paraId="39F25382">
            <w:pPr>
              <w:pStyle w:val="51"/>
              <w:spacing w:before="139" w:line="228" w:lineRule="auto"/>
              <w:ind w:left="48"/>
              <w:rPr>
                <w:sz w:val="17"/>
                <w:szCs w:val="17"/>
              </w:rPr>
            </w:pPr>
            <w:r>
              <w:rPr>
                <w:spacing w:val="8"/>
                <w:sz w:val="17"/>
                <w:szCs w:val="17"/>
              </w:rPr>
              <w:t>多菌灵、氟虫腈、氧乐果、糖精钠(以糖精计)</w:t>
            </w:r>
          </w:p>
        </w:tc>
      </w:tr>
    </w:tbl>
    <w:p w14:paraId="58330EE8">
      <w:pPr>
        <w:rPr>
          <w:rFonts w:ascii="Arial"/>
          <w:sz w:val="21"/>
        </w:rPr>
      </w:pPr>
    </w:p>
    <w:p w14:paraId="63765324">
      <w:pPr>
        <w:rPr>
          <w:rFonts w:ascii="Arial" w:hAnsi="Arial" w:eastAsia="Arial" w:cs="Arial"/>
          <w:sz w:val="21"/>
          <w:szCs w:val="21"/>
        </w:rPr>
        <w:sectPr>
          <w:pgSz w:w="16838" w:h="11906"/>
          <w:pgMar w:top="1011" w:right="829" w:bottom="400" w:left="366" w:header="567" w:footer="567" w:gutter="0"/>
          <w:pgNumType w:fmt="decimal"/>
          <w:cols w:space="720" w:num="1"/>
        </w:sectPr>
      </w:pPr>
    </w:p>
    <w:p w14:paraId="4C4F16CA">
      <w:pPr>
        <w:spacing w:before="18"/>
      </w:pPr>
    </w:p>
    <w:p w14:paraId="26FA84CE">
      <w:pPr>
        <w:spacing w:before="18"/>
      </w:pPr>
    </w:p>
    <w:tbl>
      <w:tblPr>
        <w:tblStyle w:val="50"/>
        <w:tblW w:w="15173" w:type="dxa"/>
        <w:tblInd w:w="46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59"/>
        <w:gridCol w:w="942"/>
        <w:gridCol w:w="1360"/>
        <w:gridCol w:w="1581"/>
        <w:gridCol w:w="1586"/>
        <w:gridCol w:w="682"/>
        <w:gridCol w:w="8563"/>
      </w:tblGrid>
      <w:tr w14:paraId="4BB38A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459" w:type="dxa"/>
            <w:vAlign w:val="top"/>
          </w:tcPr>
          <w:p w14:paraId="4FAEEADB">
            <w:pPr>
              <w:spacing w:before="241" w:line="234" w:lineRule="auto"/>
              <w:ind w:left="52"/>
              <w:rPr>
                <w:rFonts w:ascii="黑体" w:hAnsi="黑体" w:eastAsia="黑体" w:cs="黑体"/>
                <w:sz w:val="17"/>
                <w:szCs w:val="17"/>
              </w:rPr>
            </w:pPr>
            <w:r>
              <w:rPr>
                <w:rFonts w:ascii="黑体" w:hAnsi="黑体" w:eastAsia="黑体" w:cs="黑体"/>
                <w:spacing w:val="6"/>
                <w:sz w:val="17"/>
                <w:szCs w:val="17"/>
              </w:rPr>
              <w:t>序号</w:t>
            </w:r>
          </w:p>
        </w:tc>
        <w:tc>
          <w:tcPr>
            <w:tcW w:w="942" w:type="dxa"/>
            <w:vAlign w:val="top"/>
          </w:tcPr>
          <w:p w14:paraId="195E8A59">
            <w:pPr>
              <w:spacing w:before="90" w:line="232" w:lineRule="auto"/>
              <w:ind w:left="111"/>
              <w:rPr>
                <w:rFonts w:ascii="黑体" w:hAnsi="黑体" w:eastAsia="黑体" w:cs="黑体"/>
                <w:sz w:val="17"/>
                <w:szCs w:val="17"/>
              </w:rPr>
            </w:pPr>
            <w:r>
              <w:rPr>
                <w:rFonts w:ascii="黑体" w:hAnsi="黑体" w:eastAsia="黑体" w:cs="黑体"/>
                <w:spacing w:val="8"/>
                <w:sz w:val="17"/>
                <w:szCs w:val="17"/>
              </w:rPr>
              <w:t>食品大类</w:t>
            </w:r>
          </w:p>
          <w:p w14:paraId="594BEA44">
            <w:pPr>
              <w:spacing w:before="86" w:line="227" w:lineRule="auto"/>
              <w:ind w:left="237"/>
              <w:rPr>
                <w:rFonts w:ascii="黑体" w:hAnsi="黑体" w:eastAsia="黑体" w:cs="黑体"/>
                <w:sz w:val="17"/>
                <w:szCs w:val="17"/>
              </w:rPr>
            </w:pPr>
            <w:r>
              <w:rPr>
                <w:rFonts w:ascii="黑体" w:hAnsi="黑体" w:eastAsia="黑体" w:cs="黑体"/>
                <w:spacing w:val="-4"/>
                <w:sz w:val="17"/>
                <w:szCs w:val="17"/>
              </w:rPr>
              <w:t>(一级)</w:t>
            </w:r>
          </w:p>
        </w:tc>
        <w:tc>
          <w:tcPr>
            <w:tcW w:w="1360" w:type="dxa"/>
            <w:vAlign w:val="top"/>
          </w:tcPr>
          <w:p w14:paraId="2027B93D">
            <w:pPr>
              <w:spacing w:before="90" w:line="232" w:lineRule="auto"/>
              <w:ind w:left="321"/>
              <w:rPr>
                <w:rFonts w:ascii="黑体" w:hAnsi="黑体" w:eastAsia="黑体" w:cs="黑体"/>
                <w:sz w:val="17"/>
                <w:szCs w:val="17"/>
              </w:rPr>
            </w:pPr>
            <w:r>
              <w:rPr>
                <w:rFonts w:ascii="黑体" w:hAnsi="黑体" w:eastAsia="黑体" w:cs="黑体"/>
                <w:spacing w:val="8"/>
                <w:sz w:val="17"/>
                <w:szCs w:val="17"/>
              </w:rPr>
              <w:t>食品亚类</w:t>
            </w:r>
          </w:p>
          <w:p w14:paraId="11BFF163">
            <w:pPr>
              <w:spacing w:before="86" w:line="227" w:lineRule="auto"/>
              <w:ind w:left="444"/>
              <w:rPr>
                <w:rFonts w:ascii="黑体" w:hAnsi="黑体" w:eastAsia="黑体" w:cs="黑体"/>
                <w:sz w:val="17"/>
                <w:szCs w:val="17"/>
              </w:rPr>
            </w:pPr>
            <w:r>
              <w:rPr>
                <w:rFonts w:ascii="黑体" w:hAnsi="黑体" w:eastAsia="黑体" w:cs="黑体"/>
                <w:spacing w:val="-3"/>
                <w:sz w:val="17"/>
                <w:szCs w:val="17"/>
              </w:rPr>
              <w:t>(二级)</w:t>
            </w:r>
          </w:p>
        </w:tc>
        <w:tc>
          <w:tcPr>
            <w:tcW w:w="1581" w:type="dxa"/>
            <w:vAlign w:val="top"/>
          </w:tcPr>
          <w:p w14:paraId="5DFF3884">
            <w:pPr>
              <w:spacing w:before="90" w:line="232" w:lineRule="auto"/>
              <w:ind w:left="433"/>
              <w:rPr>
                <w:rFonts w:ascii="黑体" w:hAnsi="黑体" w:eastAsia="黑体" w:cs="黑体"/>
                <w:sz w:val="17"/>
                <w:szCs w:val="17"/>
              </w:rPr>
            </w:pPr>
            <w:r>
              <w:rPr>
                <w:rFonts w:ascii="黑体" w:hAnsi="黑体" w:eastAsia="黑体" w:cs="黑体"/>
                <w:spacing w:val="8"/>
                <w:sz w:val="17"/>
                <w:szCs w:val="17"/>
              </w:rPr>
              <w:t>食品品种</w:t>
            </w:r>
          </w:p>
          <w:p w14:paraId="28EB66B4">
            <w:pPr>
              <w:spacing w:before="86" w:line="227" w:lineRule="auto"/>
              <w:ind w:left="558"/>
              <w:rPr>
                <w:rFonts w:ascii="黑体" w:hAnsi="黑体" w:eastAsia="黑体" w:cs="黑体"/>
                <w:sz w:val="17"/>
                <w:szCs w:val="17"/>
              </w:rPr>
            </w:pPr>
            <w:r>
              <w:rPr>
                <w:rFonts w:ascii="黑体" w:hAnsi="黑体" w:eastAsia="黑体" w:cs="黑体"/>
                <w:spacing w:val="-4"/>
                <w:sz w:val="17"/>
                <w:szCs w:val="17"/>
              </w:rPr>
              <w:t>(三级)</w:t>
            </w:r>
          </w:p>
        </w:tc>
        <w:tc>
          <w:tcPr>
            <w:tcW w:w="1586" w:type="dxa"/>
            <w:vAlign w:val="top"/>
          </w:tcPr>
          <w:p w14:paraId="13B9C8E1">
            <w:pPr>
              <w:spacing w:before="90" w:line="232" w:lineRule="auto"/>
              <w:ind w:left="436"/>
              <w:rPr>
                <w:rFonts w:ascii="黑体" w:hAnsi="黑体" w:eastAsia="黑体" w:cs="黑体"/>
                <w:sz w:val="17"/>
                <w:szCs w:val="17"/>
              </w:rPr>
            </w:pPr>
            <w:r>
              <w:rPr>
                <w:rFonts w:ascii="黑体" w:hAnsi="黑体" w:eastAsia="黑体" w:cs="黑体"/>
                <w:spacing w:val="8"/>
                <w:sz w:val="17"/>
                <w:szCs w:val="17"/>
              </w:rPr>
              <w:t>食品细类</w:t>
            </w:r>
          </w:p>
          <w:p w14:paraId="1A339255">
            <w:pPr>
              <w:spacing w:before="86" w:line="227" w:lineRule="auto"/>
              <w:ind w:left="561"/>
              <w:rPr>
                <w:rFonts w:ascii="黑体" w:hAnsi="黑体" w:eastAsia="黑体" w:cs="黑体"/>
                <w:sz w:val="17"/>
                <w:szCs w:val="17"/>
              </w:rPr>
            </w:pPr>
            <w:r>
              <w:rPr>
                <w:rFonts w:ascii="黑体" w:hAnsi="黑体" w:eastAsia="黑体" w:cs="黑体"/>
                <w:spacing w:val="-4"/>
                <w:sz w:val="17"/>
                <w:szCs w:val="17"/>
              </w:rPr>
              <w:t>(四级)</w:t>
            </w:r>
          </w:p>
        </w:tc>
        <w:tc>
          <w:tcPr>
            <w:tcW w:w="682" w:type="dxa"/>
            <w:vAlign w:val="top"/>
          </w:tcPr>
          <w:p w14:paraId="48EA7233">
            <w:pPr>
              <w:spacing w:before="89" w:line="233" w:lineRule="auto"/>
              <w:ind w:left="166"/>
              <w:rPr>
                <w:rFonts w:ascii="黑体" w:hAnsi="黑体" w:eastAsia="黑体" w:cs="黑体"/>
                <w:sz w:val="17"/>
                <w:szCs w:val="17"/>
              </w:rPr>
            </w:pPr>
            <w:r>
              <w:rPr>
                <w:rFonts w:ascii="黑体" w:hAnsi="黑体" w:eastAsia="黑体" w:cs="黑体"/>
                <w:spacing w:val="6"/>
                <w:sz w:val="17"/>
                <w:szCs w:val="17"/>
              </w:rPr>
              <w:t>风险</w:t>
            </w:r>
          </w:p>
          <w:p w14:paraId="74973887">
            <w:pPr>
              <w:spacing w:before="85" w:line="227" w:lineRule="auto"/>
              <w:ind w:left="163"/>
              <w:rPr>
                <w:rFonts w:ascii="黑体" w:hAnsi="黑体" w:eastAsia="黑体" w:cs="黑体"/>
                <w:sz w:val="17"/>
                <w:szCs w:val="17"/>
              </w:rPr>
            </w:pPr>
            <w:r>
              <w:rPr>
                <w:rFonts w:ascii="黑体" w:hAnsi="黑体" w:eastAsia="黑体" w:cs="黑体"/>
                <w:spacing w:val="7"/>
                <w:sz w:val="17"/>
                <w:szCs w:val="17"/>
              </w:rPr>
              <w:t>等级</w:t>
            </w:r>
          </w:p>
        </w:tc>
        <w:tc>
          <w:tcPr>
            <w:tcW w:w="8563" w:type="dxa"/>
            <w:vAlign w:val="top"/>
          </w:tcPr>
          <w:p w14:paraId="5066346C">
            <w:pPr>
              <w:spacing w:before="241" w:line="232" w:lineRule="auto"/>
              <w:ind w:left="3744"/>
              <w:rPr>
                <w:rFonts w:ascii="黑体" w:hAnsi="黑体" w:eastAsia="黑体" w:cs="黑体"/>
                <w:sz w:val="17"/>
                <w:szCs w:val="17"/>
              </w:rPr>
            </w:pPr>
            <w:r>
              <w:rPr>
                <w:rFonts w:ascii="黑体" w:hAnsi="黑体" w:eastAsia="黑体" w:cs="黑体"/>
                <w:spacing w:val="8"/>
                <w:sz w:val="17"/>
                <w:szCs w:val="17"/>
              </w:rPr>
              <w:t>监督抽检项目</w:t>
            </w:r>
          </w:p>
        </w:tc>
      </w:tr>
      <w:tr w14:paraId="46C794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459" w:type="dxa"/>
            <w:vMerge w:val="restart"/>
            <w:tcBorders>
              <w:bottom w:val="nil"/>
            </w:tcBorders>
            <w:vAlign w:val="top"/>
          </w:tcPr>
          <w:p w14:paraId="5A32140F">
            <w:pPr>
              <w:rPr>
                <w:rFonts w:ascii="Arial"/>
                <w:sz w:val="21"/>
              </w:rPr>
            </w:pPr>
          </w:p>
        </w:tc>
        <w:tc>
          <w:tcPr>
            <w:tcW w:w="942" w:type="dxa"/>
            <w:vMerge w:val="restart"/>
            <w:tcBorders>
              <w:bottom w:val="nil"/>
            </w:tcBorders>
            <w:vAlign w:val="top"/>
          </w:tcPr>
          <w:p w14:paraId="466AC5CE">
            <w:pPr>
              <w:rPr>
                <w:rFonts w:ascii="Arial"/>
                <w:sz w:val="21"/>
              </w:rPr>
            </w:pPr>
          </w:p>
        </w:tc>
        <w:tc>
          <w:tcPr>
            <w:tcW w:w="1360" w:type="dxa"/>
            <w:vMerge w:val="restart"/>
            <w:tcBorders>
              <w:bottom w:val="nil"/>
            </w:tcBorders>
            <w:vAlign w:val="top"/>
          </w:tcPr>
          <w:p w14:paraId="750CBAC2">
            <w:pPr>
              <w:rPr>
                <w:rFonts w:ascii="Arial"/>
                <w:sz w:val="21"/>
              </w:rPr>
            </w:pPr>
          </w:p>
        </w:tc>
        <w:tc>
          <w:tcPr>
            <w:tcW w:w="1581" w:type="dxa"/>
            <w:vMerge w:val="restart"/>
            <w:tcBorders>
              <w:bottom w:val="nil"/>
            </w:tcBorders>
            <w:vAlign w:val="top"/>
          </w:tcPr>
          <w:p w14:paraId="6A420BFA">
            <w:pPr>
              <w:rPr>
                <w:rFonts w:ascii="Arial"/>
                <w:sz w:val="21"/>
              </w:rPr>
            </w:pPr>
          </w:p>
        </w:tc>
        <w:tc>
          <w:tcPr>
            <w:tcW w:w="1586" w:type="dxa"/>
            <w:vAlign w:val="top"/>
          </w:tcPr>
          <w:p w14:paraId="00F77128">
            <w:pPr>
              <w:pStyle w:val="51"/>
              <w:spacing w:before="237" w:line="229" w:lineRule="auto"/>
              <w:ind w:left="711"/>
              <w:rPr>
                <w:sz w:val="17"/>
                <w:szCs w:val="17"/>
              </w:rPr>
            </w:pPr>
            <w:r>
              <w:rPr>
                <w:sz w:val="17"/>
                <w:szCs w:val="17"/>
              </w:rPr>
              <w:t>桃</w:t>
            </w:r>
          </w:p>
        </w:tc>
        <w:tc>
          <w:tcPr>
            <w:tcW w:w="682" w:type="dxa"/>
            <w:vAlign w:val="top"/>
          </w:tcPr>
          <w:p w14:paraId="3DE1A1DA">
            <w:pPr>
              <w:pStyle w:val="51"/>
              <w:spacing w:before="237" w:line="227" w:lineRule="auto"/>
              <w:ind w:left="170"/>
              <w:rPr>
                <w:sz w:val="17"/>
                <w:szCs w:val="17"/>
              </w:rPr>
            </w:pPr>
            <w:r>
              <w:rPr>
                <w:spacing w:val="3"/>
                <w:sz w:val="17"/>
                <w:szCs w:val="17"/>
              </w:rPr>
              <w:t>较高</w:t>
            </w:r>
          </w:p>
        </w:tc>
        <w:tc>
          <w:tcPr>
            <w:tcW w:w="8563" w:type="dxa"/>
            <w:vAlign w:val="top"/>
          </w:tcPr>
          <w:p w14:paraId="581C8DC7">
            <w:pPr>
              <w:pStyle w:val="51"/>
              <w:spacing w:before="85" w:line="276" w:lineRule="auto"/>
              <w:ind w:left="37" w:right="28" w:firstLine="2"/>
              <w:rPr>
                <w:sz w:val="17"/>
                <w:szCs w:val="17"/>
              </w:rPr>
            </w:pPr>
            <w:r>
              <w:rPr>
                <w:spacing w:val="11"/>
                <w:sz w:val="17"/>
                <w:szCs w:val="17"/>
              </w:rPr>
              <w:t>苯醚甲环唑、敌敌畏、多菌灵、氟硅唑、克百威、氧乐果、溴氰</w:t>
            </w:r>
            <w:r>
              <w:rPr>
                <w:spacing w:val="10"/>
                <w:sz w:val="17"/>
                <w:szCs w:val="17"/>
              </w:rPr>
              <w:t>菊酯、吡虫啉、氯氟氰菊酯和高效氯氟氰菊</w:t>
            </w:r>
            <w:r>
              <w:rPr>
                <w:spacing w:val="8"/>
                <w:sz w:val="17"/>
                <w:szCs w:val="17"/>
              </w:rPr>
              <w:t>酯、噻虫胺、甲氨基阿维菌素苯甲酸盐</w:t>
            </w:r>
          </w:p>
        </w:tc>
      </w:tr>
      <w:tr w14:paraId="1D1370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459" w:type="dxa"/>
            <w:vMerge w:val="continue"/>
            <w:tcBorders>
              <w:top w:val="nil"/>
              <w:bottom w:val="nil"/>
            </w:tcBorders>
            <w:vAlign w:val="top"/>
          </w:tcPr>
          <w:p w14:paraId="0C50A3DA">
            <w:pPr>
              <w:rPr>
                <w:rFonts w:ascii="Arial"/>
                <w:sz w:val="21"/>
              </w:rPr>
            </w:pPr>
          </w:p>
        </w:tc>
        <w:tc>
          <w:tcPr>
            <w:tcW w:w="942" w:type="dxa"/>
            <w:vMerge w:val="continue"/>
            <w:tcBorders>
              <w:top w:val="nil"/>
              <w:bottom w:val="nil"/>
            </w:tcBorders>
            <w:vAlign w:val="top"/>
          </w:tcPr>
          <w:p w14:paraId="622BC487">
            <w:pPr>
              <w:rPr>
                <w:rFonts w:ascii="Arial"/>
                <w:sz w:val="21"/>
              </w:rPr>
            </w:pPr>
          </w:p>
        </w:tc>
        <w:tc>
          <w:tcPr>
            <w:tcW w:w="1360" w:type="dxa"/>
            <w:vMerge w:val="continue"/>
            <w:tcBorders>
              <w:top w:val="nil"/>
              <w:bottom w:val="nil"/>
            </w:tcBorders>
            <w:vAlign w:val="top"/>
          </w:tcPr>
          <w:p w14:paraId="7C61D149">
            <w:pPr>
              <w:rPr>
                <w:rFonts w:ascii="Arial"/>
                <w:sz w:val="21"/>
              </w:rPr>
            </w:pPr>
          </w:p>
        </w:tc>
        <w:tc>
          <w:tcPr>
            <w:tcW w:w="1581" w:type="dxa"/>
            <w:vMerge w:val="continue"/>
            <w:tcBorders>
              <w:top w:val="nil"/>
            </w:tcBorders>
            <w:vAlign w:val="top"/>
          </w:tcPr>
          <w:p w14:paraId="1E943946">
            <w:pPr>
              <w:rPr>
                <w:rFonts w:ascii="Arial"/>
                <w:sz w:val="21"/>
              </w:rPr>
            </w:pPr>
          </w:p>
        </w:tc>
        <w:tc>
          <w:tcPr>
            <w:tcW w:w="1586" w:type="dxa"/>
            <w:vAlign w:val="top"/>
          </w:tcPr>
          <w:p w14:paraId="2E963E29">
            <w:pPr>
              <w:pStyle w:val="51"/>
              <w:spacing w:before="134" w:line="229" w:lineRule="auto"/>
              <w:ind w:left="625"/>
              <w:rPr>
                <w:sz w:val="17"/>
                <w:szCs w:val="17"/>
              </w:rPr>
            </w:pPr>
            <w:r>
              <w:rPr>
                <w:spacing w:val="1"/>
                <w:sz w:val="17"/>
                <w:szCs w:val="17"/>
              </w:rPr>
              <w:t>油桃</w:t>
            </w:r>
          </w:p>
        </w:tc>
        <w:tc>
          <w:tcPr>
            <w:tcW w:w="682" w:type="dxa"/>
            <w:vAlign w:val="top"/>
          </w:tcPr>
          <w:p w14:paraId="26F5140E">
            <w:pPr>
              <w:pStyle w:val="51"/>
              <w:spacing w:before="135" w:line="227" w:lineRule="auto"/>
              <w:ind w:left="170"/>
              <w:rPr>
                <w:sz w:val="17"/>
                <w:szCs w:val="17"/>
              </w:rPr>
            </w:pPr>
            <w:r>
              <w:rPr>
                <w:spacing w:val="3"/>
                <w:sz w:val="17"/>
                <w:szCs w:val="17"/>
              </w:rPr>
              <w:t>较高</w:t>
            </w:r>
          </w:p>
        </w:tc>
        <w:tc>
          <w:tcPr>
            <w:tcW w:w="8563" w:type="dxa"/>
            <w:vAlign w:val="top"/>
          </w:tcPr>
          <w:p w14:paraId="166C7C1D">
            <w:pPr>
              <w:pStyle w:val="51"/>
              <w:spacing w:before="134" w:line="223" w:lineRule="auto"/>
              <w:ind w:left="61"/>
              <w:rPr>
                <w:sz w:val="17"/>
                <w:szCs w:val="17"/>
              </w:rPr>
            </w:pPr>
            <w:r>
              <w:rPr>
                <w:spacing w:val="8"/>
                <w:sz w:val="17"/>
                <w:szCs w:val="17"/>
              </w:rPr>
              <w:t>甲胺磷、克百威、氧乐果、敌敌畏、苯醚甲环唑、噻虫胺</w:t>
            </w:r>
          </w:p>
        </w:tc>
      </w:tr>
      <w:tr w14:paraId="71238D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459" w:type="dxa"/>
            <w:vMerge w:val="continue"/>
            <w:tcBorders>
              <w:top w:val="nil"/>
              <w:bottom w:val="nil"/>
            </w:tcBorders>
            <w:vAlign w:val="top"/>
          </w:tcPr>
          <w:p w14:paraId="57BB4634">
            <w:pPr>
              <w:rPr>
                <w:rFonts w:ascii="Arial"/>
                <w:sz w:val="21"/>
              </w:rPr>
            </w:pPr>
          </w:p>
        </w:tc>
        <w:tc>
          <w:tcPr>
            <w:tcW w:w="942" w:type="dxa"/>
            <w:vMerge w:val="continue"/>
            <w:tcBorders>
              <w:top w:val="nil"/>
              <w:bottom w:val="nil"/>
            </w:tcBorders>
            <w:vAlign w:val="top"/>
          </w:tcPr>
          <w:p w14:paraId="4B3AD3BC">
            <w:pPr>
              <w:rPr>
                <w:rFonts w:ascii="Arial"/>
                <w:sz w:val="21"/>
              </w:rPr>
            </w:pPr>
          </w:p>
        </w:tc>
        <w:tc>
          <w:tcPr>
            <w:tcW w:w="1360" w:type="dxa"/>
            <w:vMerge w:val="continue"/>
            <w:tcBorders>
              <w:top w:val="nil"/>
              <w:bottom w:val="nil"/>
            </w:tcBorders>
            <w:vAlign w:val="top"/>
          </w:tcPr>
          <w:p w14:paraId="1E6810EA">
            <w:pPr>
              <w:rPr>
                <w:rFonts w:ascii="Arial"/>
                <w:sz w:val="21"/>
              </w:rPr>
            </w:pPr>
          </w:p>
        </w:tc>
        <w:tc>
          <w:tcPr>
            <w:tcW w:w="1581" w:type="dxa"/>
            <w:vMerge w:val="restart"/>
            <w:tcBorders>
              <w:bottom w:val="nil"/>
            </w:tcBorders>
            <w:vAlign w:val="top"/>
          </w:tcPr>
          <w:p w14:paraId="62536CDB">
            <w:pPr>
              <w:spacing w:line="296" w:lineRule="auto"/>
              <w:rPr>
                <w:rFonts w:ascii="Arial"/>
                <w:sz w:val="21"/>
              </w:rPr>
            </w:pPr>
          </w:p>
          <w:p w14:paraId="27A5EE69">
            <w:pPr>
              <w:spacing w:line="296" w:lineRule="auto"/>
              <w:rPr>
                <w:rFonts w:ascii="Arial"/>
                <w:sz w:val="21"/>
              </w:rPr>
            </w:pPr>
          </w:p>
          <w:p w14:paraId="431117ED">
            <w:pPr>
              <w:spacing w:line="296" w:lineRule="auto"/>
              <w:rPr>
                <w:rFonts w:ascii="Arial"/>
                <w:sz w:val="21"/>
              </w:rPr>
            </w:pPr>
          </w:p>
          <w:p w14:paraId="51681DDD">
            <w:pPr>
              <w:pStyle w:val="51"/>
              <w:spacing w:before="56" w:line="228" w:lineRule="auto"/>
              <w:ind w:left="348"/>
              <w:rPr>
                <w:sz w:val="17"/>
                <w:szCs w:val="17"/>
              </w:rPr>
            </w:pPr>
            <w:r>
              <w:rPr>
                <w:spacing w:val="7"/>
                <w:sz w:val="17"/>
                <w:szCs w:val="17"/>
              </w:rPr>
              <w:t>柑橘类水果</w:t>
            </w:r>
          </w:p>
        </w:tc>
        <w:tc>
          <w:tcPr>
            <w:tcW w:w="1586" w:type="dxa"/>
            <w:vAlign w:val="top"/>
          </w:tcPr>
          <w:p w14:paraId="7A968EEE">
            <w:pPr>
              <w:pStyle w:val="51"/>
              <w:spacing w:before="236" w:line="228" w:lineRule="auto"/>
              <w:ind w:left="531"/>
              <w:rPr>
                <w:sz w:val="17"/>
                <w:szCs w:val="17"/>
              </w:rPr>
            </w:pPr>
            <w:r>
              <w:rPr>
                <w:spacing w:val="6"/>
                <w:sz w:val="17"/>
                <w:szCs w:val="17"/>
              </w:rPr>
              <w:t>柑、橘</w:t>
            </w:r>
          </w:p>
        </w:tc>
        <w:tc>
          <w:tcPr>
            <w:tcW w:w="682" w:type="dxa"/>
            <w:vAlign w:val="top"/>
          </w:tcPr>
          <w:p w14:paraId="288F646B">
            <w:pPr>
              <w:pStyle w:val="51"/>
              <w:spacing w:before="237" w:line="227" w:lineRule="auto"/>
              <w:ind w:left="170"/>
              <w:rPr>
                <w:sz w:val="17"/>
                <w:szCs w:val="17"/>
              </w:rPr>
            </w:pPr>
            <w:r>
              <w:rPr>
                <w:spacing w:val="3"/>
                <w:sz w:val="17"/>
                <w:szCs w:val="17"/>
              </w:rPr>
              <w:t>较高</w:t>
            </w:r>
          </w:p>
        </w:tc>
        <w:tc>
          <w:tcPr>
            <w:tcW w:w="8563" w:type="dxa"/>
            <w:vAlign w:val="top"/>
          </w:tcPr>
          <w:p w14:paraId="06DDE692">
            <w:pPr>
              <w:pStyle w:val="51"/>
              <w:spacing w:before="87" w:line="275" w:lineRule="auto"/>
              <w:ind w:left="43" w:right="24" w:hanging="4"/>
              <w:rPr>
                <w:sz w:val="17"/>
                <w:szCs w:val="17"/>
              </w:rPr>
            </w:pPr>
            <w:r>
              <w:rPr>
                <w:spacing w:val="11"/>
                <w:sz w:val="17"/>
                <w:szCs w:val="17"/>
              </w:rPr>
              <w:t>苯醚甲环唑、丙溴磷、克百威、联苯菊酯、氯唑磷、三唑磷、水胺硫磷、</w:t>
            </w:r>
            <w:r>
              <w:rPr>
                <w:spacing w:val="10"/>
                <w:sz w:val="17"/>
                <w:szCs w:val="17"/>
              </w:rPr>
              <w:t>氧乐果、氯氟氰菊酯和高效氯氟氰</w:t>
            </w:r>
            <w:r>
              <w:rPr>
                <w:spacing w:val="7"/>
                <w:sz w:val="17"/>
                <w:szCs w:val="17"/>
              </w:rPr>
              <w:t>菊酯、甲拌磷、</w:t>
            </w:r>
            <w:r>
              <w:rPr>
                <w:spacing w:val="-25"/>
                <w:sz w:val="17"/>
                <w:szCs w:val="17"/>
              </w:rPr>
              <w:t xml:space="preserve"> </w:t>
            </w:r>
            <w:r>
              <w:rPr>
                <w:spacing w:val="7"/>
                <w:sz w:val="17"/>
                <w:szCs w:val="17"/>
              </w:rPr>
              <w:t>2,4-滴和2,4-滴钠盐、狄氏剂、杀扑磷</w:t>
            </w:r>
            <w:r>
              <w:rPr>
                <w:spacing w:val="6"/>
                <w:sz w:val="17"/>
                <w:szCs w:val="17"/>
              </w:rPr>
              <w:t>、敌敌畏、联苯肼酯</w:t>
            </w:r>
          </w:p>
        </w:tc>
      </w:tr>
      <w:tr w14:paraId="28B56A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459" w:type="dxa"/>
            <w:vMerge w:val="continue"/>
            <w:tcBorders>
              <w:top w:val="nil"/>
              <w:bottom w:val="nil"/>
            </w:tcBorders>
            <w:vAlign w:val="top"/>
          </w:tcPr>
          <w:p w14:paraId="5EC7C9E6">
            <w:pPr>
              <w:rPr>
                <w:rFonts w:ascii="Arial"/>
                <w:sz w:val="21"/>
              </w:rPr>
            </w:pPr>
          </w:p>
        </w:tc>
        <w:tc>
          <w:tcPr>
            <w:tcW w:w="942" w:type="dxa"/>
            <w:vMerge w:val="continue"/>
            <w:tcBorders>
              <w:top w:val="nil"/>
              <w:bottom w:val="nil"/>
            </w:tcBorders>
            <w:vAlign w:val="top"/>
          </w:tcPr>
          <w:p w14:paraId="765A1963">
            <w:pPr>
              <w:rPr>
                <w:rFonts w:ascii="Arial"/>
                <w:sz w:val="21"/>
              </w:rPr>
            </w:pPr>
          </w:p>
        </w:tc>
        <w:tc>
          <w:tcPr>
            <w:tcW w:w="1360" w:type="dxa"/>
            <w:vMerge w:val="continue"/>
            <w:tcBorders>
              <w:top w:val="nil"/>
              <w:bottom w:val="nil"/>
            </w:tcBorders>
            <w:vAlign w:val="top"/>
          </w:tcPr>
          <w:p w14:paraId="2EF49109">
            <w:pPr>
              <w:rPr>
                <w:rFonts w:ascii="Arial"/>
                <w:sz w:val="21"/>
              </w:rPr>
            </w:pPr>
          </w:p>
        </w:tc>
        <w:tc>
          <w:tcPr>
            <w:tcW w:w="1581" w:type="dxa"/>
            <w:vMerge w:val="continue"/>
            <w:tcBorders>
              <w:top w:val="nil"/>
              <w:bottom w:val="nil"/>
            </w:tcBorders>
            <w:vAlign w:val="top"/>
          </w:tcPr>
          <w:p w14:paraId="4742010C">
            <w:pPr>
              <w:rPr>
                <w:rFonts w:ascii="Arial"/>
                <w:sz w:val="21"/>
              </w:rPr>
            </w:pPr>
          </w:p>
        </w:tc>
        <w:tc>
          <w:tcPr>
            <w:tcW w:w="1586" w:type="dxa"/>
            <w:vAlign w:val="top"/>
          </w:tcPr>
          <w:p w14:paraId="143CE144">
            <w:pPr>
              <w:pStyle w:val="51"/>
              <w:spacing w:before="136" w:line="228" w:lineRule="auto"/>
              <w:ind w:left="712"/>
              <w:rPr>
                <w:sz w:val="17"/>
                <w:szCs w:val="17"/>
              </w:rPr>
            </w:pPr>
            <w:r>
              <w:rPr>
                <w:sz w:val="17"/>
                <w:szCs w:val="17"/>
              </w:rPr>
              <w:t>柚</w:t>
            </w:r>
          </w:p>
        </w:tc>
        <w:tc>
          <w:tcPr>
            <w:tcW w:w="682" w:type="dxa"/>
            <w:vAlign w:val="top"/>
          </w:tcPr>
          <w:p w14:paraId="1797FB58">
            <w:pPr>
              <w:pStyle w:val="51"/>
              <w:spacing w:before="136" w:line="227" w:lineRule="auto"/>
              <w:ind w:left="170"/>
              <w:rPr>
                <w:sz w:val="17"/>
                <w:szCs w:val="17"/>
              </w:rPr>
            </w:pPr>
            <w:r>
              <w:rPr>
                <w:spacing w:val="3"/>
                <w:sz w:val="17"/>
                <w:szCs w:val="17"/>
              </w:rPr>
              <w:t>较高</w:t>
            </w:r>
          </w:p>
        </w:tc>
        <w:tc>
          <w:tcPr>
            <w:tcW w:w="8563" w:type="dxa"/>
            <w:vAlign w:val="top"/>
          </w:tcPr>
          <w:p w14:paraId="46B4D83B">
            <w:pPr>
              <w:pStyle w:val="51"/>
              <w:spacing w:before="136" w:line="223" w:lineRule="auto"/>
              <w:ind w:left="37"/>
              <w:rPr>
                <w:sz w:val="17"/>
                <w:szCs w:val="17"/>
              </w:rPr>
            </w:pPr>
            <w:r>
              <w:rPr>
                <w:spacing w:val="7"/>
                <w:sz w:val="17"/>
                <w:szCs w:val="17"/>
              </w:rPr>
              <w:t>水胺硫磷、联苯菊酯、氯氟氰菊酯和高效氯氟氰菊酯、氯唑</w:t>
            </w:r>
            <w:r>
              <w:rPr>
                <w:spacing w:val="6"/>
                <w:sz w:val="17"/>
                <w:szCs w:val="17"/>
              </w:rPr>
              <w:t>磷、多菌灵、克百威、</w:t>
            </w:r>
            <w:r>
              <w:rPr>
                <w:spacing w:val="48"/>
                <w:sz w:val="17"/>
                <w:szCs w:val="17"/>
              </w:rPr>
              <w:t xml:space="preserve"> </w:t>
            </w:r>
            <w:r>
              <w:rPr>
                <w:spacing w:val="6"/>
                <w:sz w:val="17"/>
                <w:szCs w:val="17"/>
              </w:rPr>
              <w:t>毒死蜱、噻虫胺</w:t>
            </w:r>
          </w:p>
        </w:tc>
      </w:tr>
      <w:tr w14:paraId="5B11AE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459" w:type="dxa"/>
            <w:vMerge w:val="continue"/>
            <w:tcBorders>
              <w:top w:val="nil"/>
              <w:bottom w:val="nil"/>
            </w:tcBorders>
            <w:vAlign w:val="top"/>
          </w:tcPr>
          <w:p w14:paraId="0583CB32">
            <w:pPr>
              <w:rPr>
                <w:rFonts w:ascii="Arial"/>
                <w:sz w:val="21"/>
              </w:rPr>
            </w:pPr>
          </w:p>
        </w:tc>
        <w:tc>
          <w:tcPr>
            <w:tcW w:w="942" w:type="dxa"/>
            <w:vMerge w:val="continue"/>
            <w:tcBorders>
              <w:top w:val="nil"/>
              <w:bottom w:val="nil"/>
            </w:tcBorders>
            <w:vAlign w:val="top"/>
          </w:tcPr>
          <w:p w14:paraId="10D78639">
            <w:pPr>
              <w:rPr>
                <w:rFonts w:ascii="Arial"/>
                <w:sz w:val="21"/>
              </w:rPr>
            </w:pPr>
          </w:p>
        </w:tc>
        <w:tc>
          <w:tcPr>
            <w:tcW w:w="1360" w:type="dxa"/>
            <w:vMerge w:val="continue"/>
            <w:tcBorders>
              <w:top w:val="nil"/>
              <w:bottom w:val="nil"/>
            </w:tcBorders>
            <w:vAlign w:val="top"/>
          </w:tcPr>
          <w:p w14:paraId="6936F0FB">
            <w:pPr>
              <w:rPr>
                <w:rFonts w:ascii="Arial"/>
                <w:sz w:val="21"/>
              </w:rPr>
            </w:pPr>
          </w:p>
        </w:tc>
        <w:tc>
          <w:tcPr>
            <w:tcW w:w="1581" w:type="dxa"/>
            <w:vMerge w:val="continue"/>
            <w:tcBorders>
              <w:top w:val="nil"/>
              <w:bottom w:val="nil"/>
            </w:tcBorders>
            <w:vAlign w:val="top"/>
          </w:tcPr>
          <w:p w14:paraId="09614183">
            <w:pPr>
              <w:rPr>
                <w:rFonts w:ascii="Arial"/>
                <w:sz w:val="21"/>
              </w:rPr>
            </w:pPr>
          </w:p>
        </w:tc>
        <w:tc>
          <w:tcPr>
            <w:tcW w:w="1586" w:type="dxa"/>
            <w:vAlign w:val="top"/>
          </w:tcPr>
          <w:p w14:paraId="36494EDD">
            <w:pPr>
              <w:pStyle w:val="51"/>
              <w:spacing w:before="137" w:line="228" w:lineRule="auto"/>
              <w:ind w:left="620"/>
              <w:rPr>
                <w:sz w:val="17"/>
                <w:szCs w:val="17"/>
              </w:rPr>
            </w:pPr>
            <w:r>
              <w:rPr>
                <w:spacing w:val="4"/>
                <w:sz w:val="17"/>
                <w:szCs w:val="17"/>
              </w:rPr>
              <w:t>柠檬</w:t>
            </w:r>
          </w:p>
        </w:tc>
        <w:tc>
          <w:tcPr>
            <w:tcW w:w="682" w:type="dxa"/>
            <w:vAlign w:val="top"/>
          </w:tcPr>
          <w:p w14:paraId="12C057A0">
            <w:pPr>
              <w:pStyle w:val="51"/>
              <w:spacing w:before="137" w:line="227" w:lineRule="auto"/>
              <w:ind w:left="170"/>
              <w:rPr>
                <w:sz w:val="17"/>
                <w:szCs w:val="17"/>
              </w:rPr>
            </w:pPr>
            <w:r>
              <w:rPr>
                <w:spacing w:val="3"/>
                <w:sz w:val="17"/>
                <w:szCs w:val="17"/>
              </w:rPr>
              <w:t>较高</w:t>
            </w:r>
          </w:p>
        </w:tc>
        <w:tc>
          <w:tcPr>
            <w:tcW w:w="8563" w:type="dxa"/>
            <w:vAlign w:val="top"/>
          </w:tcPr>
          <w:p w14:paraId="649EA9E3">
            <w:pPr>
              <w:pStyle w:val="51"/>
              <w:spacing w:before="137" w:line="223" w:lineRule="auto"/>
              <w:ind w:left="48"/>
              <w:rPr>
                <w:sz w:val="17"/>
                <w:szCs w:val="17"/>
              </w:rPr>
            </w:pPr>
            <w:r>
              <w:rPr>
                <w:spacing w:val="9"/>
                <w:sz w:val="17"/>
                <w:szCs w:val="17"/>
              </w:rPr>
              <w:t>多菌灵、克百威、联苯菊酯、水胺硫磷、乙螨唑、氯唑磷、毒死蜱</w:t>
            </w:r>
          </w:p>
        </w:tc>
      </w:tr>
      <w:tr w14:paraId="53D4BB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459" w:type="dxa"/>
            <w:vMerge w:val="continue"/>
            <w:tcBorders>
              <w:top w:val="nil"/>
              <w:bottom w:val="nil"/>
            </w:tcBorders>
            <w:vAlign w:val="top"/>
          </w:tcPr>
          <w:p w14:paraId="460C253A">
            <w:pPr>
              <w:rPr>
                <w:rFonts w:ascii="Arial"/>
                <w:sz w:val="21"/>
              </w:rPr>
            </w:pPr>
          </w:p>
        </w:tc>
        <w:tc>
          <w:tcPr>
            <w:tcW w:w="942" w:type="dxa"/>
            <w:vMerge w:val="continue"/>
            <w:tcBorders>
              <w:top w:val="nil"/>
              <w:bottom w:val="nil"/>
            </w:tcBorders>
            <w:vAlign w:val="top"/>
          </w:tcPr>
          <w:p w14:paraId="3FF57BC5">
            <w:pPr>
              <w:rPr>
                <w:rFonts w:ascii="Arial"/>
                <w:sz w:val="21"/>
              </w:rPr>
            </w:pPr>
          </w:p>
        </w:tc>
        <w:tc>
          <w:tcPr>
            <w:tcW w:w="1360" w:type="dxa"/>
            <w:vMerge w:val="continue"/>
            <w:tcBorders>
              <w:top w:val="nil"/>
              <w:bottom w:val="nil"/>
            </w:tcBorders>
            <w:vAlign w:val="top"/>
          </w:tcPr>
          <w:p w14:paraId="68A452D1">
            <w:pPr>
              <w:rPr>
                <w:rFonts w:ascii="Arial"/>
                <w:sz w:val="21"/>
              </w:rPr>
            </w:pPr>
          </w:p>
        </w:tc>
        <w:tc>
          <w:tcPr>
            <w:tcW w:w="1581" w:type="dxa"/>
            <w:vMerge w:val="continue"/>
            <w:tcBorders>
              <w:top w:val="nil"/>
            </w:tcBorders>
            <w:vAlign w:val="top"/>
          </w:tcPr>
          <w:p w14:paraId="647CD624">
            <w:pPr>
              <w:rPr>
                <w:rFonts w:ascii="Arial"/>
                <w:sz w:val="21"/>
              </w:rPr>
            </w:pPr>
          </w:p>
        </w:tc>
        <w:tc>
          <w:tcPr>
            <w:tcW w:w="1586" w:type="dxa"/>
            <w:vAlign w:val="top"/>
          </w:tcPr>
          <w:p w14:paraId="14050C8C">
            <w:pPr>
              <w:pStyle w:val="51"/>
              <w:spacing w:before="239" w:line="229" w:lineRule="auto"/>
              <w:ind w:left="711"/>
              <w:rPr>
                <w:sz w:val="17"/>
                <w:szCs w:val="17"/>
              </w:rPr>
            </w:pPr>
            <w:r>
              <w:rPr>
                <w:sz w:val="17"/>
                <w:szCs w:val="17"/>
              </w:rPr>
              <w:t>橙</w:t>
            </w:r>
          </w:p>
        </w:tc>
        <w:tc>
          <w:tcPr>
            <w:tcW w:w="682" w:type="dxa"/>
            <w:vAlign w:val="top"/>
          </w:tcPr>
          <w:p w14:paraId="445375CD">
            <w:pPr>
              <w:pStyle w:val="51"/>
              <w:spacing w:before="239" w:line="227" w:lineRule="auto"/>
              <w:ind w:left="170"/>
              <w:rPr>
                <w:sz w:val="17"/>
                <w:szCs w:val="17"/>
              </w:rPr>
            </w:pPr>
            <w:r>
              <w:rPr>
                <w:spacing w:val="3"/>
                <w:sz w:val="17"/>
                <w:szCs w:val="17"/>
              </w:rPr>
              <w:t>较高</w:t>
            </w:r>
          </w:p>
        </w:tc>
        <w:tc>
          <w:tcPr>
            <w:tcW w:w="8563" w:type="dxa"/>
            <w:vAlign w:val="top"/>
          </w:tcPr>
          <w:p w14:paraId="0C81CEA2">
            <w:pPr>
              <w:pStyle w:val="51"/>
              <w:spacing w:before="88" w:line="275" w:lineRule="auto"/>
              <w:ind w:left="45" w:right="26"/>
              <w:rPr>
                <w:sz w:val="17"/>
                <w:szCs w:val="17"/>
              </w:rPr>
            </w:pPr>
            <w:r>
              <w:rPr>
                <w:spacing w:val="9"/>
                <w:sz w:val="17"/>
                <w:szCs w:val="17"/>
              </w:rPr>
              <w:t>丙溴磷、克百威、联苯菊酯、三唑磷、杀扑磷、水胺硫磷、氧乐果、</w:t>
            </w:r>
            <w:r>
              <w:rPr>
                <w:spacing w:val="-33"/>
                <w:sz w:val="17"/>
                <w:szCs w:val="17"/>
              </w:rPr>
              <w:t xml:space="preserve"> </w:t>
            </w:r>
            <w:r>
              <w:rPr>
                <w:spacing w:val="9"/>
                <w:sz w:val="17"/>
                <w:szCs w:val="17"/>
              </w:rPr>
              <w:t>2,4-滴</w:t>
            </w:r>
            <w:r>
              <w:rPr>
                <w:spacing w:val="8"/>
                <w:sz w:val="17"/>
                <w:szCs w:val="17"/>
              </w:rPr>
              <w:t>和2,4-滴钠盐、苯醚甲环唑、氯</w:t>
            </w:r>
            <w:r>
              <w:rPr>
                <w:spacing w:val="9"/>
                <w:sz w:val="17"/>
                <w:szCs w:val="17"/>
              </w:rPr>
              <w:t>唑磷、敌敌畏、氯氟氰菊酯和高效氯氟氰菊酯、乙酰甲胺磷</w:t>
            </w:r>
          </w:p>
        </w:tc>
      </w:tr>
      <w:tr w14:paraId="5BE142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459" w:type="dxa"/>
            <w:vMerge w:val="continue"/>
            <w:tcBorders>
              <w:top w:val="nil"/>
              <w:bottom w:val="nil"/>
            </w:tcBorders>
            <w:vAlign w:val="top"/>
          </w:tcPr>
          <w:p w14:paraId="2CAE3BFF">
            <w:pPr>
              <w:rPr>
                <w:rFonts w:ascii="Arial"/>
                <w:sz w:val="21"/>
              </w:rPr>
            </w:pPr>
          </w:p>
        </w:tc>
        <w:tc>
          <w:tcPr>
            <w:tcW w:w="942" w:type="dxa"/>
            <w:vMerge w:val="continue"/>
            <w:tcBorders>
              <w:top w:val="nil"/>
              <w:bottom w:val="nil"/>
            </w:tcBorders>
            <w:vAlign w:val="top"/>
          </w:tcPr>
          <w:p w14:paraId="0B402A2E">
            <w:pPr>
              <w:rPr>
                <w:rFonts w:ascii="Arial"/>
                <w:sz w:val="21"/>
              </w:rPr>
            </w:pPr>
          </w:p>
        </w:tc>
        <w:tc>
          <w:tcPr>
            <w:tcW w:w="1360" w:type="dxa"/>
            <w:vMerge w:val="continue"/>
            <w:tcBorders>
              <w:top w:val="nil"/>
              <w:bottom w:val="nil"/>
            </w:tcBorders>
            <w:vAlign w:val="top"/>
          </w:tcPr>
          <w:p w14:paraId="2DDF4155">
            <w:pPr>
              <w:rPr>
                <w:rFonts w:ascii="Arial"/>
                <w:sz w:val="21"/>
              </w:rPr>
            </w:pPr>
          </w:p>
        </w:tc>
        <w:tc>
          <w:tcPr>
            <w:tcW w:w="1581" w:type="dxa"/>
            <w:vMerge w:val="restart"/>
            <w:tcBorders>
              <w:bottom w:val="nil"/>
            </w:tcBorders>
            <w:vAlign w:val="top"/>
          </w:tcPr>
          <w:p w14:paraId="5D6CEBFC">
            <w:pPr>
              <w:spacing w:line="285" w:lineRule="auto"/>
              <w:rPr>
                <w:rFonts w:ascii="Arial"/>
                <w:sz w:val="21"/>
              </w:rPr>
            </w:pPr>
          </w:p>
          <w:p w14:paraId="23FE6962">
            <w:pPr>
              <w:spacing w:line="286" w:lineRule="auto"/>
              <w:rPr>
                <w:rFonts w:ascii="Arial"/>
                <w:sz w:val="21"/>
              </w:rPr>
            </w:pPr>
          </w:p>
          <w:p w14:paraId="51F56A74">
            <w:pPr>
              <w:spacing w:line="286" w:lineRule="auto"/>
              <w:rPr>
                <w:rFonts w:ascii="Arial"/>
                <w:sz w:val="21"/>
              </w:rPr>
            </w:pPr>
          </w:p>
          <w:p w14:paraId="4586A15C">
            <w:pPr>
              <w:pStyle w:val="51"/>
              <w:spacing w:before="56" w:line="227" w:lineRule="auto"/>
              <w:ind w:left="78"/>
              <w:rPr>
                <w:sz w:val="17"/>
                <w:szCs w:val="17"/>
              </w:rPr>
            </w:pPr>
            <w:r>
              <w:rPr>
                <w:spacing w:val="8"/>
                <w:sz w:val="17"/>
                <w:szCs w:val="17"/>
              </w:rPr>
              <w:t>浆果和其他小型水</w:t>
            </w:r>
          </w:p>
          <w:p w14:paraId="4A5701B7">
            <w:pPr>
              <w:pStyle w:val="51"/>
              <w:spacing w:before="90" w:line="228" w:lineRule="auto"/>
              <w:ind w:left="710"/>
              <w:rPr>
                <w:sz w:val="17"/>
                <w:szCs w:val="17"/>
              </w:rPr>
            </w:pPr>
            <w:r>
              <w:rPr>
                <w:sz w:val="17"/>
                <w:szCs w:val="17"/>
              </w:rPr>
              <w:t>果</w:t>
            </w:r>
          </w:p>
        </w:tc>
        <w:tc>
          <w:tcPr>
            <w:tcW w:w="1586" w:type="dxa"/>
            <w:vAlign w:val="top"/>
          </w:tcPr>
          <w:p w14:paraId="4D9F8E12">
            <w:pPr>
              <w:pStyle w:val="51"/>
              <w:spacing w:before="239" w:line="230" w:lineRule="auto"/>
              <w:ind w:left="623"/>
              <w:rPr>
                <w:sz w:val="17"/>
                <w:szCs w:val="17"/>
              </w:rPr>
            </w:pPr>
            <w:r>
              <w:rPr>
                <w:spacing w:val="2"/>
                <w:sz w:val="17"/>
                <w:szCs w:val="17"/>
              </w:rPr>
              <w:t>葡萄</w:t>
            </w:r>
          </w:p>
        </w:tc>
        <w:tc>
          <w:tcPr>
            <w:tcW w:w="682" w:type="dxa"/>
            <w:vAlign w:val="top"/>
          </w:tcPr>
          <w:p w14:paraId="08F68ECF">
            <w:pPr>
              <w:pStyle w:val="51"/>
              <w:spacing w:before="239" w:line="227" w:lineRule="auto"/>
              <w:ind w:left="170"/>
              <w:rPr>
                <w:sz w:val="17"/>
                <w:szCs w:val="17"/>
              </w:rPr>
            </w:pPr>
            <w:r>
              <w:rPr>
                <w:spacing w:val="3"/>
                <w:sz w:val="17"/>
                <w:szCs w:val="17"/>
              </w:rPr>
              <w:t>较高</w:t>
            </w:r>
          </w:p>
        </w:tc>
        <w:tc>
          <w:tcPr>
            <w:tcW w:w="8563" w:type="dxa"/>
            <w:vAlign w:val="top"/>
          </w:tcPr>
          <w:p w14:paraId="607BD65E">
            <w:pPr>
              <w:pStyle w:val="51"/>
              <w:spacing w:before="88" w:line="275" w:lineRule="auto"/>
              <w:ind w:left="45" w:right="26" w:hanging="6"/>
              <w:rPr>
                <w:sz w:val="17"/>
                <w:szCs w:val="17"/>
              </w:rPr>
            </w:pPr>
            <w:r>
              <w:rPr>
                <w:spacing w:val="11"/>
                <w:sz w:val="17"/>
                <w:szCs w:val="17"/>
              </w:rPr>
              <w:t>苯醚甲环唑、己唑醇、氯氰菊酯和高效氯氰菊酯、霜霉威和霜霉威盐</w:t>
            </w:r>
            <w:r>
              <w:rPr>
                <w:spacing w:val="10"/>
                <w:sz w:val="17"/>
                <w:szCs w:val="17"/>
              </w:rPr>
              <w:t>酸盐、氧乐果、氯氟氰菊酯和高效氯氟</w:t>
            </w:r>
            <w:r>
              <w:rPr>
                <w:spacing w:val="9"/>
                <w:sz w:val="17"/>
                <w:szCs w:val="17"/>
              </w:rPr>
              <w:t>氰菊酯、氟虫腈、氯吡脲、联苯菊酯、氟唑菌酰胺、戊唑醇、腈苯唑</w:t>
            </w:r>
          </w:p>
        </w:tc>
      </w:tr>
      <w:tr w14:paraId="6878ED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59" w:type="dxa"/>
            <w:vMerge w:val="continue"/>
            <w:tcBorders>
              <w:top w:val="nil"/>
              <w:bottom w:val="nil"/>
            </w:tcBorders>
            <w:vAlign w:val="top"/>
          </w:tcPr>
          <w:p w14:paraId="5607F097">
            <w:pPr>
              <w:rPr>
                <w:rFonts w:ascii="Arial"/>
                <w:sz w:val="21"/>
              </w:rPr>
            </w:pPr>
          </w:p>
        </w:tc>
        <w:tc>
          <w:tcPr>
            <w:tcW w:w="942" w:type="dxa"/>
            <w:vMerge w:val="continue"/>
            <w:tcBorders>
              <w:top w:val="nil"/>
              <w:bottom w:val="nil"/>
            </w:tcBorders>
            <w:vAlign w:val="top"/>
          </w:tcPr>
          <w:p w14:paraId="1F3BF2CB">
            <w:pPr>
              <w:rPr>
                <w:rFonts w:ascii="Arial"/>
                <w:sz w:val="21"/>
              </w:rPr>
            </w:pPr>
          </w:p>
        </w:tc>
        <w:tc>
          <w:tcPr>
            <w:tcW w:w="1360" w:type="dxa"/>
            <w:vMerge w:val="continue"/>
            <w:tcBorders>
              <w:top w:val="nil"/>
              <w:bottom w:val="nil"/>
            </w:tcBorders>
            <w:vAlign w:val="top"/>
          </w:tcPr>
          <w:p w14:paraId="59B0C85B">
            <w:pPr>
              <w:rPr>
                <w:rFonts w:ascii="Arial"/>
                <w:sz w:val="21"/>
              </w:rPr>
            </w:pPr>
          </w:p>
        </w:tc>
        <w:tc>
          <w:tcPr>
            <w:tcW w:w="1581" w:type="dxa"/>
            <w:vMerge w:val="continue"/>
            <w:tcBorders>
              <w:top w:val="nil"/>
              <w:bottom w:val="nil"/>
            </w:tcBorders>
            <w:vAlign w:val="top"/>
          </w:tcPr>
          <w:p w14:paraId="70DE3CEF">
            <w:pPr>
              <w:rPr>
                <w:rFonts w:ascii="Arial"/>
                <w:sz w:val="21"/>
              </w:rPr>
            </w:pPr>
          </w:p>
        </w:tc>
        <w:tc>
          <w:tcPr>
            <w:tcW w:w="1586" w:type="dxa"/>
            <w:vAlign w:val="top"/>
          </w:tcPr>
          <w:p w14:paraId="6F674200">
            <w:pPr>
              <w:pStyle w:val="51"/>
              <w:spacing w:before="108" w:line="228" w:lineRule="auto"/>
              <w:ind w:left="623"/>
              <w:rPr>
                <w:sz w:val="17"/>
                <w:szCs w:val="17"/>
              </w:rPr>
            </w:pPr>
            <w:r>
              <w:rPr>
                <w:spacing w:val="2"/>
                <w:sz w:val="17"/>
                <w:szCs w:val="17"/>
              </w:rPr>
              <w:t>草莓</w:t>
            </w:r>
          </w:p>
        </w:tc>
        <w:tc>
          <w:tcPr>
            <w:tcW w:w="682" w:type="dxa"/>
            <w:vAlign w:val="top"/>
          </w:tcPr>
          <w:p w14:paraId="1FA10A9E">
            <w:pPr>
              <w:pStyle w:val="51"/>
              <w:spacing w:before="109" w:line="227" w:lineRule="auto"/>
              <w:ind w:left="170"/>
              <w:rPr>
                <w:sz w:val="17"/>
                <w:szCs w:val="17"/>
              </w:rPr>
            </w:pPr>
            <w:r>
              <w:rPr>
                <w:spacing w:val="3"/>
                <w:sz w:val="17"/>
                <w:szCs w:val="17"/>
              </w:rPr>
              <w:t>较高</w:t>
            </w:r>
          </w:p>
        </w:tc>
        <w:tc>
          <w:tcPr>
            <w:tcW w:w="8563" w:type="dxa"/>
            <w:vAlign w:val="top"/>
          </w:tcPr>
          <w:p w14:paraId="64763582">
            <w:pPr>
              <w:pStyle w:val="51"/>
              <w:spacing w:before="108" w:line="226" w:lineRule="auto"/>
              <w:ind w:left="49"/>
              <w:rPr>
                <w:sz w:val="17"/>
                <w:szCs w:val="17"/>
              </w:rPr>
            </w:pPr>
            <w:r>
              <w:rPr>
                <w:spacing w:val="9"/>
                <w:sz w:val="17"/>
                <w:szCs w:val="17"/>
              </w:rPr>
              <w:t>阿维菌素、多菌灵、克百威、烯酰吗啉、氧乐果、戊菌唑、吡虫啉、乙酰甲胺磷</w:t>
            </w:r>
          </w:p>
        </w:tc>
      </w:tr>
      <w:tr w14:paraId="10281E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59" w:type="dxa"/>
            <w:vMerge w:val="continue"/>
            <w:tcBorders>
              <w:top w:val="nil"/>
              <w:bottom w:val="nil"/>
            </w:tcBorders>
            <w:vAlign w:val="top"/>
          </w:tcPr>
          <w:p w14:paraId="13E84936">
            <w:pPr>
              <w:rPr>
                <w:rFonts w:ascii="Arial"/>
                <w:sz w:val="21"/>
              </w:rPr>
            </w:pPr>
          </w:p>
        </w:tc>
        <w:tc>
          <w:tcPr>
            <w:tcW w:w="942" w:type="dxa"/>
            <w:vMerge w:val="continue"/>
            <w:tcBorders>
              <w:top w:val="nil"/>
              <w:bottom w:val="nil"/>
            </w:tcBorders>
            <w:vAlign w:val="top"/>
          </w:tcPr>
          <w:p w14:paraId="3026711B">
            <w:pPr>
              <w:rPr>
                <w:rFonts w:ascii="Arial"/>
                <w:sz w:val="21"/>
              </w:rPr>
            </w:pPr>
          </w:p>
        </w:tc>
        <w:tc>
          <w:tcPr>
            <w:tcW w:w="1360" w:type="dxa"/>
            <w:vMerge w:val="continue"/>
            <w:tcBorders>
              <w:top w:val="nil"/>
              <w:bottom w:val="nil"/>
            </w:tcBorders>
            <w:vAlign w:val="top"/>
          </w:tcPr>
          <w:p w14:paraId="3EE67F06">
            <w:pPr>
              <w:rPr>
                <w:rFonts w:ascii="Arial"/>
                <w:sz w:val="21"/>
              </w:rPr>
            </w:pPr>
          </w:p>
        </w:tc>
        <w:tc>
          <w:tcPr>
            <w:tcW w:w="1581" w:type="dxa"/>
            <w:vMerge w:val="continue"/>
            <w:tcBorders>
              <w:top w:val="nil"/>
              <w:bottom w:val="nil"/>
            </w:tcBorders>
            <w:vAlign w:val="top"/>
          </w:tcPr>
          <w:p w14:paraId="411DA3A0">
            <w:pPr>
              <w:rPr>
                <w:rFonts w:ascii="Arial"/>
                <w:sz w:val="21"/>
              </w:rPr>
            </w:pPr>
          </w:p>
        </w:tc>
        <w:tc>
          <w:tcPr>
            <w:tcW w:w="1586" w:type="dxa"/>
            <w:vAlign w:val="top"/>
          </w:tcPr>
          <w:p w14:paraId="54161E86">
            <w:pPr>
              <w:pStyle w:val="51"/>
              <w:spacing w:before="109" w:line="229" w:lineRule="auto"/>
              <w:ind w:left="531"/>
              <w:rPr>
                <w:sz w:val="17"/>
                <w:szCs w:val="17"/>
              </w:rPr>
            </w:pPr>
            <w:r>
              <w:rPr>
                <w:spacing w:val="6"/>
                <w:sz w:val="17"/>
                <w:szCs w:val="17"/>
              </w:rPr>
              <w:t>猕猴桃</w:t>
            </w:r>
          </w:p>
        </w:tc>
        <w:tc>
          <w:tcPr>
            <w:tcW w:w="682" w:type="dxa"/>
            <w:vAlign w:val="top"/>
          </w:tcPr>
          <w:p w14:paraId="090DDB47">
            <w:pPr>
              <w:pStyle w:val="51"/>
              <w:spacing w:before="109" w:line="227" w:lineRule="auto"/>
              <w:ind w:left="170"/>
              <w:rPr>
                <w:sz w:val="17"/>
                <w:szCs w:val="17"/>
              </w:rPr>
            </w:pPr>
            <w:r>
              <w:rPr>
                <w:spacing w:val="3"/>
                <w:sz w:val="17"/>
                <w:szCs w:val="17"/>
              </w:rPr>
              <w:t>较高</w:t>
            </w:r>
          </w:p>
        </w:tc>
        <w:tc>
          <w:tcPr>
            <w:tcW w:w="8563" w:type="dxa"/>
            <w:vAlign w:val="top"/>
          </w:tcPr>
          <w:p w14:paraId="51566D09">
            <w:pPr>
              <w:pStyle w:val="51"/>
              <w:spacing w:before="109" w:line="228" w:lineRule="auto"/>
              <w:ind w:left="37"/>
              <w:rPr>
                <w:sz w:val="17"/>
                <w:szCs w:val="17"/>
              </w:rPr>
            </w:pPr>
            <w:r>
              <w:rPr>
                <w:spacing w:val="8"/>
                <w:sz w:val="17"/>
                <w:szCs w:val="17"/>
              </w:rPr>
              <w:t>敌敌畏、多菌灵、氯吡脲、氧乐果、吡唑醚菌酯</w:t>
            </w:r>
          </w:p>
        </w:tc>
      </w:tr>
      <w:tr w14:paraId="2D08C2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59" w:type="dxa"/>
            <w:vMerge w:val="continue"/>
            <w:tcBorders>
              <w:top w:val="nil"/>
              <w:bottom w:val="nil"/>
            </w:tcBorders>
            <w:vAlign w:val="top"/>
          </w:tcPr>
          <w:p w14:paraId="37870348">
            <w:pPr>
              <w:rPr>
                <w:rFonts w:ascii="Arial"/>
                <w:sz w:val="21"/>
              </w:rPr>
            </w:pPr>
          </w:p>
        </w:tc>
        <w:tc>
          <w:tcPr>
            <w:tcW w:w="942" w:type="dxa"/>
            <w:vMerge w:val="continue"/>
            <w:tcBorders>
              <w:top w:val="nil"/>
              <w:bottom w:val="nil"/>
            </w:tcBorders>
            <w:vAlign w:val="top"/>
          </w:tcPr>
          <w:p w14:paraId="546F2C23">
            <w:pPr>
              <w:rPr>
                <w:rFonts w:ascii="Arial"/>
                <w:sz w:val="21"/>
              </w:rPr>
            </w:pPr>
          </w:p>
        </w:tc>
        <w:tc>
          <w:tcPr>
            <w:tcW w:w="1360" w:type="dxa"/>
            <w:vMerge w:val="continue"/>
            <w:tcBorders>
              <w:top w:val="nil"/>
              <w:bottom w:val="nil"/>
            </w:tcBorders>
            <w:vAlign w:val="top"/>
          </w:tcPr>
          <w:p w14:paraId="4CC6F76C">
            <w:pPr>
              <w:rPr>
                <w:rFonts w:ascii="Arial"/>
                <w:sz w:val="21"/>
              </w:rPr>
            </w:pPr>
          </w:p>
        </w:tc>
        <w:tc>
          <w:tcPr>
            <w:tcW w:w="1581" w:type="dxa"/>
            <w:vMerge w:val="continue"/>
            <w:tcBorders>
              <w:top w:val="nil"/>
              <w:bottom w:val="nil"/>
            </w:tcBorders>
            <w:vAlign w:val="top"/>
          </w:tcPr>
          <w:p w14:paraId="36053926">
            <w:pPr>
              <w:rPr>
                <w:rFonts w:ascii="Arial"/>
                <w:sz w:val="21"/>
              </w:rPr>
            </w:pPr>
          </w:p>
        </w:tc>
        <w:tc>
          <w:tcPr>
            <w:tcW w:w="1586" w:type="dxa"/>
            <w:vAlign w:val="top"/>
          </w:tcPr>
          <w:p w14:paraId="22123501">
            <w:pPr>
              <w:pStyle w:val="51"/>
              <w:spacing w:before="88" w:line="226" w:lineRule="auto"/>
              <w:ind w:left="174"/>
              <w:rPr>
                <w:sz w:val="17"/>
                <w:szCs w:val="17"/>
              </w:rPr>
            </w:pPr>
            <w:r>
              <w:rPr>
                <w:spacing w:val="6"/>
                <w:sz w:val="17"/>
                <w:szCs w:val="17"/>
              </w:rPr>
              <w:t>西番莲(百香果)</w:t>
            </w:r>
          </w:p>
        </w:tc>
        <w:tc>
          <w:tcPr>
            <w:tcW w:w="682" w:type="dxa"/>
            <w:vAlign w:val="top"/>
          </w:tcPr>
          <w:p w14:paraId="74308395">
            <w:pPr>
              <w:pStyle w:val="51"/>
              <w:spacing w:before="110" w:line="227" w:lineRule="auto"/>
              <w:ind w:left="170"/>
              <w:rPr>
                <w:sz w:val="17"/>
                <w:szCs w:val="17"/>
              </w:rPr>
            </w:pPr>
            <w:r>
              <w:rPr>
                <w:spacing w:val="3"/>
                <w:sz w:val="17"/>
                <w:szCs w:val="17"/>
              </w:rPr>
              <w:t>较高</w:t>
            </w:r>
          </w:p>
        </w:tc>
        <w:tc>
          <w:tcPr>
            <w:tcW w:w="8563" w:type="dxa"/>
            <w:vAlign w:val="top"/>
          </w:tcPr>
          <w:p w14:paraId="2E44078B">
            <w:pPr>
              <w:pStyle w:val="51"/>
              <w:spacing w:before="109" w:line="223" w:lineRule="auto"/>
              <w:ind w:left="38"/>
              <w:rPr>
                <w:sz w:val="17"/>
                <w:szCs w:val="17"/>
              </w:rPr>
            </w:pPr>
            <w:r>
              <w:rPr>
                <w:spacing w:val="9"/>
                <w:sz w:val="17"/>
                <w:szCs w:val="17"/>
              </w:rPr>
              <w:t>镉(以</w:t>
            </w:r>
            <w:r>
              <w:rPr>
                <w:sz w:val="17"/>
                <w:szCs w:val="17"/>
              </w:rPr>
              <w:t>Cd</w:t>
            </w:r>
            <w:r>
              <w:rPr>
                <w:spacing w:val="9"/>
                <w:sz w:val="17"/>
                <w:szCs w:val="17"/>
              </w:rPr>
              <w:t>计)、苯醚甲环唑、噻虫胺、戊唑醇、氧乐果、乙酰甲胺磷</w:t>
            </w:r>
          </w:p>
        </w:tc>
      </w:tr>
      <w:tr w14:paraId="3D7240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459" w:type="dxa"/>
            <w:vMerge w:val="continue"/>
            <w:tcBorders>
              <w:top w:val="nil"/>
              <w:bottom w:val="nil"/>
            </w:tcBorders>
            <w:vAlign w:val="top"/>
          </w:tcPr>
          <w:p w14:paraId="3552251D">
            <w:pPr>
              <w:rPr>
                <w:rFonts w:ascii="Arial"/>
                <w:sz w:val="21"/>
              </w:rPr>
            </w:pPr>
          </w:p>
        </w:tc>
        <w:tc>
          <w:tcPr>
            <w:tcW w:w="942" w:type="dxa"/>
            <w:vMerge w:val="continue"/>
            <w:tcBorders>
              <w:top w:val="nil"/>
              <w:bottom w:val="nil"/>
            </w:tcBorders>
            <w:vAlign w:val="top"/>
          </w:tcPr>
          <w:p w14:paraId="2D1679CF">
            <w:pPr>
              <w:rPr>
                <w:rFonts w:ascii="Arial"/>
                <w:sz w:val="21"/>
              </w:rPr>
            </w:pPr>
          </w:p>
        </w:tc>
        <w:tc>
          <w:tcPr>
            <w:tcW w:w="1360" w:type="dxa"/>
            <w:vMerge w:val="continue"/>
            <w:tcBorders>
              <w:top w:val="nil"/>
              <w:bottom w:val="nil"/>
            </w:tcBorders>
            <w:vAlign w:val="top"/>
          </w:tcPr>
          <w:p w14:paraId="7C967281">
            <w:pPr>
              <w:rPr>
                <w:rFonts w:ascii="Arial"/>
                <w:sz w:val="21"/>
              </w:rPr>
            </w:pPr>
          </w:p>
        </w:tc>
        <w:tc>
          <w:tcPr>
            <w:tcW w:w="1581" w:type="dxa"/>
            <w:vMerge w:val="continue"/>
            <w:tcBorders>
              <w:top w:val="nil"/>
            </w:tcBorders>
            <w:vAlign w:val="top"/>
          </w:tcPr>
          <w:p w14:paraId="20498355">
            <w:pPr>
              <w:rPr>
                <w:rFonts w:ascii="Arial"/>
                <w:sz w:val="21"/>
              </w:rPr>
            </w:pPr>
          </w:p>
        </w:tc>
        <w:tc>
          <w:tcPr>
            <w:tcW w:w="1586" w:type="dxa"/>
            <w:vAlign w:val="top"/>
          </w:tcPr>
          <w:p w14:paraId="287B2A9B">
            <w:pPr>
              <w:pStyle w:val="51"/>
              <w:spacing w:before="239" w:line="228" w:lineRule="auto"/>
              <w:ind w:left="626"/>
              <w:rPr>
                <w:sz w:val="17"/>
                <w:szCs w:val="17"/>
              </w:rPr>
            </w:pPr>
            <w:r>
              <w:rPr>
                <w:spacing w:val="1"/>
                <w:sz w:val="17"/>
                <w:szCs w:val="17"/>
              </w:rPr>
              <w:t>桑葚</w:t>
            </w:r>
          </w:p>
        </w:tc>
        <w:tc>
          <w:tcPr>
            <w:tcW w:w="682" w:type="dxa"/>
            <w:vAlign w:val="top"/>
          </w:tcPr>
          <w:p w14:paraId="6E296100">
            <w:pPr>
              <w:pStyle w:val="51"/>
              <w:spacing w:before="240" w:line="227" w:lineRule="auto"/>
              <w:ind w:left="170"/>
              <w:rPr>
                <w:sz w:val="17"/>
                <w:szCs w:val="17"/>
              </w:rPr>
            </w:pPr>
            <w:r>
              <w:rPr>
                <w:spacing w:val="3"/>
                <w:sz w:val="17"/>
                <w:szCs w:val="17"/>
              </w:rPr>
              <w:t>较高</w:t>
            </w:r>
          </w:p>
        </w:tc>
        <w:tc>
          <w:tcPr>
            <w:tcW w:w="8563" w:type="dxa"/>
            <w:vAlign w:val="top"/>
          </w:tcPr>
          <w:p w14:paraId="07C03322">
            <w:pPr>
              <w:pStyle w:val="51"/>
              <w:spacing w:before="88" w:line="275" w:lineRule="auto"/>
              <w:ind w:left="37" w:right="26"/>
              <w:rPr>
                <w:sz w:val="17"/>
                <w:szCs w:val="17"/>
              </w:rPr>
            </w:pPr>
            <w:r>
              <w:rPr>
                <w:spacing w:val="5"/>
                <w:sz w:val="17"/>
                <w:szCs w:val="17"/>
              </w:rPr>
              <w:t>脱氢乙酸及其钠盐(以脱氢乙酸计)、苯甲酸及其钠盐(以苯甲酸计)、山梨酸及其钾盐</w:t>
            </w:r>
            <w:r>
              <w:rPr>
                <w:spacing w:val="4"/>
                <w:sz w:val="17"/>
                <w:szCs w:val="17"/>
              </w:rPr>
              <w:t>(以山梨酸计)、糖精钠(以</w:t>
            </w:r>
            <w:r>
              <w:rPr>
                <w:spacing w:val="9"/>
                <w:sz w:val="17"/>
                <w:szCs w:val="17"/>
              </w:rPr>
              <w:t>糖精计)、三氯蔗糖、甜蜜素(以环己基氨基磺酸计)、多菌灵、氯氟氰菊酯和高效氯氟氰菊酯、纽甜</w:t>
            </w:r>
          </w:p>
        </w:tc>
      </w:tr>
      <w:tr w14:paraId="6CA666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459" w:type="dxa"/>
            <w:vMerge w:val="continue"/>
            <w:tcBorders>
              <w:top w:val="nil"/>
              <w:bottom w:val="nil"/>
            </w:tcBorders>
            <w:vAlign w:val="top"/>
          </w:tcPr>
          <w:p w14:paraId="18BBE99B">
            <w:pPr>
              <w:rPr>
                <w:rFonts w:ascii="Arial"/>
                <w:sz w:val="21"/>
              </w:rPr>
            </w:pPr>
          </w:p>
        </w:tc>
        <w:tc>
          <w:tcPr>
            <w:tcW w:w="942" w:type="dxa"/>
            <w:vMerge w:val="continue"/>
            <w:tcBorders>
              <w:top w:val="nil"/>
              <w:bottom w:val="nil"/>
            </w:tcBorders>
            <w:vAlign w:val="top"/>
          </w:tcPr>
          <w:p w14:paraId="34274445">
            <w:pPr>
              <w:rPr>
                <w:rFonts w:ascii="Arial"/>
                <w:sz w:val="21"/>
              </w:rPr>
            </w:pPr>
          </w:p>
        </w:tc>
        <w:tc>
          <w:tcPr>
            <w:tcW w:w="1360" w:type="dxa"/>
            <w:vMerge w:val="continue"/>
            <w:tcBorders>
              <w:top w:val="nil"/>
              <w:bottom w:val="nil"/>
            </w:tcBorders>
            <w:vAlign w:val="top"/>
          </w:tcPr>
          <w:p w14:paraId="526C662B">
            <w:pPr>
              <w:rPr>
                <w:rFonts w:ascii="Arial"/>
                <w:sz w:val="21"/>
              </w:rPr>
            </w:pPr>
          </w:p>
        </w:tc>
        <w:tc>
          <w:tcPr>
            <w:tcW w:w="1581" w:type="dxa"/>
            <w:vMerge w:val="restart"/>
            <w:tcBorders>
              <w:bottom w:val="nil"/>
            </w:tcBorders>
            <w:vAlign w:val="top"/>
          </w:tcPr>
          <w:p w14:paraId="320030E7">
            <w:pPr>
              <w:spacing w:line="253" w:lineRule="auto"/>
              <w:rPr>
                <w:rFonts w:ascii="Arial"/>
                <w:sz w:val="21"/>
              </w:rPr>
            </w:pPr>
          </w:p>
          <w:p w14:paraId="3C71E74E">
            <w:pPr>
              <w:spacing w:line="253" w:lineRule="auto"/>
              <w:rPr>
                <w:rFonts w:ascii="Arial"/>
                <w:sz w:val="21"/>
              </w:rPr>
            </w:pPr>
          </w:p>
          <w:p w14:paraId="311394D4">
            <w:pPr>
              <w:spacing w:line="253" w:lineRule="auto"/>
              <w:rPr>
                <w:rFonts w:ascii="Arial"/>
                <w:sz w:val="21"/>
              </w:rPr>
            </w:pPr>
          </w:p>
          <w:p w14:paraId="5E5C37F8">
            <w:pPr>
              <w:spacing w:line="253" w:lineRule="auto"/>
              <w:rPr>
                <w:rFonts w:ascii="Arial"/>
                <w:sz w:val="21"/>
              </w:rPr>
            </w:pPr>
          </w:p>
          <w:p w14:paraId="0A3FAC5A">
            <w:pPr>
              <w:spacing w:line="253" w:lineRule="auto"/>
              <w:rPr>
                <w:rFonts w:ascii="Arial"/>
                <w:sz w:val="21"/>
              </w:rPr>
            </w:pPr>
          </w:p>
          <w:p w14:paraId="5DA913CC">
            <w:pPr>
              <w:pStyle w:val="51"/>
              <w:spacing w:before="55" w:line="226" w:lineRule="auto"/>
              <w:ind w:left="80"/>
              <w:rPr>
                <w:sz w:val="17"/>
                <w:szCs w:val="17"/>
              </w:rPr>
            </w:pPr>
            <w:r>
              <w:rPr>
                <w:spacing w:val="8"/>
                <w:sz w:val="17"/>
                <w:szCs w:val="17"/>
              </w:rPr>
              <w:t>热带和亚热带水果</w:t>
            </w:r>
          </w:p>
        </w:tc>
        <w:tc>
          <w:tcPr>
            <w:tcW w:w="1586" w:type="dxa"/>
            <w:vAlign w:val="top"/>
          </w:tcPr>
          <w:p w14:paraId="51A50D4D">
            <w:pPr>
              <w:pStyle w:val="51"/>
              <w:spacing w:before="239" w:line="229" w:lineRule="auto"/>
              <w:ind w:left="622"/>
              <w:rPr>
                <w:sz w:val="17"/>
                <w:szCs w:val="17"/>
              </w:rPr>
            </w:pPr>
            <w:r>
              <w:rPr>
                <w:spacing w:val="3"/>
                <w:sz w:val="17"/>
                <w:szCs w:val="17"/>
              </w:rPr>
              <w:t>香蕉</w:t>
            </w:r>
          </w:p>
        </w:tc>
        <w:tc>
          <w:tcPr>
            <w:tcW w:w="682" w:type="dxa"/>
            <w:vAlign w:val="top"/>
          </w:tcPr>
          <w:p w14:paraId="16587938">
            <w:pPr>
              <w:pStyle w:val="51"/>
              <w:spacing w:before="239" w:line="227" w:lineRule="auto"/>
              <w:ind w:left="170"/>
              <w:rPr>
                <w:sz w:val="17"/>
                <w:szCs w:val="17"/>
              </w:rPr>
            </w:pPr>
            <w:r>
              <w:rPr>
                <w:spacing w:val="3"/>
                <w:sz w:val="17"/>
                <w:szCs w:val="17"/>
              </w:rPr>
              <w:t>较高</w:t>
            </w:r>
          </w:p>
        </w:tc>
        <w:tc>
          <w:tcPr>
            <w:tcW w:w="8563" w:type="dxa"/>
            <w:vAlign w:val="top"/>
          </w:tcPr>
          <w:p w14:paraId="6440E82D">
            <w:pPr>
              <w:pStyle w:val="51"/>
              <w:spacing w:before="87" w:line="275" w:lineRule="auto"/>
              <w:ind w:left="40" w:right="60" w:hanging="1"/>
              <w:rPr>
                <w:sz w:val="17"/>
                <w:szCs w:val="17"/>
              </w:rPr>
            </w:pPr>
            <w:r>
              <w:rPr>
                <w:spacing w:val="10"/>
                <w:sz w:val="17"/>
                <w:szCs w:val="17"/>
              </w:rPr>
              <w:t>苯醚甲环唑、吡唑醚菌酯、氟虫腈、腈苯唑、吡虫啉、噻虫胺、噻虫嗪、联苯菊酯、百菌清、氟唑</w:t>
            </w:r>
            <w:r>
              <w:rPr>
                <w:spacing w:val="9"/>
                <w:sz w:val="17"/>
                <w:szCs w:val="17"/>
              </w:rPr>
              <w:t>菌酰胺、氧乐果、氯氟氰菊酯和高效氯氟氰菊酯</w:t>
            </w:r>
          </w:p>
        </w:tc>
      </w:tr>
      <w:tr w14:paraId="79C8E6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459" w:type="dxa"/>
            <w:vMerge w:val="continue"/>
            <w:tcBorders>
              <w:top w:val="nil"/>
              <w:bottom w:val="nil"/>
            </w:tcBorders>
            <w:vAlign w:val="top"/>
          </w:tcPr>
          <w:p w14:paraId="4DF110EB">
            <w:pPr>
              <w:rPr>
                <w:rFonts w:ascii="Arial"/>
                <w:sz w:val="21"/>
              </w:rPr>
            </w:pPr>
          </w:p>
        </w:tc>
        <w:tc>
          <w:tcPr>
            <w:tcW w:w="942" w:type="dxa"/>
            <w:vMerge w:val="continue"/>
            <w:tcBorders>
              <w:top w:val="nil"/>
              <w:bottom w:val="nil"/>
            </w:tcBorders>
            <w:vAlign w:val="top"/>
          </w:tcPr>
          <w:p w14:paraId="6B9F0749">
            <w:pPr>
              <w:rPr>
                <w:rFonts w:ascii="Arial"/>
                <w:sz w:val="21"/>
              </w:rPr>
            </w:pPr>
          </w:p>
        </w:tc>
        <w:tc>
          <w:tcPr>
            <w:tcW w:w="1360" w:type="dxa"/>
            <w:vMerge w:val="continue"/>
            <w:tcBorders>
              <w:top w:val="nil"/>
              <w:bottom w:val="nil"/>
            </w:tcBorders>
            <w:vAlign w:val="top"/>
          </w:tcPr>
          <w:p w14:paraId="20CD1804">
            <w:pPr>
              <w:rPr>
                <w:rFonts w:ascii="Arial"/>
                <w:sz w:val="21"/>
              </w:rPr>
            </w:pPr>
          </w:p>
        </w:tc>
        <w:tc>
          <w:tcPr>
            <w:tcW w:w="1581" w:type="dxa"/>
            <w:vMerge w:val="continue"/>
            <w:tcBorders>
              <w:top w:val="nil"/>
              <w:bottom w:val="nil"/>
            </w:tcBorders>
            <w:vAlign w:val="top"/>
          </w:tcPr>
          <w:p w14:paraId="5EA33684">
            <w:pPr>
              <w:rPr>
                <w:rFonts w:ascii="Arial"/>
                <w:sz w:val="21"/>
              </w:rPr>
            </w:pPr>
          </w:p>
        </w:tc>
        <w:tc>
          <w:tcPr>
            <w:tcW w:w="1586" w:type="dxa"/>
            <w:vAlign w:val="top"/>
          </w:tcPr>
          <w:p w14:paraId="574C7FA9">
            <w:pPr>
              <w:pStyle w:val="51"/>
              <w:spacing w:before="239" w:line="228" w:lineRule="auto"/>
              <w:ind w:left="626"/>
              <w:rPr>
                <w:sz w:val="17"/>
                <w:szCs w:val="17"/>
              </w:rPr>
            </w:pPr>
            <w:r>
              <w:rPr>
                <w:spacing w:val="1"/>
                <w:sz w:val="17"/>
                <w:szCs w:val="17"/>
              </w:rPr>
              <w:t>芒果</w:t>
            </w:r>
          </w:p>
        </w:tc>
        <w:tc>
          <w:tcPr>
            <w:tcW w:w="682" w:type="dxa"/>
            <w:vAlign w:val="top"/>
          </w:tcPr>
          <w:p w14:paraId="47B6837F">
            <w:pPr>
              <w:pStyle w:val="51"/>
              <w:spacing w:before="240" w:line="227" w:lineRule="auto"/>
              <w:ind w:left="170"/>
              <w:rPr>
                <w:sz w:val="17"/>
                <w:szCs w:val="17"/>
              </w:rPr>
            </w:pPr>
            <w:r>
              <w:rPr>
                <w:spacing w:val="3"/>
                <w:sz w:val="17"/>
                <w:szCs w:val="17"/>
              </w:rPr>
              <w:t>较高</w:t>
            </w:r>
          </w:p>
        </w:tc>
        <w:tc>
          <w:tcPr>
            <w:tcW w:w="8563" w:type="dxa"/>
            <w:vAlign w:val="top"/>
          </w:tcPr>
          <w:p w14:paraId="7269B64A">
            <w:pPr>
              <w:pStyle w:val="51"/>
              <w:spacing w:before="89" w:line="274" w:lineRule="auto"/>
              <w:ind w:left="37" w:right="28" w:firstLine="11"/>
              <w:rPr>
                <w:sz w:val="17"/>
                <w:szCs w:val="17"/>
              </w:rPr>
            </w:pPr>
            <w:r>
              <w:rPr>
                <w:spacing w:val="9"/>
                <w:sz w:val="17"/>
                <w:szCs w:val="17"/>
              </w:rPr>
              <w:t>苯醚甲环唑、戊唑醇、氧乐果、吡唑醚菌酯、噻虫胺、乙酰甲胺磷、吡虫啉、噻虫嗪、噻嗪酮、</w:t>
            </w:r>
            <w:r>
              <w:rPr>
                <w:spacing w:val="-20"/>
                <w:sz w:val="17"/>
                <w:szCs w:val="17"/>
              </w:rPr>
              <w:t xml:space="preserve"> </w:t>
            </w:r>
            <w:r>
              <w:rPr>
                <w:spacing w:val="9"/>
                <w:sz w:val="17"/>
                <w:szCs w:val="17"/>
              </w:rPr>
              <w:t>氯氟氰菊酯</w:t>
            </w:r>
            <w:r>
              <w:rPr>
                <w:spacing w:val="8"/>
                <w:sz w:val="17"/>
                <w:szCs w:val="17"/>
              </w:rPr>
              <w:t>和高效氯氟氰菊酯</w:t>
            </w:r>
          </w:p>
        </w:tc>
      </w:tr>
      <w:tr w14:paraId="5F361E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59" w:type="dxa"/>
            <w:vMerge w:val="continue"/>
            <w:tcBorders>
              <w:top w:val="nil"/>
              <w:bottom w:val="nil"/>
            </w:tcBorders>
            <w:vAlign w:val="top"/>
          </w:tcPr>
          <w:p w14:paraId="2B4348A7">
            <w:pPr>
              <w:rPr>
                <w:rFonts w:ascii="Arial"/>
                <w:sz w:val="21"/>
              </w:rPr>
            </w:pPr>
          </w:p>
        </w:tc>
        <w:tc>
          <w:tcPr>
            <w:tcW w:w="942" w:type="dxa"/>
            <w:vMerge w:val="continue"/>
            <w:tcBorders>
              <w:top w:val="nil"/>
              <w:bottom w:val="nil"/>
            </w:tcBorders>
            <w:vAlign w:val="top"/>
          </w:tcPr>
          <w:p w14:paraId="32EFE05B">
            <w:pPr>
              <w:rPr>
                <w:rFonts w:ascii="Arial"/>
                <w:sz w:val="21"/>
              </w:rPr>
            </w:pPr>
          </w:p>
        </w:tc>
        <w:tc>
          <w:tcPr>
            <w:tcW w:w="1360" w:type="dxa"/>
            <w:vMerge w:val="continue"/>
            <w:tcBorders>
              <w:top w:val="nil"/>
              <w:bottom w:val="nil"/>
            </w:tcBorders>
            <w:vAlign w:val="top"/>
          </w:tcPr>
          <w:p w14:paraId="59D6CF6C">
            <w:pPr>
              <w:rPr>
                <w:rFonts w:ascii="Arial"/>
                <w:sz w:val="21"/>
              </w:rPr>
            </w:pPr>
          </w:p>
        </w:tc>
        <w:tc>
          <w:tcPr>
            <w:tcW w:w="1581" w:type="dxa"/>
            <w:vMerge w:val="continue"/>
            <w:tcBorders>
              <w:top w:val="nil"/>
              <w:bottom w:val="nil"/>
            </w:tcBorders>
            <w:vAlign w:val="top"/>
          </w:tcPr>
          <w:p w14:paraId="26998ACD">
            <w:pPr>
              <w:rPr>
                <w:rFonts w:ascii="Arial"/>
                <w:sz w:val="21"/>
              </w:rPr>
            </w:pPr>
          </w:p>
        </w:tc>
        <w:tc>
          <w:tcPr>
            <w:tcW w:w="1586" w:type="dxa"/>
            <w:vAlign w:val="top"/>
          </w:tcPr>
          <w:p w14:paraId="582936BC">
            <w:pPr>
              <w:pStyle w:val="51"/>
              <w:spacing w:before="110" w:line="228" w:lineRule="auto"/>
              <w:ind w:left="537"/>
              <w:rPr>
                <w:sz w:val="17"/>
                <w:szCs w:val="17"/>
              </w:rPr>
            </w:pPr>
            <w:r>
              <w:rPr>
                <w:spacing w:val="4"/>
                <w:sz w:val="17"/>
                <w:szCs w:val="17"/>
              </w:rPr>
              <w:t>火龙果</w:t>
            </w:r>
          </w:p>
        </w:tc>
        <w:tc>
          <w:tcPr>
            <w:tcW w:w="682" w:type="dxa"/>
            <w:vAlign w:val="top"/>
          </w:tcPr>
          <w:p w14:paraId="252D6B79">
            <w:pPr>
              <w:pStyle w:val="51"/>
              <w:spacing w:before="111" w:line="227" w:lineRule="auto"/>
              <w:ind w:left="170"/>
              <w:rPr>
                <w:sz w:val="17"/>
                <w:szCs w:val="17"/>
              </w:rPr>
            </w:pPr>
            <w:r>
              <w:rPr>
                <w:spacing w:val="3"/>
                <w:sz w:val="17"/>
                <w:szCs w:val="17"/>
              </w:rPr>
              <w:t>较高</w:t>
            </w:r>
          </w:p>
        </w:tc>
        <w:tc>
          <w:tcPr>
            <w:tcW w:w="8563" w:type="dxa"/>
            <w:vAlign w:val="top"/>
          </w:tcPr>
          <w:p w14:paraId="736193D1">
            <w:pPr>
              <w:pStyle w:val="51"/>
              <w:spacing w:before="91" w:line="226" w:lineRule="auto"/>
              <w:ind w:left="61"/>
              <w:rPr>
                <w:sz w:val="17"/>
                <w:szCs w:val="17"/>
              </w:rPr>
            </w:pPr>
            <w:r>
              <w:rPr>
                <w:spacing w:val="4"/>
                <w:sz w:val="17"/>
                <w:szCs w:val="17"/>
              </w:rPr>
              <w:t>甲胺磷、克百威、氧乐果、乙酰甲胺磷、噻虫嗪、</w:t>
            </w:r>
            <w:r>
              <w:rPr>
                <w:spacing w:val="64"/>
                <w:sz w:val="17"/>
                <w:szCs w:val="17"/>
              </w:rPr>
              <w:t xml:space="preserve"> </w:t>
            </w:r>
            <w:r>
              <w:rPr>
                <w:spacing w:val="4"/>
                <w:sz w:val="17"/>
                <w:szCs w:val="17"/>
              </w:rPr>
              <w:t>咪鲜胺和咪鲜胺锰盐</w:t>
            </w:r>
          </w:p>
        </w:tc>
      </w:tr>
      <w:tr w14:paraId="29BDE9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459" w:type="dxa"/>
            <w:vMerge w:val="continue"/>
            <w:tcBorders>
              <w:top w:val="nil"/>
              <w:bottom w:val="nil"/>
            </w:tcBorders>
            <w:vAlign w:val="top"/>
          </w:tcPr>
          <w:p w14:paraId="78E02332">
            <w:pPr>
              <w:rPr>
                <w:rFonts w:ascii="Arial"/>
                <w:sz w:val="21"/>
              </w:rPr>
            </w:pPr>
          </w:p>
        </w:tc>
        <w:tc>
          <w:tcPr>
            <w:tcW w:w="942" w:type="dxa"/>
            <w:vMerge w:val="continue"/>
            <w:tcBorders>
              <w:top w:val="nil"/>
              <w:bottom w:val="nil"/>
            </w:tcBorders>
            <w:vAlign w:val="top"/>
          </w:tcPr>
          <w:p w14:paraId="1190DAEA">
            <w:pPr>
              <w:rPr>
                <w:rFonts w:ascii="Arial"/>
                <w:sz w:val="21"/>
              </w:rPr>
            </w:pPr>
          </w:p>
        </w:tc>
        <w:tc>
          <w:tcPr>
            <w:tcW w:w="1360" w:type="dxa"/>
            <w:vMerge w:val="continue"/>
            <w:tcBorders>
              <w:top w:val="nil"/>
              <w:bottom w:val="nil"/>
            </w:tcBorders>
            <w:vAlign w:val="top"/>
          </w:tcPr>
          <w:p w14:paraId="6FC387F9">
            <w:pPr>
              <w:rPr>
                <w:rFonts w:ascii="Arial"/>
                <w:sz w:val="21"/>
              </w:rPr>
            </w:pPr>
          </w:p>
        </w:tc>
        <w:tc>
          <w:tcPr>
            <w:tcW w:w="1581" w:type="dxa"/>
            <w:vMerge w:val="continue"/>
            <w:tcBorders>
              <w:top w:val="nil"/>
              <w:bottom w:val="nil"/>
            </w:tcBorders>
            <w:vAlign w:val="top"/>
          </w:tcPr>
          <w:p w14:paraId="303821A2">
            <w:pPr>
              <w:rPr>
                <w:rFonts w:ascii="Arial"/>
                <w:sz w:val="21"/>
              </w:rPr>
            </w:pPr>
          </w:p>
        </w:tc>
        <w:tc>
          <w:tcPr>
            <w:tcW w:w="1586" w:type="dxa"/>
            <w:vAlign w:val="top"/>
          </w:tcPr>
          <w:p w14:paraId="10CCB257">
            <w:pPr>
              <w:pStyle w:val="51"/>
              <w:spacing w:before="241" w:line="225" w:lineRule="auto"/>
              <w:ind w:left="620"/>
              <w:rPr>
                <w:sz w:val="17"/>
                <w:szCs w:val="17"/>
              </w:rPr>
            </w:pPr>
            <w:r>
              <w:rPr>
                <w:spacing w:val="4"/>
                <w:sz w:val="17"/>
                <w:szCs w:val="17"/>
              </w:rPr>
              <w:t>荔枝</w:t>
            </w:r>
          </w:p>
        </w:tc>
        <w:tc>
          <w:tcPr>
            <w:tcW w:w="682" w:type="dxa"/>
            <w:vAlign w:val="top"/>
          </w:tcPr>
          <w:p w14:paraId="06A81538">
            <w:pPr>
              <w:pStyle w:val="51"/>
              <w:spacing w:before="241" w:line="227" w:lineRule="auto"/>
              <w:ind w:left="170"/>
              <w:rPr>
                <w:sz w:val="17"/>
                <w:szCs w:val="17"/>
              </w:rPr>
            </w:pPr>
            <w:r>
              <w:rPr>
                <w:spacing w:val="3"/>
                <w:sz w:val="17"/>
                <w:szCs w:val="17"/>
              </w:rPr>
              <w:t>较高</w:t>
            </w:r>
          </w:p>
        </w:tc>
        <w:tc>
          <w:tcPr>
            <w:tcW w:w="8563" w:type="dxa"/>
            <w:vAlign w:val="top"/>
          </w:tcPr>
          <w:p w14:paraId="67C55772">
            <w:pPr>
              <w:pStyle w:val="51"/>
              <w:spacing w:before="90" w:line="274" w:lineRule="auto"/>
              <w:ind w:left="41" w:right="28" w:firstLine="7"/>
              <w:rPr>
                <w:sz w:val="17"/>
                <w:szCs w:val="17"/>
              </w:rPr>
            </w:pPr>
            <w:r>
              <w:rPr>
                <w:spacing w:val="11"/>
                <w:sz w:val="17"/>
                <w:szCs w:val="17"/>
              </w:rPr>
              <w:t>多菌灵、氧乐果、毒死蜱、苯醚甲环唑、氯</w:t>
            </w:r>
            <w:r>
              <w:rPr>
                <w:spacing w:val="10"/>
                <w:sz w:val="17"/>
                <w:szCs w:val="17"/>
              </w:rPr>
              <w:t>氰菊酯和高效氯氰菊酯、氯氟氰菊酯和高效氯氟氰菊酯、吡唑醚</w:t>
            </w:r>
            <w:r>
              <w:rPr>
                <w:spacing w:val="9"/>
                <w:sz w:val="17"/>
                <w:szCs w:val="17"/>
              </w:rPr>
              <w:t>菌酯、除虫脲、氰霜唑、氟吗啉、咪鲜胺和咪鲜胺锰盐、乐果、溴氰菊酯</w:t>
            </w:r>
          </w:p>
        </w:tc>
      </w:tr>
      <w:tr w14:paraId="464DD5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7" w:hRule="atLeast"/>
        </w:trPr>
        <w:tc>
          <w:tcPr>
            <w:tcW w:w="459" w:type="dxa"/>
            <w:vMerge w:val="continue"/>
            <w:tcBorders>
              <w:top w:val="nil"/>
            </w:tcBorders>
            <w:vAlign w:val="top"/>
          </w:tcPr>
          <w:p w14:paraId="38E19869">
            <w:pPr>
              <w:rPr>
                <w:rFonts w:ascii="Arial"/>
                <w:sz w:val="21"/>
              </w:rPr>
            </w:pPr>
          </w:p>
        </w:tc>
        <w:tc>
          <w:tcPr>
            <w:tcW w:w="942" w:type="dxa"/>
            <w:vMerge w:val="continue"/>
            <w:tcBorders>
              <w:top w:val="nil"/>
            </w:tcBorders>
            <w:vAlign w:val="top"/>
          </w:tcPr>
          <w:p w14:paraId="1C1C3497">
            <w:pPr>
              <w:rPr>
                <w:rFonts w:ascii="Arial"/>
                <w:sz w:val="21"/>
              </w:rPr>
            </w:pPr>
          </w:p>
        </w:tc>
        <w:tc>
          <w:tcPr>
            <w:tcW w:w="1360" w:type="dxa"/>
            <w:vMerge w:val="continue"/>
            <w:tcBorders>
              <w:top w:val="nil"/>
            </w:tcBorders>
            <w:vAlign w:val="top"/>
          </w:tcPr>
          <w:p w14:paraId="5172D447">
            <w:pPr>
              <w:rPr>
                <w:rFonts w:ascii="Arial"/>
                <w:sz w:val="21"/>
              </w:rPr>
            </w:pPr>
          </w:p>
        </w:tc>
        <w:tc>
          <w:tcPr>
            <w:tcW w:w="1581" w:type="dxa"/>
            <w:vMerge w:val="continue"/>
            <w:tcBorders>
              <w:top w:val="nil"/>
            </w:tcBorders>
            <w:vAlign w:val="top"/>
          </w:tcPr>
          <w:p w14:paraId="0AD17CB2">
            <w:pPr>
              <w:rPr>
                <w:rFonts w:ascii="Arial"/>
                <w:sz w:val="21"/>
              </w:rPr>
            </w:pPr>
          </w:p>
        </w:tc>
        <w:tc>
          <w:tcPr>
            <w:tcW w:w="1586" w:type="dxa"/>
            <w:vAlign w:val="top"/>
          </w:tcPr>
          <w:p w14:paraId="5E2996B1">
            <w:pPr>
              <w:pStyle w:val="51"/>
              <w:spacing w:before="240" w:line="227" w:lineRule="auto"/>
              <w:ind w:left="622"/>
              <w:rPr>
                <w:sz w:val="17"/>
                <w:szCs w:val="17"/>
              </w:rPr>
            </w:pPr>
            <w:r>
              <w:rPr>
                <w:spacing w:val="3"/>
                <w:sz w:val="17"/>
                <w:szCs w:val="17"/>
              </w:rPr>
              <w:t>杨梅</w:t>
            </w:r>
          </w:p>
        </w:tc>
        <w:tc>
          <w:tcPr>
            <w:tcW w:w="682" w:type="dxa"/>
            <w:vAlign w:val="top"/>
          </w:tcPr>
          <w:p w14:paraId="40F7B677">
            <w:pPr>
              <w:pStyle w:val="51"/>
              <w:spacing w:before="240" w:line="227" w:lineRule="auto"/>
              <w:ind w:left="170"/>
              <w:rPr>
                <w:sz w:val="17"/>
                <w:szCs w:val="17"/>
              </w:rPr>
            </w:pPr>
            <w:r>
              <w:rPr>
                <w:spacing w:val="3"/>
                <w:sz w:val="17"/>
                <w:szCs w:val="17"/>
              </w:rPr>
              <w:t>较高</w:t>
            </w:r>
          </w:p>
        </w:tc>
        <w:tc>
          <w:tcPr>
            <w:tcW w:w="8563" w:type="dxa"/>
            <w:vAlign w:val="top"/>
          </w:tcPr>
          <w:p w14:paraId="074E0840">
            <w:pPr>
              <w:pStyle w:val="51"/>
              <w:spacing w:before="92" w:line="274" w:lineRule="auto"/>
              <w:ind w:left="37" w:right="26"/>
              <w:rPr>
                <w:sz w:val="17"/>
                <w:szCs w:val="17"/>
              </w:rPr>
            </w:pPr>
            <w:r>
              <w:rPr>
                <w:spacing w:val="5"/>
                <w:sz w:val="17"/>
                <w:szCs w:val="17"/>
              </w:rPr>
              <w:t>脱氢乙酸及其钠盐(以脱氢乙酸计)、山梨酸及其钾盐(以山梨酸计)、糖精钠(以糖精</w:t>
            </w:r>
            <w:r>
              <w:rPr>
                <w:spacing w:val="4"/>
                <w:sz w:val="17"/>
                <w:szCs w:val="17"/>
              </w:rPr>
              <w:t>计)、三氯蔗糖、甜蜜素(以</w:t>
            </w:r>
            <w:r>
              <w:rPr>
                <w:spacing w:val="5"/>
                <w:sz w:val="17"/>
                <w:szCs w:val="17"/>
              </w:rPr>
              <w:t>环己基氨基磺酸计)、氧乐果、啶虫脒、 阿维菌素、纽甜</w:t>
            </w:r>
          </w:p>
        </w:tc>
      </w:tr>
    </w:tbl>
    <w:p w14:paraId="1FFA0401">
      <w:pPr>
        <w:rPr>
          <w:rFonts w:ascii="Arial"/>
          <w:sz w:val="21"/>
        </w:rPr>
      </w:pPr>
    </w:p>
    <w:p w14:paraId="71201C2F">
      <w:pPr>
        <w:rPr>
          <w:rFonts w:ascii="Arial" w:hAnsi="Arial" w:eastAsia="Arial" w:cs="Arial"/>
          <w:sz w:val="21"/>
          <w:szCs w:val="21"/>
        </w:rPr>
        <w:sectPr>
          <w:pgSz w:w="16838" w:h="11906"/>
          <w:pgMar w:top="1011" w:right="829" w:bottom="400" w:left="363" w:header="567" w:footer="567" w:gutter="0"/>
          <w:pgNumType w:fmt="decimal"/>
          <w:cols w:space="720" w:num="1"/>
        </w:sectPr>
      </w:pPr>
    </w:p>
    <w:p w14:paraId="66A7D6E2">
      <w:pPr>
        <w:spacing w:before="18"/>
      </w:pPr>
    </w:p>
    <w:p w14:paraId="21F5E69D">
      <w:pPr>
        <w:spacing w:before="18"/>
      </w:pPr>
    </w:p>
    <w:tbl>
      <w:tblPr>
        <w:tblStyle w:val="50"/>
        <w:tblW w:w="15173" w:type="dxa"/>
        <w:tblInd w:w="46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59"/>
        <w:gridCol w:w="942"/>
        <w:gridCol w:w="1360"/>
        <w:gridCol w:w="1581"/>
        <w:gridCol w:w="1586"/>
        <w:gridCol w:w="682"/>
        <w:gridCol w:w="8563"/>
      </w:tblGrid>
      <w:tr w14:paraId="21D7AD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459" w:type="dxa"/>
            <w:vAlign w:val="top"/>
          </w:tcPr>
          <w:p w14:paraId="0A368163">
            <w:pPr>
              <w:spacing w:before="241" w:line="234" w:lineRule="auto"/>
              <w:ind w:left="52"/>
              <w:rPr>
                <w:rFonts w:ascii="黑体" w:hAnsi="黑体" w:eastAsia="黑体" w:cs="黑体"/>
                <w:sz w:val="17"/>
                <w:szCs w:val="17"/>
              </w:rPr>
            </w:pPr>
            <w:r>
              <w:rPr>
                <w:rFonts w:ascii="黑体" w:hAnsi="黑体" w:eastAsia="黑体" w:cs="黑体"/>
                <w:spacing w:val="6"/>
                <w:sz w:val="17"/>
                <w:szCs w:val="17"/>
              </w:rPr>
              <w:t>序号</w:t>
            </w:r>
          </w:p>
        </w:tc>
        <w:tc>
          <w:tcPr>
            <w:tcW w:w="942" w:type="dxa"/>
            <w:vAlign w:val="top"/>
          </w:tcPr>
          <w:p w14:paraId="07089FB5">
            <w:pPr>
              <w:spacing w:before="90" w:line="232" w:lineRule="auto"/>
              <w:ind w:left="111"/>
              <w:rPr>
                <w:rFonts w:ascii="黑体" w:hAnsi="黑体" w:eastAsia="黑体" w:cs="黑体"/>
                <w:sz w:val="17"/>
                <w:szCs w:val="17"/>
              </w:rPr>
            </w:pPr>
            <w:r>
              <w:rPr>
                <w:rFonts w:ascii="黑体" w:hAnsi="黑体" w:eastAsia="黑体" w:cs="黑体"/>
                <w:spacing w:val="8"/>
                <w:sz w:val="17"/>
                <w:szCs w:val="17"/>
              </w:rPr>
              <w:t>食品大类</w:t>
            </w:r>
          </w:p>
          <w:p w14:paraId="4AF8EF68">
            <w:pPr>
              <w:spacing w:before="86" w:line="227" w:lineRule="auto"/>
              <w:ind w:left="237"/>
              <w:rPr>
                <w:rFonts w:ascii="黑体" w:hAnsi="黑体" w:eastAsia="黑体" w:cs="黑体"/>
                <w:sz w:val="17"/>
                <w:szCs w:val="17"/>
              </w:rPr>
            </w:pPr>
            <w:r>
              <w:rPr>
                <w:rFonts w:ascii="黑体" w:hAnsi="黑体" w:eastAsia="黑体" w:cs="黑体"/>
                <w:spacing w:val="-4"/>
                <w:sz w:val="17"/>
                <w:szCs w:val="17"/>
              </w:rPr>
              <w:t>(一级)</w:t>
            </w:r>
          </w:p>
        </w:tc>
        <w:tc>
          <w:tcPr>
            <w:tcW w:w="1360" w:type="dxa"/>
            <w:vAlign w:val="top"/>
          </w:tcPr>
          <w:p w14:paraId="1CE718BB">
            <w:pPr>
              <w:spacing w:before="90" w:line="232" w:lineRule="auto"/>
              <w:ind w:left="321"/>
              <w:rPr>
                <w:rFonts w:ascii="黑体" w:hAnsi="黑体" w:eastAsia="黑体" w:cs="黑体"/>
                <w:sz w:val="17"/>
                <w:szCs w:val="17"/>
              </w:rPr>
            </w:pPr>
            <w:r>
              <w:rPr>
                <w:rFonts w:ascii="黑体" w:hAnsi="黑体" w:eastAsia="黑体" w:cs="黑体"/>
                <w:spacing w:val="8"/>
                <w:sz w:val="17"/>
                <w:szCs w:val="17"/>
              </w:rPr>
              <w:t>食品亚类</w:t>
            </w:r>
          </w:p>
          <w:p w14:paraId="69C46F77">
            <w:pPr>
              <w:spacing w:before="86" w:line="227" w:lineRule="auto"/>
              <w:ind w:left="444"/>
              <w:rPr>
                <w:rFonts w:ascii="黑体" w:hAnsi="黑体" w:eastAsia="黑体" w:cs="黑体"/>
                <w:sz w:val="17"/>
                <w:szCs w:val="17"/>
              </w:rPr>
            </w:pPr>
            <w:r>
              <w:rPr>
                <w:rFonts w:ascii="黑体" w:hAnsi="黑体" w:eastAsia="黑体" w:cs="黑体"/>
                <w:spacing w:val="-3"/>
                <w:sz w:val="17"/>
                <w:szCs w:val="17"/>
              </w:rPr>
              <w:t>(二级)</w:t>
            </w:r>
          </w:p>
        </w:tc>
        <w:tc>
          <w:tcPr>
            <w:tcW w:w="1581" w:type="dxa"/>
            <w:vAlign w:val="top"/>
          </w:tcPr>
          <w:p w14:paraId="5E4C9314">
            <w:pPr>
              <w:spacing w:before="90" w:line="232" w:lineRule="auto"/>
              <w:ind w:left="433"/>
              <w:rPr>
                <w:rFonts w:ascii="黑体" w:hAnsi="黑体" w:eastAsia="黑体" w:cs="黑体"/>
                <w:sz w:val="17"/>
                <w:szCs w:val="17"/>
              </w:rPr>
            </w:pPr>
            <w:r>
              <w:rPr>
                <w:rFonts w:ascii="黑体" w:hAnsi="黑体" w:eastAsia="黑体" w:cs="黑体"/>
                <w:spacing w:val="8"/>
                <w:sz w:val="17"/>
                <w:szCs w:val="17"/>
              </w:rPr>
              <w:t>食品品种</w:t>
            </w:r>
          </w:p>
          <w:p w14:paraId="3C651079">
            <w:pPr>
              <w:spacing w:before="86" w:line="227" w:lineRule="auto"/>
              <w:ind w:left="558"/>
              <w:rPr>
                <w:rFonts w:ascii="黑体" w:hAnsi="黑体" w:eastAsia="黑体" w:cs="黑体"/>
                <w:sz w:val="17"/>
                <w:szCs w:val="17"/>
              </w:rPr>
            </w:pPr>
            <w:r>
              <w:rPr>
                <w:rFonts w:ascii="黑体" w:hAnsi="黑体" w:eastAsia="黑体" w:cs="黑体"/>
                <w:spacing w:val="-4"/>
                <w:sz w:val="17"/>
                <w:szCs w:val="17"/>
              </w:rPr>
              <w:t>(三级)</w:t>
            </w:r>
          </w:p>
        </w:tc>
        <w:tc>
          <w:tcPr>
            <w:tcW w:w="1586" w:type="dxa"/>
            <w:vAlign w:val="top"/>
          </w:tcPr>
          <w:p w14:paraId="58EC1080">
            <w:pPr>
              <w:spacing w:before="90" w:line="232" w:lineRule="auto"/>
              <w:ind w:left="436"/>
              <w:rPr>
                <w:rFonts w:ascii="黑体" w:hAnsi="黑体" w:eastAsia="黑体" w:cs="黑体"/>
                <w:sz w:val="17"/>
                <w:szCs w:val="17"/>
              </w:rPr>
            </w:pPr>
            <w:r>
              <w:rPr>
                <w:rFonts w:ascii="黑体" w:hAnsi="黑体" w:eastAsia="黑体" w:cs="黑体"/>
                <w:spacing w:val="8"/>
                <w:sz w:val="17"/>
                <w:szCs w:val="17"/>
              </w:rPr>
              <w:t>食品细类</w:t>
            </w:r>
          </w:p>
          <w:p w14:paraId="02AB0476">
            <w:pPr>
              <w:spacing w:before="86" w:line="227" w:lineRule="auto"/>
              <w:ind w:left="561"/>
              <w:rPr>
                <w:rFonts w:ascii="黑体" w:hAnsi="黑体" w:eastAsia="黑体" w:cs="黑体"/>
                <w:sz w:val="17"/>
                <w:szCs w:val="17"/>
              </w:rPr>
            </w:pPr>
            <w:r>
              <w:rPr>
                <w:rFonts w:ascii="黑体" w:hAnsi="黑体" w:eastAsia="黑体" w:cs="黑体"/>
                <w:spacing w:val="-4"/>
                <w:sz w:val="17"/>
                <w:szCs w:val="17"/>
              </w:rPr>
              <w:t>(四级)</w:t>
            </w:r>
          </w:p>
        </w:tc>
        <w:tc>
          <w:tcPr>
            <w:tcW w:w="682" w:type="dxa"/>
            <w:vAlign w:val="top"/>
          </w:tcPr>
          <w:p w14:paraId="00B260B8">
            <w:pPr>
              <w:spacing w:before="89" w:line="233" w:lineRule="auto"/>
              <w:ind w:left="166"/>
              <w:rPr>
                <w:rFonts w:ascii="黑体" w:hAnsi="黑体" w:eastAsia="黑体" w:cs="黑体"/>
                <w:sz w:val="17"/>
                <w:szCs w:val="17"/>
              </w:rPr>
            </w:pPr>
            <w:r>
              <w:rPr>
                <w:rFonts w:ascii="黑体" w:hAnsi="黑体" w:eastAsia="黑体" w:cs="黑体"/>
                <w:spacing w:val="6"/>
                <w:sz w:val="17"/>
                <w:szCs w:val="17"/>
              </w:rPr>
              <w:t>风险</w:t>
            </w:r>
          </w:p>
          <w:p w14:paraId="3C5A8A54">
            <w:pPr>
              <w:spacing w:before="85" w:line="227" w:lineRule="auto"/>
              <w:ind w:left="163"/>
              <w:rPr>
                <w:rFonts w:ascii="黑体" w:hAnsi="黑体" w:eastAsia="黑体" w:cs="黑体"/>
                <w:sz w:val="17"/>
                <w:szCs w:val="17"/>
              </w:rPr>
            </w:pPr>
            <w:r>
              <w:rPr>
                <w:rFonts w:ascii="黑体" w:hAnsi="黑体" w:eastAsia="黑体" w:cs="黑体"/>
                <w:spacing w:val="7"/>
                <w:sz w:val="17"/>
                <w:szCs w:val="17"/>
              </w:rPr>
              <w:t>等级</w:t>
            </w:r>
          </w:p>
        </w:tc>
        <w:tc>
          <w:tcPr>
            <w:tcW w:w="8563" w:type="dxa"/>
            <w:vAlign w:val="top"/>
          </w:tcPr>
          <w:p w14:paraId="56424909">
            <w:pPr>
              <w:spacing w:before="241" w:line="232" w:lineRule="auto"/>
              <w:ind w:left="3744"/>
              <w:rPr>
                <w:rFonts w:ascii="黑体" w:hAnsi="黑体" w:eastAsia="黑体" w:cs="黑体"/>
                <w:sz w:val="17"/>
                <w:szCs w:val="17"/>
              </w:rPr>
            </w:pPr>
            <w:r>
              <w:rPr>
                <w:rFonts w:ascii="黑体" w:hAnsi="黑体" w:eastAsia="黑体" w:cs="黑体"/>
                <w:spacing w:val="8"/>
                <w:sz w:val="17"/>
                <w:szCs w:val="17"/>
              </w:rPr>
              <w:t>监督抽检项目</w:t>
            </w:r>
          </w:p>
        </w:tc>
      </w:tr>
      <w:tr w14:paraId="1AB934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59" w:type="dxa"/>
            <w:vMerge w:val="restart"/>
            <w:tcBorders>
              <w:bottom w:val="nil"/>
            </w:tcBorders>
            <w:vAlign w:val="top"/>
          </w:tcPr>
          <w:p w14:paraId="01BD0500">
            <w:pPr>
              <w:rPr>
                <w:rFonts w:ascii="Arial"/>
                <w:sz w:val="21"/>
              </w:rPr>
            </w:pPr>
          </w:p>
        </w:tc>
        <w:tc>
          <w:tcPr>
            <w:tcW w:w="942" w:type="dxa"/>
            <w:vMerge w:val="restart"/>
            <w:tcBorders>
              <w:bottom w:val="nil"/>
            </w:tcBorders>
            <w:vAlign w:val="top"/>
          </w:tcPr>
          <w:p w14:paraId="336B074D">
            <w:pPr>
              <w:rPr>
                <w:rFonts w:ascii="Arial"/>
                <w:sz w:val="21"/>
              </w:rPr>
            </w:pPr>
          </w:p>
        </w:tc>
        <w:tc>
          <w:tcPr>
            <w:tcW w:w="1360" w:type="dxa"/>
            <w:vMerge w:val="restart"/>
            <w:tcBorders>
              <w:bottom w:val="nil"/>
            </w:tcBorders>
            <w:vAlign w:val="top"/>
          </w:tcPr>
          <w:p w14:paraId="3501B8AF">
            <w:pPr>
              <w:rPr>
                <w:rFonts w:ascii="Arial"/>
                <w:sz w:val="21"/>
              </w:rPr>
            </w:pPr>
          </w:p>
        </w:tc>
        <w:tc>
          <w:tcPr>
            <w:tcW w:w="1581" w:type="dxa"/>
            <w:vMerge w:val="restart"/>
            <w:tcBorders>
              <w:bottom w:val="nil"/>
            </w:tcBorders>
            <w:vAlign w:val="top"/>
          </w:tcPr>
          <w:p w14:paraId="2A9521C1">
            <w:pPr>
              <w:rPr>
                <w:rFonts w:ascii="Arial"/>
                <w:sz w:val="21"/>
              </w:rPr>
            </w:pPr>
          </w:p>
        </w:tc>
        <w:tc>
          <w:tcPr>
            <w:tcW w:w="1586" w:type="dxa"/>
            <w:vAlign w:val="top"/>
          </w:tcPr>
          <w:p w14:paraId="67216A08">
            <w:pPr>
              <w:pStyle w:val="51"/>
              <w:spacing w:before="107" w:line="232" w:lineRule="auto"/>
              <w:ind w:left="624"/>
              <w:rPr>
                <w:sz w:val="17"/>
                <w:szCs w:val="17"/>
              </w:rPr>
            </w:pPr>
            <w:r>
              <w:rPr>
                <w:spacing w:val="2"/>
                <w:sz w:val="17"/>
                <w:szCs w:val="17"/>
              </w:rPr>
              <w:t>龙眼</w:t>
            </w:r>
          </w:p>
        </w:tc>
        <w:tc>
          <w:tcPr>
            <w:tcW w:w="682" w:type="dxa"/>
            <w:vAlign w:val="top"/>
          </w:tcPr>
          <w:p w14:paraId="61DDF96B">
            <w:pPr>
              <w:pStyle w:val="51"/>
              <w:spacing w:before="108" w:line="227" w:lineRule="auto"/>
              <w:ind w:left="170"/>
              <w:rPr>
                <w:sz w:val="17"/>
                <w:szCs w:val="17"/>
              </w:rPr>
            </w:pPr>
            <w:r>
              <w:rPr>
                <w:spacing w:val="3"/>
                <w:sz w:val="17"/>
                <w:szCs w:val="17"/>
              </w:rPr>
              <w:t>较高</w:t>
            </w:r>
          </w:p>
        </w:tc>
        <w:tc>
          <w:tcPr>
            <w:tcW w:w="8563" w:type="dxa"/>
            <w:vAlign w:val="top"/>
          </w:tcPr>
          <w:p w14:paraId="4A60DB73">
            <w:pPr>
              <w:pStyle w:val="51"/>
              <w:spacing w:before="86" w:line="226" w:lineRule="auto"/>
              <w:ind w:left="43"/>
              <w:rPr>
                <w:sz w:val="17"/>
                <w:szCs w:val="17"/>
              </w:rPr>
            </w:pPr>
            <w:r>
              <w:rPr>
                <w:spacing w:val="9"/>
                <w:sz w:val="17"/>
                <w:szCs w:val="17"/>
              </w:rPr>
              <w:t>二氧化硫残留量、克百威、氯氰菊酯和高效氯氰菊酯、氧乐果、氟虫腈</w:t>
            </w:r>
          </w:p>
        </w:tc>
      </w:tr>
      <w:tr w14:paraId="27A131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459" w:type="dxa"/>
            <w:vMerge w:val="continue"/>
            <w:tcBorders>
              <w:top w:val="nil"/>
              <w:bottom w:val="nil"/>
            </w:tcBorders>
            <w:vAlign w:val="top"/>
          </w:tcPr>
          <w:p w14:paraId="7781B094">
            <w:pPr>
              <w:rPr>
                <w:rFonts w:ascii="Arial"/>
                <w:sz w:val="21"/>
              </w:rPr>
            </w:pPr>
          </w:p>
        </w:tc>
        <w:tc>
          <w:tcPr>
            <w:tcW w:w="942" w:type="dxa"/>
            <w:vMerge w:val="continue"/>
            <w:tcBorders>
              <w:top w:val="nil"/>
              <w:bottom w:val="nil"/>
            </w:tcBorders>
            <w:vAlign w:val="top"/>
          </w:tcPr>
          <w:p w14:paraId="5B0CB6D7">
            <w:pPr>
              <w:rPr>
                <w:rFonts w:ascii="Arial"/>
                <w:sz w:val="21"/>
              </w:rPr>
            </w:pPr>
          </w:p>
        </w:tc>
        <w:tc>
          <w:tcPr>
            <w:tcW w:w="1360" w:type="dxa"/>
            <w:vMerge w:val="continue"/>
            <w:tcBorders>
              <w:top w:val="nil"/>
              <w:bottom w:val="nil"/>
            </w:tcBorders>
            <w:vAlign w:val="top"/>
          </w:tcPr>
          <w:p w14:paraId="4E5518E6">
            <w:pPr>
              <w:rPr>
                <w:rFonts w:ascii="Arial"/>
                <w:sz w:val="21"/>
              </w:rPr>
            </w:pPr>
          </w:p>
        </w:tc>
        <w:tc>
          <w:tcPr>
            <w:tcW w:w="1581" w:type="dxa"/>
            <w:vMerge w:val="continue"/>
            <w:tcBorders>
              <w:top w:val="nil"/>
              <w:bottom w:val="nil"/>
            </w:tcBorders>
            <w:vAlign w:val="top"/>
          </w:tcPr>
          <w:p w14:paraId="0CA17BD9">
            <w:pPr>
              <w:rPr>
                <w:rFonts w:ascii="Arial"/>
                <w:sz w:val="21"/>
              </w:rPr>
            </w:pPr>
          </w:p>
        </w:tc>
        <w:tc>
          <w:tcPr>
            <w:tcW w:w="1586" w:type="dxa"/>
            <w:vAlign w:val="top"/>
          </w:tcPr>
          <w:p w14:paraId="767BC0CA">
            <w:pPr>
              <w:pStyle w:val="51"/>
              <w:spacing w:before="105" w:line="229" w:lineRule="auto"/>
              <w:ind w:left="620"/>
              <w:rPr>
                <w:sz w:val="17"/>
                <w:szCs w:val="17"/>
              </w:rPr>
            </w:pPr>
            <w:r>
              <w:rPr>
                <w:spacing w:val="4"/>
                <w:sz w:val="17"/>
                <w:szCs w:val="17"/>
              </w:rPr>
              <w:t>橄榄</w:t>
            </w:r>
          </w:p>
        </w:tc>
        <w:tc>
          <w:tcPr>
            <w:tcW w:w="682" w:type="dxa"/>
            <w:vAlign w:val="top"/>
          </w:tcPr>
          <w:p w14:paraId="74E193C1">
            <w:pPr>
              <w:pStyle w:val="51"/>
              <w:spacing w:before="106" w:line="227" w:lineRule="auto"/>
              <w:ind w:left="170"/>
              <w:rPr>
                <w:sz w:val="17"/>
                <w:szCs w:val="17"/>
              </w:rPr>
            </w:pPr>
            <w:r>
              <w:rPr>
                <w:spacing w:val="3"/>
                <w:sz w:val="17"/>
                <w:szCs w:val="17"/>
              </w:rPr>
              <w:t>较高</w:t>
            </w:r>
          </w:p>
        </w:tc>
        <w:tc>
          <w:tcPr>
            <w:tcW w:w="8563" w:type="dxa"/>
            <w:vAlign w:val="top"/>
          </w:tcPr>
          <w:p w14:paraId="3FE9525D">
            <w:pPr>
              <w:pStyle w:val="51"/>
              <w:spacing w:before="86" w:line="227" w:lineRule="auto"/>
              <w:ind w:left="42"/>
              <w:rPr>
                <w:sz w:val="17"/>
                <w:szCs w:val="17"/>
              </w:rPr>
            </w:pPr>
            <w:r>
              <w:rPr>
                <w:spacing w:val="9"/>
                <w:sz w:val="17"/>
                <w:szCs w:val="17"/>
              </w:rPr>
              <w:t>三氯蔗糖、多菌灵、甲胺磷、戊唑醇、乙酰甲胺磷</w:t>
            </w:r>
          </w:p>
        </w:tc>
      </w:tr>
      <w:tr w14:paraId="3A5E6E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459" w:type="dxa"/>
            <w:vMerge w:val="continue"/>
            <w:tcBorders>
              <w:top w:val="nil"/>
              <w:bottom w:val="nil"/>
            </w:tcBorders>
            <w:vAlign w:val="top"/>
          </w:tcPr>
          <w:p w14:paraId="69723645">
            <w:pPr>
              <w:rPr>
                <w:rFonts w:ascii="Arial"/>
                <w:sz w:val="21"/>
              </w:rPr>
            </w:pPr>
          </w:p>
        </w:tc>
        <w:tc>
          <w:tcPr>
            <w:tcW w:w="942" w:type="dxa"/>
            <w:vMerge w:val="continue"/>
            <w:tcBorders>
              <w:top w:val="nil"/>
              <w:bottom w:val="nil"/>
            </w:tcBorders>
            <w:vAlign w:val="top"/>
          </w:tcPr>
          <w:p w14:paraId="078483F7">
            <w:pPr>
              <w:rPr>
                <w:rFonts w:ascii="Arial"/>
                <w:sz w:val="21"/>
              </w:rPr>
            </w:pPr>
          </w:p>
        </w:tc>
        <w:tc>
          <w:tcPr>
            <w:tcW w:w="1360" w:type="dxa"/>
            <w:vMerge w:val="continue"/>
            <w:tcBorders>
              <w:top w:val="nil"/>
              <w:bottom w:val="nil"/>
            </w:tcBorders>
            <w:vAlign w:val="top"/>
          </w:tcPr>
          <w:p w14:paraId="3189515C">
            <w:pPr>
              <w:rPr>
                <w:rFonts w:ascii="Arial"/>
                <w:sz w:val="21"/>
              </w:rPr>
            </w:pPr>
          </w:p>
        </w:tc>
        <w:tc>
          <w:tcPr>
            <w:tcW w:w="1581" w:type="dxa"/>
            <w:vMerge w:val="continue"/>
            <w:tcBorders>
              <w:top w:val="nil"/>
            </w:tcBorders>
            <w:vAlign w:val="top"/>
          </w:tcPr>
          <w:p w14:paraId="1856CE54">
            <w:pPr>
              <w:rPr>
                <w:rFonts w:ascii="Arial"/>
                <w:sz w:val="21"/>
              </w:rPr>
            </w:pPr>
          </w:p>
        </w:tc>
        <w:tc>
          <w:tcPr>
            <w:tcW w:w="1586" w:type="dxa"/>
            <w:vAlign w:val="top"/>
          </w:tcPr>
          <w:p w14:paraId="78527F40">
            <w:pPr>
              <w:pStyle w:val="51"/>
              <w:spacing w:before="107" w:line="227" w:lineRule="auto"/>
              <w:ind w:left="534"/>
              <w:rPr>
                <w:sz w:val="17"/>
                <w:szCs w:val="17"/>
              </w:rPr>
            </w:pPr>
            <w:r>
              <w:rPr>
                <w:spacing w:val="5"/>
                <w:sz w:val="17"/>
                <w:szCs w:val="17"/>
              </w:rPr>
              <w:t>番木瓜</w:t>
            </w:r>
          </w:p>
        </w:tc>
        <w:tc>
          <w:tcPr>
            <w:tcW w:w="682" w:type="dxa"/>
            <w:vAlign w:val="top"/>
          </w:tcPr>
          <w:p w14:paraId="7BB442AA">
            <w:pPr>
              <w:pStyle w:val="51"/>
              <w:spacing w:before="107" w:line="227" w:lineRule="auto"/>
              <w:ind w:left="170"/>
              <w:rPr>
                <w:sz w:val="17"/>
                <w:szCs w:val="17"/>
              </w:rPr>
            </w:pPr>
            <w:r>
              <w:rPr>
                <w:spacing w:val="3"/>
                <w:sz w:val="17"/>
                <w:szCs w:val="17"/>
              </w:rPr>
              <w:t>较高</w:t>
            </w:r>
          </w:p>
        </w:tc>
        <w:tc>
          <w:tcPr>
            <w:tcW w:w="8563" w:type="dxa"/>
            <w:vAlign w:val="top"/>
          </w:tcPr>
          <w:p w14:paraId="7135BA07">
            <w:pPr>
              <w:pStyle w:val="51"/>
              <w:spacing w:before="107" w:line="226" w:lineRule="auto"/>
              <w:ind w:left="46"/>
              <w:rPr>
                <w:sz w:val="17"/>
                <w:szCs w:val="17"/>
              </w:rPr>
            </w:pPr>
            <w:r>
              <w:rPr>
                <w:spacing w:val="8"/>
                <w:sz w:val="17"/>
                <w:szCs w:val="17"/>
              </w:rPr>
              <w:t>噻虫胺、噻虫嗪、乙酰甲胺磷、克百威、氧乐果</w:t>
            </w:r>
          </w:p>
        </w:tc>
      </w:tr>
      <w:tr w14:paraId="18A45B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59" w:type="dxa"/>
            <w:vMerge w:val="continue"/>
            <w:tcBorders>
              <w:top w:val="nil"/>
              <w:bottom w:val="nil"/>
            </w:tcBorders>
            <w:vAlign w:val="top"/>
          </w:tcPr>
          <w:p w14:paraId="69348D48">
            <w:pPr>
              <w:rPr>
                <w:rFonts w:ascii="Arial"/>
                <w:sz w:val="21"/>
              </w:rPr>
            </w:pPr>
          </w:p>
        </w:tc>
        <w:tc>
          <w:tcPr>
            <w:tcW w:w="942" w:type="dxa"/>
            <w:vMerge w:val="continue"/>
            <w:tcBorders>
              <w:top w:val="nil"/>
              <w:bottom w:val="nil"/>
            </w:tcBorders>
            <w:vAlign w:val="top"/>
          </w:tcPr>
          <w:p w14:paraId="377B8CA9">
            <w:pPr>
              <w:rPr>
                <w:rFonts w:ascii="Arial"/>
                <w:sz w:val="21"/>
              </w:rPr>
            </w:pPr>
          </w:p>
        </w:tc>
        <w:tc>
          <w:tcPr>
            <w:tcW w:w="1360" w:type="dxa"/>
            <w:vMerge w:val="continue"/>
            <w:tcBorders>
              <w:top w:val="nil"/>
              <w:bottom w:val="nil"/>
            </w:tcBorders>
            <w:vAlign w:val="top"/>
          </w:tcPr>
          <w:p w14:paraId="080D2798">
            <w:pPr>
              <w:rPr>
                <w:rFonts w:ascii="Arial"/>
                <w:sz w:val="21"/>
              </w:rPr>
            </w:pPr>
          </w:p>
        </w:tc>
        <w:tc>
          <w:tcPr>
            <w:tcW w:w="1581" w:type="dxa"/>
            <w:vMerge w:val="restart"/>
            <w:tcBorders>
              <w:bottom w:val="nil"/>
            </w:tcBorders>
            <w:vAlign w:val="top"/>
          </w:tcPr>
          <w:p w14:paraId="2618AEA7">
            <w:pPr>
              <w:pStyle w:val="51"/>
              <w:spacing w:before="284" w:line="228" w:lineRule="auto"/>
              <w:ind w:left="350"/>
              <w:rPr>
                <w:sz w:val="17"/>
                <w:szCs w:val="17"/>
              </w:rPr>
            </w:pPr>
            <w:r>
              <w:rPr>
                <w:spacing w:val="7"/>
                <w:sz w:val="17"/>
                <w:szCs w:val="17"/>
              </w:rPr>
              <w:t>瓜果类水果</w:t>
            </w:r>
          </w:p>
        </w:tc>
        <w:tc>
          <w:tcPr>
            <w:tcW w:w="1586" w:type="dxa"/>
            <w:vAlign w:val="top"/>
          </w:tcPr>
          <w:p w14:paraId="6AC49DF6">
            <w:pPr>
              <w:pStyle w:val="51"/>
              <w:spacing w:before="108" w:line="231" w:lineRule="auto"/>
              <w:ind w:left="623"/>
              <w:rPr>
                <w:sz w:val="17"/>
                <w:szCs w:val="17"/>
              </w:rPr>
            </w:pPr>
            <w:r>
              <w:rPr>
                <w:spacing w:val="2"/>
                <w:sz w:val="17"/>
                <w:szCs w:val="17"/>
              </w:rPr>
              <w:t>西瓜</w:t>
            </w:r>
          </w:p>
        </w:tc>
        <w:tc>
          <w:tcPr>
            <w:tcW w:w="682" w:type="dxa"/>
            <w:vAlign w:val="top"/>
          </w:tcPr>
          <w:p w14:paraId="5310A7E9">
            <w:pPr>
              <w:pStyle w:val="51"/>
              <w:spacing w:before="109" w:line="227" w:lineRule="auto"/>
              <w:ind w:left="170"/>
              <w:rPr>
                <w:sz w:val="17"/>
                <w:szCs w:val="17"/>
              </w:rPr>
            </w:pPr>
            <w:r>
              <w:rPr>
                <w:spacing w:val="3"/>
                <w:sz w:val="17"/>
                <w:szCs w:val="17"/>
              </w:rPr>
              <w:t>较高</w:t>
            </w:r>
          </w:p>
        </w:tc>
        <w:tc>
          <w:tcPr>
            <w:tcW w:w="8563" w:type="dxa"/>
            <w:vAlign w:val="top"/>
          </w:tcPr>
          <w:p w14:paraId="07E31722">
            <w:pPr>
              <w:pStyle w:val="51"/>
              <w:spacing w:before="108" w:line="223" w:lineRule="auto"/>
              <w:ind w:left="42"/>
              <w:rPr>
                <w:sz w:val="17"/>
                <w:szCs w:val="17"/>
              </w:rPr>
            </w:pPr>
            <w:r>
              <w:rPr>
                <w:spacing w:val="6"/>
                <w:sz w:val="17"/>
                <w:szCs w:val="17"/>
              </w:rPr>
              <w:t>克百威、噻虫嗪、氧乐果、乙酰甲胺磷、苯醚甲环唑、</w:t>
            </w:r>
            <w:r>
              <w:rPr>
                <w:spacing w:val="49"/>
                <w:w w:val="101"/>
                <w:sz w:val="17"/>
                <w:szCs w:val="17"/>
              </w:rPr>
              <w:t xml:space="preserve"> </w:t>
            </w:r>
            <w:r>
              <w:rPr>
                <w:spacing w:val="6"/>
                <w:sz w:val="17"/>
                <w:szCs w:val="17"/>
              </w:rPr>
              <w:t>氯氟氰菊酯和高效</w:t>
            </w:r>
            <w:r>
              <w:rPr>
                <w:spacing w:val="5"/>
                <w:sz w:val="17"/>
                <w:szCs w:val="17"/>
              </w:rPr>
              <w:t>氯氟氰菊酯</w:t>
            </w:r>
          </w:p>
        </w:tc>
      </w:tr>
      <w:tr w14:paraId="1E08CE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459" w:type="dxa"/>
            <w:vMerge w:val="continue"/>
            <w:tcBorders>
              <w:top w:val="nil"/>
            </w:tcBorders>
            <w:vAlign w:val="top"/>
          </w:tcPr>
          <w:p w14:paraId="30CC2BC2">
            <w:pPr>
              <w:rPr>
                <w:rFonts w:ascii="Arial"/>
                <w:sz w:val="21"/>
              </w:rPr>
            </w:pPr>
          </w:p>
        </w:tc>
        <w:tc>
          <w:tcPr>
            <w:tcW w:w="942" w:type="dxa"/>
            <w:vMerge w:val="continue"/>
            <w:tcBorders>
              <w:top w:val="nil"/>
            </w:tcBorders>
            <w:vAlign w:val="top"/>
          </w:tcPr>
          <w:p w14:paraId="432B9751">
            <w:pPr>
              <w:rPr>
                <w:rFonts w:ascii="Arial"/>
                <w:sz w:val="21"/>
              </w:rPr>
            </w:pPr>
          </w:p>
        </w:tc>
        <w:tc>
          <w:tcPr>
            <w:tcW w:w="1360" w:type="dxa"/>
            <w:vMerge w:val="continue"/>
            <w:tcBorders>
              <w:top w:val="nil"/>
            </w:tcBorders>
            <w:vAlign w:val="top"/>
          </w:tcPr>
          <w:p w14:paraId="1B3E08C6">
            <w:pPr>
              <w:rPr>
                <w:rFonts w:ascii="Arial"/>
                <w:sz w:val="21"/>
              </w:rPr>
            </w:pPr>
          </w:p>
        </w:tc>
        <w:tc>
          <w:tcPr>
            <w:tcW w:w="1581" w:type="dxa"/>
            <w:vMerge w:val="continue"/>
            <w:tcBorders>
              <w:top w:val="nil"/>
            </w:tcBorders>
            <w:vAlign w:val="top"/>
          </w:tcPr>
          <w:p w14:paraId="02C6BA53">
            <w:pPr>
              <w:rPr>
                <w:rFonts w:ascii="Arial"/>
                <w:sz w:val="21"/>
              </w:rPr>
            </w:pPr>
          </w:p>
        </w:tc>
        <w:tc>
          <w:tcPr>
            <w:tcW w:w="1586" w:type="dxa"/>
            <w:vAlign w:val="top"/>
          </w:tcPr>
          <w:p w14:paraId="50E81C92">
            <w:pPr>
              <w:pStyle w:val="51"/>
              <w:spacing w:before="109" w:line="230" w:lineRule="auto"/>
              <w:ind w:left="532"/>
              <w:rPr>
                <w:sz w:val="17"/>
                <w:szCs w:val="17"/>
              </w:rPr>
            </w:pPr>
            <w:r>
              <w:rPr>
                <w:spacing w:val="5"/>
                <w:sz w:val="17"/>
                <w:szCs w:val="17"/>
              </w:rPr>
              <w:t>甜瓜类</w:t>
            </w:r>
          </w:p>
        </w:tc>
        <w:tc>
          <w:tcPr>
            <w:tcW w:w="682" w:type="dxa"/>
            <w:vAlign w:val="top"/>
          </w:tcPr>
          <w:p w14:paraId="38B57E56">
            <w:pPr>
              <w:pStyle w:val="51"/>
              <w:spacing w:before="109" w:line="227" w:lineRule="auto"/>
              <w:ind w:left="170"/>
              <w:rPr>
                <w:sz w:val="17"/>
                <w:szCs w:val="17"/>
              </w:rPr>
            </w:pPr>
            <w:r>
              <w:rPr>
                <w:spacing w:val="3"/>
                <w:sz w:val="17"/>
                <w:szCs w:val="17"/>
              </w:rPr>
              <w:t>较高</w:t>
            </w:r>
          </w:p>
        </w:tc>
        <w:tc>
          <w:tcPr>
            <w:tcW w:w="8563" w:type="dxa"/>
            <w:vAlign w:val="top"/>
          </w:tcPr>
          <w:p w14:paraId="3D079DB5">
            <w:pPr>
              <w:pStyle w:val="51"/>
              <w:spacing w:before="109" w:line="226" w:lineRule="auto"/>
              <w:ind w:left="42"/>
              <w:rPr>
                <w:sz w:val="17"/>
                <w:szCs w:val="17"/>
              </w:rPr>
            </w:pPr>
            <w:r>
              <w:rPr>
                <w:spacing w:val="9"/>
                <w:sz w:val="17"/>
                <w:szCs w:val="17"/>
              </w:rPr>
              <w:t>克百威、烯酰吗啉、氧乐果、乙酰甲胺磷</w:t>
            </w:r>
          </w:p>
        </w:tc>
      </w:tr>
      <w:tr w14:paraId="4F5C97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459" w:type="dxa"/>
            <w:vMerge w:val="restart"/>
            <w:tcBorders>
              <w:bottom w:val="nil"/>
            </w:tcBorders>
            <w:vAlign w:val="top"/>
          </w:tcPr>
          <w:p w14:paraId="5D31AE37">
            <w:pPr>
              <w:spacing w:line="357" w:lineRule="auto"/>
              <w:rPr>
                <w:rFonts w:ascii="Arial"/>
                <w:sz w:val="21"/>
              </w:rPr>
            </w:pPr>
          </w:p>
          <w:p w14:paraId="5C289CE3">
            <w:pPr>
              <w:pStyle w:val="51"/>
              <w:spacing w:before="56" w:line="227" w:lineRule="exact"/>
              <w:ind w:left="146"/>
              <w:rPr>
                <w:sz w:val="17"/>
                <w:szCs w:val="17"/>
              </w:rPr>
            </w:pPr>
            <w:r>
              <w:rPr>
                <w:spacing w:val="-1"/>
                <w:position w:val="1"/>
                <w:sz w:val="17"/>
                <w:szCs w:val="17"/>
              </w:rPr>
              <w:t>35</w:t>
            </w:r>
          </w:p>
        </w:tc>
        <w:tc>
          <w:tcPr>
            <w:tcW w:w="942" w:type="dxa"/>
            <w:vMerge w:val="restart"/>
            <w:tcBorders>
              <w:bottom w:val="nil"/>
            </w:tcBorders>
            <w:vAlign w:val="top"/>
          </w:tcPr>
          <w:p w14:paraId="250F8078">
            <w:pPr>
              <w:spacing w:line="357" w:lineRule="auto"/>
              <w:rPr>
                <w:rFonts w:ascii="Arial"/>
                <w:sz w:val="21"/>
              </w:rPr>
            </w:pPr>
          </w:p>
          <w:p w14:paraId="2042DC7B">
            <w:pPr>
              <w:pStyle w:val="51"/>
              <w:spacing w:before="56" w:line="228" w:lineRule="auto"/>
              <w:ind w:left="297"/>
              <w:rPr>
                <w:sz w:val="17"/>
                <w:szCs w:val="17"/>
              </w:rPr>
            </w:pPr>
            <w:r>
              <w:rPr>
                <w:spacing w:val="3"/>
                <w:sz w:val="17"/>
                <w:szCs w:val="17"/>
              </w:rPr>
              <w:t>鲜蛋</w:t>
            </w:r>
          </w:p>
        </w:tc>
        <w:tc>
          <w:tcPr>
            <w:tcW w:w="1360" w:type="dxa"/>
            <w:vMerge w:val="restart"/>
            <w:tcBorders>
              <w:bottom w:val="nil"/>
            </w:tcBorders>
            <w:vAlign w:val="top"/>
          </w:tcPr>
          <w:p w14:paraId="45987EEC">
            <w:pPr>
              <w:spacing w:line="357" w:lineRule="auto"/>
              <w:rPr>
                <w:rFonts w:ascii="Arial"/>
                <w:sz w:val="21"/>
              </w:rPr>
            </w:pPr>
          </w:p>
          <w:p w14:paraId="100D0118">
            <w:pPr>
              <w:pStyle w:val="51"/>
              <w:spacing w:before="56" w:line="228" w:lineRule="auto"/>
              <w:ind w:left="507"/>
              <w:rPr>
                <w:sz w:val="17"/>
                <w:szCs w:val="17"/>
              </w:rPr>
            </w:pPr>
            <w:r>
              <w:rPr>
                <w:spacing w:val="3"/>
                <w:sz w:val="17"/>
                <w:szCs w:val="17"/>
              </w:rPr>
              <w:t>鲜蛋</w:t>
            </w:r>
          </w:p>
        </w:tc>
        <w:tc>
          <w:tcPr>
            <w:tcW w:w="1581" w:type="dxa"/>
            <w:vMerge w:val="restart"/>
            <w:tcBorders>
              <w:bottom w:val="nil"/>
            </w:tcBorders>
            <w:vAlign w:val="top"/>
          </w:tcPr>
          <w:p w14:paraId="271CD24A">
            <w:pPr>
              <w:spacing w:line="357" w:lineRule="auto"/>
              <w:rPr>
                <w:rFonts w:ascii="Arial"/>
                <w:sz w:val="21"/>
              </w:rPr>
            </w:pPr>
          </w:p>
          <w:p w14:paraId="24C5EF81">
            <w:pPr>
              <w:pStyle w:val="51"/>
              <w:spacing w:before="56" w:line="228" w:lineRule="auto"/>
              <w:ind w:left="618"/>
              <w:rPr>
                <w:sz w:val="17"/>
                <w:szCs w:val="17"/>
              </w:rPr>
            </w:pPr>
            <w:r>
              <w:rPr>
                <w:spacing w:val="3"/>
                <w:sz w:val="17"/>
                <w:szCs w:val="17"/>
              </w:rPr>
              <w:t>鲜蛋</w:t>
            </w:r>
          </w:p>
        </w:tc>
        <w:tc>
          <w:tcPr>
            <w:tcW w:w="1586" w:type="dxa"/>
            <w:vAlign w:val="top"/>
          </w:tcPr>
          <w:p w14:paraId="727E74D1">
            <w:pPr>
              <w:pStyle w:val="51"/>
              <w:spacing w:before="240" w:line="230" w:lineRule="auto"/>
              <w:ind w:left="620"/>
              <w:rPr>
                <w:sz w:val="17"/>
                <w:szCs w:val="17"/>
              </w:rPr>
            </w:pPr>
            <w:r>
              <w:rPr>
                <w:spacing w:val="4"/>
                <w:sz w:val="17"/>
                <w:szCs w:val="17"/>
              </w:rPr>
              <w:t>鸡蛋</w:t>
            </w:r>
          </w:p>
        </w:tc>
        <w:tc>
          <w:tcPr>
            <w:tcW w:w="682" w:type="dxa"/>
            <w:vAlign w:val="top"/>
          </w:tcPr>
          <w:p w14:paraId="3CC078E1">
            <w:pPr>
              <w:pStyle w:val="51"/>
              <w:spacing w:before="240" w:line="230" w:lineRule="auto"/>
              <w:ind w:left="267"/>
              <w:rPr>
                <w:sz w:val="17"/>
                <w:szCs w:val="17"/>
              </w:rPr>
            </w:pPr>
            <w:r>
              <w:rPr>
                <w:sz w:val="17"/>
                <w:szCs w:val="17"/>
              </w:rPr>
              <w:t>高</w:t>
            </w:r>
          </w:p>
        </w:tc>
        <w:tc>
          <w:tcPr>
            <w:tcW w:w="8563" w:type="dxa"/>
            <w:vAlign w:val="top"/>
          </w:tcPr>
          <w:p w14:paraId="2178E588">
            <w:pPr>
              <w:pStyle w:val="51"/>
              <w:spacing w:before="89" w:line="274" w:lineRule="auto"/>
              <w:ind w:left="40" w:right="24" w:firstLine="21"/>
              <w:rPr>
                <w:sz w:val="17"/>
                <w:szCs w:val="17"/>
              </w:rPr>
            </w:pPr>
            <w:r>
              <w:rPr>
                <w:spacing w:val="10"/>
                <w:sz w:val="17"/>
                <w:szCs w:val="17"/>
              </w:rPr>
              <w:t>甲硝唑、地美硝唑、呋喃唑酮代谢物、氟虫腈、氯霉素、氟苯尼考、甲砜霉素、恩诺沙星、氧氟沙星、沙拉</w:t>
            </w:r>
            <w:r>
              <w:rPr>
                <w:spacing w:val="9"/>
                <w:sz w:val="17"/>
                <w:szCs w:val="17"/>
              </w:rPr>
              <w:t>沙星、甲氧苄啶、磺胺类(总量)、多西环素、地克珠利、托曲珠利、呋喃西林代</w:t>
            </w:r>
            <w:r>
              <w:rPr>
                <w:spacing w:val="8"/>
                <w:sz w:val="17"/>
                <w:szCs w:val="17"/>
              </w:rPr>
              <w:t>谢物</w:t>
            </w:r>
          </w:p>
        </w:tc>
      </w:tr>
      <w:tr w14:paraId="29D27A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59" w:type="dxa"/>
            <w:vMerge w:val="continue"/>
            <w:tcBorders>
              <w:top w:val="nil"/>
            </w:tcBorders>
            <w:vAlign w:val="top"/>
          </w:tcPr>
          <w:p w14:paraId="0CABE215">
            <w:pPr>
              <w:rPr>
                <w:rFonts w:ascii="Arial"/>
                <w:sz w:val="21"/>
              </w:rPr>
            </w:pPr>
          </w:p>
        </w:tc>
        <w:tc>
          <w:tcPr>
            <w:tcW w:w="942" w:type="dxa"/>
            <w:vMerge w:val="continue"/>
            <w:tcBorders>
              <w:top w:val="nil"/>
            </w:tcBorders>
            <w:vAlign w:val="top"/>
          </w:tcPr>
          <w:p w14:paraId="7DC3143D">
            <w:pPr>
              <w:rPr>
                <w:rFonts w:ascii="Arial"/>
                <w:sz w:val="21"/>
              </w:rPr>
            </w:pPr>
          </w:p>
        </w:tc>
        <w:tc>
          <w:tcPr>
            <w:tcW w:w="1360" w:type="dxa"/>
            <w:vMerge w:val="continue"/>
            <w:tcBorders>
              <w:top w:val="nil"/>
            </w:tcBorders>
            <w:vAlign w:val="top"/>
          </w:tcPr>
          <w:p w14:paraId="78DB3A08">
            <w:pPr>
              <w:rPr>
                <w:rFonts w:ascii="Arial"/>
                <w:sz w:val="21"/>
              </w:rPr>
            </w:pPr>
          </w:p>
        </w:tc>
        <w:tc>
          <w:tcPr>
            <w:tcW w:w="1581" w:type="dxa"/>
            <w:vMerge w:val="continue"/>
            <w:tcBorders>
              <w:top w:val="nil"/>
            </w:tcBorders>
            <w:vAlign w:val="top"/>
          </w:tcPr>
          <w:p w14:paraId="33B71CC1">
            <w:pPr>
              <w:rPr>
                <w:rFonts w:ascii="Arial"/>
                <w:sz w:val="21"/>
              </w:rPr>
            </w:pPr>
          </w:p>
        </w:tc>
        <w:tc>
          <w:tcPr>
            <w:tcW w:w="1586" w:type="dxa"/>
            <w:vAlign w:val="top"/>
          </w:tcPr>
          <w:p w14:paraId="139D9FA1">
            <w:pPr>
              <w:pStyle w:val="51"/>
              <w:spacing w:before="111" w:line="227" w:lineRule="auto"/>
              <w:ind w:left="442"/>
              <w:rPr>
                <w:sz w:val="17"/>
                <w:szCs w:val="17"/>
              </w:rPr>
            </w:pPr>
            <w:r>
              <w:rPr>
                <w:spacing w:val="6"/>
                <w:sz w:val="17"/>
                <w:szCs w:val="17"/>
              </w:rPr>
              <w:t>其他禽蛋</w:t>
            </w:r>
          </w:p>
        </w:tc>
        <w:tc>
          <w:tcPr>
            <w:tcW w:w="682" w:type="dxa"/>
            <w:vAlign w:val="top"/>
          </w:tcPr>
          <w:p w14:paraId="2B1638AD">
            <w:pPr>
              <w:pStyle w:val="51"/>
              <w:spacing w:before="111" w:line="230" w:lineRule="auto"/>
              <w:ind w:left="267"/>
              <w:rPr>
                <w:sz w:val="17"/>
                <w:szCs w:val="17"/>
              </w:rPr>
            </w:pPr>
            <w:r>
              <w:rPr>
                <w:sz w:val="17"/>
                <w:szCs w:val="17"/>
              </w:rPr>
              <w:t>高</w:t>
            </w:r>
          </w:p>
        </w:tc>
        <w:tc>
          <w:tcPr>
            <w:tcW w:w="8563" w:type="dxa"/>
            <w:vAlign w:val="top"/>
          </w:tcPr>
          <w:p w14:paraId="5887ECDC">
            <w:pPr>
              <w:pStyle w:val="51"/>
              <w:spacing w:before="110" w:line="227" w:lineRule="auto"/>
              <w:ind w:left="45"/>
              <w:rPr>
                <w:sz w:val="17"/>
                <w:szCs w:val="17"/>
              </w:rPr>
            </w:pPr>
            <w:r>
              <w:rPr>
                <w:spacing w:val="5"/>
                <w:sz w:val="17"/>
                <w:szCs w:val="17"/>
              </w:rPr>
              <w:t>呋喃唑酮代谢物、磺胺类(总量)、多西环素、 氯霉素</w:t>
            </w:r>
          </w:p>
        </w:tc>
      </w:tr>
      <w:tr w14:paraId="5F0E05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59" w:type="dxa"/>
            <w:vAlign w:val="top"/>
          </w:tcPr>
          <w:p w14:paraId="5280B93F">
            <w:pPr>
              <w:pStyle w:val="51"/>
              <w:spacing w:before="111" w:line="223" w:lineRule="exact"/>
              <w:ind w:left="146"/>
              <w:rPr>
                <w:sz w:val="17"/>
                <w:szCs w:val="17"/>
              </w:rPr>
            </w:pPr>
            <w:r>
              <w:rPr>
                <w:spacing w:val="-1"/>
                <w:position w:val="1"/>
                <w:sz w:val="17"/>
                <w:szCs w:val="17"/>
              </w:rPr>
              <w:t>36</w:t>
            </w:r>
          </w:p>
        </w:tc>
        <w:tc>
          <w:tcPr>
            <w:tcW w:w="942" w:type="dxa"/>
            <w:vAlign w:val="top"/>
          </w:tcPr>
          <w:p w14:paraId="2AE75C99">
            <w:pPr>
              <w:pStyle w:val="51"/>
              <w:spacing w:before="111" w:line="230" w:lineRule="auto"/>
              <w:ind w:left="296"/>
              <w:rPr>
                <w:sz w:val="17"/>
                <w:szCs w:val="17"/>
              </w:rPr>
            </w:pPr>
            <w:r>
              <w:rPr>
                <w:spacing w:val="4"/>
                <w:sz w:val="17"/>
                <w:szCs w:val="17"/>
              </w:rPr>
              <w:t>豆类</w:t>
            </w:r>
          </w:p>
        </w:tc>
        <w:tc>
          <w:tcPr>
            <w:tcW w:w="1360" w:type="dxa"/>
            <w:vAlign w:val="top"/>
          </w:tcPr>
          <w:p w14:paraId="3F6DA0D7">
            <w:pPr>
              <w:pStyle w:val="51"/>
              <w:spacing w:before="111" w:line="230" w:lineRule="auto"/>
              <w:ind w:left="506"/>
              <w:rPr>
                <w:sz w:val="17"/>
                <w:szCs w:val="17"/>
              </w:rPr>
            </w:pPr>
            <w:r>
              <w:rPr>
                <w:spacing w:val="4"/>
                <w:sz w:val="17"/>
                <w:szCs w:val="17"/>
              </w:rPr>
              <w:t>豆类</w:t>
            </w:r>
          </w:p>
        </w:tc>
        <w:tc>
          <w:tcPr>
            <w:tcW w:w="1581" w:type="dxa"/>
            <w:vAlign w:val="top"/>
          </w:tcPr>
          <w:p w14:paraId="61E83112">
            <w:pPr>
              <w:pStyle w:val="51"/>
              <w:spacing w:before="111" w:line="230" w:lineRule="auto"/>
              <w:ind w:left="618"/>
              <w:rPr>
                <w:sz w:val="17"/>
                <w:szCs w:val="17"/>
              </w:rPr>
            </w:pPr>
            <w:r>
              <w:rPr>
                <w:spacing w:val="4"/>
                <w:sz w:val="17"/>
                <w:szCs w:val="17"/>
              </w:rPr>
              <w:t>豆类</w:t>
            </w:r>
          </w:p>
        </w:tc>
        <w:tc>
          <w:tcPr>
            <w:tcW w:w="1586" w:type="dxa"/>
            <w:vAlign w:val="top"/>
          </w:tcPr>
          <w:p w14:paraId="4838C8EC">
            <w:pPr>
              <w:pStyle w:val="51"/>
              <w:spacing w:before="111" w:line="230" w:lineRule="auto"/>
              <w:ind w:left="620"/>
              <w:rPr>
                <w:sz w:val="17"/>
                <w:szCs w:val="17"/>
              </w:rPr>
            </w:pPr>
            <w:r>
              <w:rPr>
                <w:spacing w:val="4"/>
                <w:sz w:val="17"/>
                <w:szCs w:val="17"/>
              </w:rPr>
              <w:t>豆类</w:t>
            </w:r>
          </w:p>
        </w:tc>
        <w:tc>
          <w:tcPr>
            <w:tcW w:w="682" w:type="dxa"/>
            <w:vAlign w:val="top"/>
          </w:tcPr>
          <w:p w14:paraId="269AE289">
            <w:pPr>
              <w:pStyle w:val="51"/>
              <w:spacing w:before="111" w:line="230" w:lineRule="auto"/>
              <w:ind w:left="173"/>
              <w:rPr>
                <w:sz w:val="17"/>
                <w:szCs w:val="17"/>
              </w:rPr>
            </w:pPr>
            <w:r>
              <w:rPr>
                <w:spacing w:val="2"/>
                <w:sz w:val="17"/>
                <w:szCs w:val="17"/>
              </w:rPr>
              <w:t>一般</w:t>
            </w:r>
          </w:p>
        </w:tc>
        <w:tc>
          <w:tcPr>
            <w:tcW w:w="8563" w:type="dxa"/>
            <w:vAlign w:val="top"/>
          </w:tcPr>
          <w:p w14:paraId="6DB4A9BA">
            <w:pPr>
              <w:pStyle w:val="51"/>
              <w:spacing w:before="111" w:line="227" w:lineRule="auto"/>
              <w:ind w:left="37"/>
              <w:rPr>
                <w:sz w:val="17"/>
                <w:szCs w:val="17"/>
              </w:rPr>
            </w:pPr>
            <w:r>
              <w:rPr>
                <w:spacing w:val="5"/>
                <w:sz w:val="17"/>
                <w:szCs w:val="17"/>
              </w:rPr>
              <w:t>铅(以</w:t>
            </w:r>
            <w:r>
              <w:rPr>
                <w:sz w:val="17"/>
                <w:szCs w:val="17"/>
              </w:rPr>
              <w:t>Pb</w:t>
            </w:r>
            <w:r>
              <w:rPr>
                <w:spacing w:val="5"/>
                <w:sz w:val="17"/>
                <w:szCs w:val="17"/>
              </w:rPr>
              <w:t>计)、铬(以</w:t>
            </w:r>
            <w:r>
              <w:rPr>
                <w:sz w:val="17"/>
                <w:szCs w:val="17"/>
              </w:rPr>
              <w:t>Cr</w:t>
            </w:r>
            <w:r>
              <w:rPr>
                <w:spacing w:val="5"/>
                <w:sz w:val="17"/>
                <w:szCs w:val="17"/>
              </w:rPr>
              <w:t>计)、赭曲霉毒素A、吡虫啉、环丙唑醇、</w:t>
            </w:r>
            <w:r>
              <w:rPr>
                <w:spacing w:val="71"/>
                <w:sz w:val="17"/>
                <w:szCs w:val="17"/>
              </w:rPr>
              <w:t xml:space="preserve"> </w:t>
            </w:r>
            <w:r>
              <w:rPr>
                <w:spacing w:val="5"/>
                <w:sz w:val="17"/>
                <w:szCs w:val="17"/>
              </w:rPr>
              <w:t>噻虫胺、噻虫嗪</w:t>
            </w:r>
          </w:p>
        </w:tc>
      </w:tr>
      <w:tr w14:paraId="68C8F5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59" w:type="dxa"/>
            <w:vMerge w:val="restart"/>
            <w:tcBorders>
              <w:bottom w:val="nil"/>
            </w:tcBorders>
            <w:vAlign w:val="top"/>
          </w:tcPr>
          <w:p w14:paraId="68DB3876">
            <w:pPr>
              <w:spacing w:line="402" w:lineRule="auto"/>
              <w:rPr>
                <w:rFonts w:ascii="Arial"/>
                <w:sz w:val="21"/>
              </w:rPr>
            </w:pPr>
          </w:p>
          <w:p w14:paraId="595E1DED">
            <w:pPr>
              <w:pStyle w:val="51"/>
              <w:spacing w:before="55" w:line="227" w:lineRule="exact"/>
              <w:ind w:left="146"/>
              <w:rPr>
                <w:sz w:val="17"/>
                <w:szCs w:val="17"/>
              </w:rPr>
            </w:pPr>
            <w:r>
              <w:rPr>
                <w:spacing w:val="-1"/>
                <w:position w:val="1"/>
                <w:sz w:val="17"/>
                <w:szCs w:val="17"/>
              </w:rPr>
              <w:t>37</w:t>
            </w:r>
          </w:p>
        </w:tc>
        <w:tc>
          <w:tcPr>
            <w:tcW w:w="942" w:type="dxa"/>
            <w:vMerge w:val="restart"/>
            <w:tcBorders>
              <w:bottom w:val="nil"/>
            </w:tcBorders>
            <w:vAlign w:val="top"/>
          </w:tcPr>
          <w:p w14:paraId="7B4D3FDA">
            <w:pPr>
              <w:pStyle w:val="51"/>
              <w:spacing w:before="159" w:line="228" w:lineRule="auto"/>
              <w:ind w:left="127"/>
              <w:rPr>
                <w:sz w:val="17"/>
                <w:szCs w:val="17"/>
              </w:rPr>
            </w:pPr>
            <w:r>
              <w:rPr>
                <w:spacing w:val="4"/>
                <w:sz w:val="17"/>
                <w:szCs w:val="17"/>
              </w:rPr>
              <w:t>生干坚果</w:t>
            </w:r>
          </w:p>
          <w:p w14:paraId="5D0188C6">
            <w:pPr>
              <w:pStyle w:val="51"/>
              <w:spacing w:before="90" w:line="314" w:lineRule="auto"/>
              <w:ind w:left="406" w:right="112" w:hanging="283"/>
              <w:rPr>
                <w:sz w:val="17"/>
                <w:szCs w:val="17"/>
              </w:rPr>
            </w:pPr>
            <w:r>
              <w:rPr>
                <w:spacing w:val="5"/>
                <w:sz w:val="17"/>
                <w:szCs w:val="17"/>
              </w:rPr>
              <w:t>与籽类食</w:t>
            </w:r>
            <w:r>
              <w:rPr>
                <w:sz w:val="17"/>
                <w:szCs w:val="17"/>
              </w:rPr>
              <w:t>品</w:t>
            </w:r>
          </w:p>
        </w:tc>
        <w:tc>
          <w:tcPr>
            <w:tcW w:w="1360" w:type="dxa"/>
            <w:vMerge w:val="restart"/>
            <w:tcBorders>
              <w:bottom w:val="nil"/>
            </w:tcBorders>
            <w:vAlign w:val="top"/>
          </w:tcPr>
          <w:p w14:paraId="63BD8556">
            <w:pPr>
              <w:spacing w:line="254" w:lineRule="auto"/>
              <w:rPr>
                <w:rFonts w:ascii="Arial"/>
                <w:sz w:val="21"/>
              </w:rPr>
            </w:pPr>
          </w:p>
          <w:p w14:paraId="3DC8E1AD">
            <w:pPr>
              <w:pStyle w:val="51"/>
              <w:spacing w:before="55" w:line="330" w:lineRule="auto"/>
              <w:ind w:left="506" w:right="51" w:hanging="440"/>
              <w:rPr>
                <w:sz w:val="17"/>
                <w:szCs w:val="17"/>
              </w:rPr>
            </w:pPr>
            <w:r>
              <w:rPr>
                <w:spacing w:val="6"/>
                <w:sz w:val="17"/>
                <w:szCs w:val="17"/>
              </w:rPr>
              <w:t>生干坚果与籽类</w:t>
            </w:r>
            <w:r>
              <w:rPr>
                <w:spacing w:val="4"/>
                <w:sz w:val="17"/>
                <w:szCs w:val="17"/>
              </w:rPr>
              <w:t>食品</w:t>
            </w:r>
          </w:p>
        </w:tc>
        <w:tc>
          <w:tcPr>
            <w:tcW w:w="1581" w:type="dxa"/>
            <w:vMerge w:val="restart"/>
            <w:tcBorders>
              <w:bottom w:val="nil"/>
            </w:tcBorders>
            <w:vAlign w:val="top"/>
          </w:tcPr>
          <w:p w14:paraId="2705D37B">
            <w:pPr>
              <w:spacing w:line="253" w:lineRule="auto"/>
              <w:rPr>
                <w:rFonts w:ascii="Arial"/>
                <w:sz w:val="21"/>
              </w:rPr>
            </w:pPr>
          </w:p>
          <w:p w14:paraId="3205CCC3">
            <w:pPr>
              <w:pStyle w:val="51"/>
              <w:spacing w:before="56" w:line="227" w:lineRule="auto"/>
              <w:ind w:left="88"/>
              <w:rPr>
                <w:sz w:val="17"/>
                <w:szCs w:val="17"/>
              </w:rPr>
            </w:pPr>
            <w:r>
              <w:rPr>
                <w:spacing w:val="7"/>
                <w:sz w:val="17"/>
                <w:szCs w:val="17"/>
              </w:rPr>
              <w:t>生干坚果与籽类食</w:t>
            </w:r>
          </w:p>
          <w:p w14:paraId="1E9B9848">
            <w:pPr>
              <w:pStyle w:val="51"/>
              <w:spacing w:before="91" w:line="241" w:lineRule="auto"/>
              <w:ind w:left="729"/>
              <w:rPr>
                <w:sz w:val="17"/>
                <w:szCs w:val="17"/>
              </w:rPr>
            </w:pPr>
            <w:r>
              <w:rPr>
                <w:sz w:val="17"/>
                <w:szCs w:val="17"/>
              </w:rPr>
              <w:t>品</w:t>
            </w:r>
          </w:p>
        </w:tc>
        <w:tc>
          <w:tcPr>
            <w:tcW w:w="1586" w:type="dxa"/>
            <w:vAlign w:val="top"/>
          </w:tcPr>
          <w:p w14:paraId="1FECCDFA">
            <w:pPr>
              <w:pStyle w:val="51"/>
              <w:spacing w:before="111" w:line="228" w:lineRule="auto"/>
              <w:ind w:left="451"/>
              <w:rPr>
                <w:sz w:val="17"/>
                <w:szCs w:val="17"/>
              </w:rPr>
            </w:pPr>
            <w:r>
              <w:rPr>
                <w:spacing w:val="4"/>
                <w:sz w:val="17"/>
                <w:szCs w:val="17"/>
              </w:rPr>
              <w:t>生干坚果</w:t>
            </w:r>
          </w:p>
        </w:tc>
        <w:tc>
          <w:tcPr>
            <w:tcW w:w="682" w:type="dxa"/>
            <w:vAlign w:val="top"/>
          </w:tcPr>
          <w:p w14:paraId="3E8C23B2">
            <w:pPr>
              <w:pStyle w:val="51"/>
              <w:spacing w:before="112" w:line="230" w:lineRule="auto"/>
              <w:ind w:left="173"/>
              <w:rPr>
                <w:sz w:val="17"/>
                <w:szCs w:val="17"/>
              </w:rPr>
            </w:pPr>
            <w:r>
              <w:rPr>
                <w:spacing w:val="2"/>
                <w:sz w:val="17"/>
                <w:szCs w:val="17"/>
              </w:rPr>
              <w:t>一般</w:t>
            </w:r>
          </w:p>
        </w:tc>
        <w:tc>
          <w:tcPr>
            <w:tcW w:w="8563" w:type="dxa"/>
            <w:vAlign w:val="top"/>
          </w:tcPr>
          <w:p w14:paraId="10173222">
            <w:pPr>
              <w:pStyle w:val="51"/>
              <w:spacing w:before="111" w:line="228" w:lineRule="auto"/>
              <w:ind w:left="37"/>
              <w:rPr>
                <w:sz w:val="17"/>
                <w:szCs w:val="17"/>
              </w:rPr>
            </w:pPr>
            <w:r>
              <w:rPr>
                <w:spacing w:val="9"/>
                <w:sz w:val="17"/>
                <w:szCs w:val="17"/>
              </w:rPr>
              <w:t>酸价(以脂肪计)(</w:t>
            </w:r>
            <w:r>
              <w:rPr>
                <w:sz w:val="17"/>
                <w:szCs w:val="17"/>
              </w:rPr>
              <w:t>KOH</w:t>
            </w:r>
            <w:r>
              <w:rPr>
                <w:spacing w:val="9"/>
                <w:sz w:val="17"/>
                <w:szCs w:val="17"/>
              </w:rPr>
              <w:t>)、过氧化值(以脂肪计)、二氧化</w:t>
            </w:r>
            <w:r>
              <w:rPr>
                <w:spacing w:val="8"/>
                <w:sz w:val="17"/>
                <w:szCs w:val="17"/>
              </w:rPr>
              <w:t>硫残留量、吡虫啉</w:t>
            </w:r>
          </w:p>
        </w:tc>
      </w:tr>
      <w:tr w14:paraId="3927C3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59" w:type="dxa"/>
            <w:vMerge w:val="continue"/>
            <w:tcBorders>
              <w:top w:val="nil"/>
              <w:bottom w:val="nil"/>
            </w:tcBorders>
            <w:vAlign w:val="top"/>
          </w:tcPr>
          <w:p w14:paraId="35AA2DD7">
            <w:pPr>
              <w:rPr>
                <w:rFonts w:ascii="Arial"/>
                <w:sz w:val="21"/>
              </w:rPr>
            </w:pPr>
          </w:p>
        </w:tc>
        <w:tc>
          <w:tcPr>
            <w:tcW w:w="942" w:type="dxa"/>
            <w:vMerge w:val="continue"/>
            <w:tcBorders>
              <w:top w:val="nil"/>
              <w:bottom w:val="nil"/>
            </w:tcBorders>
            <w:vAlign w:val="top"/>
          </w:tcPr>
          <w:p w14:paraId="794F8B88">
            <w:pPr>
              <w:rPr>
                <w:rFonts w:ascii="Arial"/>
                <w:sz w:val="21"/>
              </w:rPr>
            </w:pPr>
          </w:p>
        </w:tc>
        <w:tc>
          <w:tcPr>
            <w:tcW w:w="1360" w:type="dxa"/>
            <w:vMerge w:val="continue"/>
            <w:tcBorders>
              <w:top w:val="nil"/>
              <w:bottom w:val="nil"/>
            </w:tcBorders>
            <w:vAlign w:val="top"/>
          </w:tcPr>
          <w:p w14:paraId="2DA4DD2F">
            <w:pPr>
              <w:rPr>
                <w:rFonts w:ascii="Arial"/>
                <w:sz w:val="21"/>
              </w:rPr>
            </w:pPr>
          </w:p>
        </w:tc>
        <w:tc>
          <w:tcPr>
            <w:tcW w:w="1581" w:type="dxa"/>
            <w:vMerge w:val="continue"/>
            <w:tcBorders>
              <w:top w:val="nil"/>
              <w:bottom w:val="nil"/>
            </w:tcBorders>
            <w:vAlign w:val="top"/>
          </w:tcPr>
          <w:p w14:paraId="6B6AD3B5">
            <w:pPr>
              <w:rPr>
                <w:rFonts w:ascii="Arial"/>
                <w:sz w:val="21"/>
              </w:rPr>
            </w:pPr>
          </w:p>
        </w:tc>
        <w:tc>
          <w:tcPr>
            <w:tcW w:w="1586" w:type="dxa"/>
            <w:vAlign w:val="top"/>
          </w:tcPr>
          <w:p w14:paraId="6781A1F3">
            <w:pPr>
              <w:pStyle w:val="51"/>
              <w:spacing w:before="109" w:line="226" w:lineRule="auto"/>
              <w:ind w:left="622"/>
              <w:rPr>
                <w:sz w:val="17"/>
                <w:szCs w:val="17"/>
              </w:rPr>
            </w:pPr>
            <w:r>
              <w:rPr>
                <w:spacing w:val="3"/>
                <w:sz w:val="17"/>
                <w:szCs w:val="17"/>
              </w:rPr>
              <w:t>花生</w:t>
            </w:r>
          </w:p>
        </w:tc>
        <w:tc>
          <w:tcPr>
            <w:tcW w:w="682" w:type="dxa"/>
            <w:vAlign w:val="top"/>
          </w:tcPr>
          <w:p w14:paraId="2F00E1F2">
            <w:pPr>
              <w:pStyle w:val="51"/>
              <w:spacing w:before="110" w:line="230" w:lineRule="auto"/>
              <w:ind w:left="173"/>
              <w:rPr>
                <w:sz w:val="17"/>
                <w:szCs w:val="17"/>
              </w:rPr>
            </w:pPr>
            <w:r>
              <w:rPr>
                <w:spacing w:val="2"/>
                <w:sz w:val="17"/>
                <w:szCs w:val="17"/>
              </w:rPr>
              <w:t>一般</w:t>
            </w:r>
          </w:p>
        </w:tc>
        <w:tc>
          <w:tcPr>
            <w:tcW w:w="8563" w:type="dxa"/>
            <w:vAlign w:val="top"/>
          </w:tcPr>
          <w:p w14:paraId="3A100772">
            <w:pPr>
              <w:pStyle w:val="51"/>
              <w:spacing w:before="110" w:line="241" w:lineRule="auto"/>
              <w:ind w:left="37"/>
              <w:rPr>
                <w:sz w:val="17"/>
                <w:szCs w:val="17"/>
              </w:rPr>
            </w:pPr>
            <w:r>
              <w:rPr>
                <w:spacing w:val="9"/>
                <w:sz w:val="17"/>
                <w:szCs w:val="17"/>
              </w:rPr>
              <w:t>酸价(以脂肪计)(</w:t>
            </w:r>
            <w:r>
              <w:rPr>
                <w:sz w:val="17"/>
                <w:szCs w:val="17"/>
              </w:rPr>
              <w:t>KOH</w:t>
            </w:r>
            <w:r>
              <w:rPr>
                <w:spacing w:val="9"/>
                <w:sz w:val="17"/>
                <w:szCs w:val="17"/>
              </w:rPr>
              <w:t>)、过氧化值(以脂肪计</w:t>
            </w:r>
            <w:r>
              <w:rPr>
                <w:spacing w:val="8"/>
                <w:sz w:val="17"/>
                <w:szCs w:val="17"/>
              </w:rPr>
              <w:t>)、铅(以</w:t>
            </w:r>
            <w:r>
              <w:rPr>
                <w:sz w:val="17"/>
                <w:szCs w:val="17"/>
              </w:rPr>
              <w:t>Pb</w:t>
            </w:r>
            <w:r>
              <w:rPr>
                <w:spacing w:val="8"/>
                <w:sz w:val="17"/>
                <w:szCs w:val="17"/>
              </w:rPr>
              <w:t>计)、镉(以</w:t>
            </w:r>
            <w:r>
              <w:rPr>
                <w:sz w:val="17"/>
                <w:szCs w:val="17"/>
              </w:rPr>
              <w:t>Cd</w:t>
            </w:r>
            <w:r>
              <w:rPr>
                <w:spacing w:val="8"/>
                <w:sz w:val="17"/>
                <w:szCs w:val="17"/>
              </w:rPr>
              <w:t>计)、黄曲霉毒素B</w:t>
            </w:r>
            <w:r>
              <w:rPr>
                <w:spacing w:val="8"/>
                <w:position w:val="-2"/>
                <w:sz w:val="8"/>
                <w:szCs w:val="8"/>
              </w:rPr>
              <w:t>1</w:t>
            </w:r>
            <w:r>
              <w:rPr>
                <w:spacing w:val="-13"/>
                <w:position w:val="-2"/>
                <w:sz w:val="8"/>
                <w:szCs w:val="8"/>
              </w:rPr>
              <w:t xml:space="preserve"> </w:t>
            </w:r>
            <w:r>
              <w:rPr>
                <w:spacing w:val="8"/>
                <w:sz w:val="17"/>
                <w:szCs w:val="17"/>
              </w:rPr>
              <w:t>、噻虫嗪、噻虫胺</w:t>
            </w:r>
          </w:p>
        </w:tc>
      </w:tr>
      <w:tr w14:paraId="1B50F4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459" w:type="dxa"/>
            <w:vMerge w:val="continue"/>
            <w:tcBorders>
              <w:top w:val="nil"/>
            </w:tcBorders>
            <w:vAlign w:val="top"/>
          </w:tcPr>
          <w:p w14:paraId="246853E6">
            <w:pPr>
              <w:rPr>
                <w:rFonts w:ascii="Arial"/>
                <w:sz w:val="21"/>
              </w:rPr>
            </w:pPr>
          </w:p>
        </w:tc>
        <w:tc>
          <w:tcPr>
            <w:tcW w:w="942" w:type="dxa"/>
            <w:vMerge w:val="continue"/>
            <w:tcBorders>
              <w:top w:val="nil"/>
            </w:tcBorders>
            <w:vAlign w:val="top"/>
          </w:tcPr>
          <w:p w14:paraId="39FE6C2E">
            <w:pPr>
              <w:rPr>
                <w:rFonts w:ascii="Arial"/>
                <w:sz w:val="21"/>
              </w:rPr>
            </w:pPr>
          </w:p>
        </w:tc>
        <w:tc>
          <w:tcPr>
            <w:tcW w:w="1360" w:type="dxa"/>
            <w:vMerge w:val="continue"/>
            <w:tcBorders>
              <w:top w:val="nil"/>
            </w:tcBorders>
            <w:vAlign w:val="top"/>
          </w:tcPr>
          <w:p w14:paraId="40D1EE12">
            <w:pPr>
              <w:rPr>
                <w:rFonts w:ascii="Arial"/>
                <w:sz w:val="21"/>
              </w:rPr>
            </w:pPr>
          </w:p>
        </w:tc>
        <w:tc>
          <w:tcPr>
            <w:tcW w:w="1581" w:type="dxa"/>
            <w:vMerge w:val="continue"/>
            <w:tcBorders>
              <w:top w:val="nil"/>
            </w:tcBorders>
            <w:vAlign w:val="top"/>
          </w:tcPr>
          <w:p w14:paraId="365AC93E">
            <w:pPr>
              <w:rPr>
                <w:rFonts w:ascii="Arial"/>
                <w:sz w:val="21"/>
              </w:rPr>
            </w:pPr>
          </w:p>
        </w:tc>
        <w:tc>
          <w:tcPr>
            <w:tcW w:w="1586" w:type="dxa"/>
            <w:vAlign w:val="top"/>
          </w:tcPr>
          <w:p w14:paraId="617E68E2">
            <w:pPr>
              <w:pStyle w:val="51"/>
              <w:spacing w:before="109" w:line="227" w:lineRule="auto"/>
              <w:ind w:left="442"/>
              <w:rPr>
                <w:sz w:val="17"/>
                <w:szCs w:val="17"/>
              </w:rPr>
            </w:pPr>
            <w:r>
              <w:rPr>
                <w:spacing w:val="6"/>
                <w:sz w:val="17"/>
                <w:szCs w:val="17"/>
              </w:rPr>
              <w:t>其他籽类</w:t>
            </w:r>
          </w:p>
        </w:tc>
        <w:tc>
          <w:tcPr>
            <w:tcW w:w="682" w:type="dxa"/>
            <w:vAlign w:val="top"/>
          </w:tcPr>
          <w:p w14:paraId="463152D8">
            <w:pPr>
              <w:pStyle w:val="51"/>
              <w:spacing w:before="110" w:line="230" w:lineRule="auto"/>
              <w:ind w:left="173"/>
              <w:rPr>
                <w:sz w:val="17"/>
                <w:szCs w:val="17"/>
              </w:rPr>
            </w:pPr>
            <w:r>
              <w:rPr>
                <w:spacing w:val="2"/>
                <w:sz w:val="17"/>
                <w:szCs w:val="17"/>
              </w:rPr>
              <w:t>一般</w:t>
            </w:r>
          </w:p>
        </w:tc>
        <w:tc>
          <w:tcPr>
            <w:tcW w:w="8563" w:type="dxa"/>
            <w:vAlign w:val="top"/>
          </w:tcPr>
          <w:p w14:paraId="4A00CA4C">
            <w:pPr>
              <w:pStyle w:val="51"/>
              <w:spacing w:before="110" w:line="228" w:lineRule="auto"/>
              <w:ind w:left="37"/>
              <w:rPr>
                <w:sz w:val="17"/>
                <w:szCs w:val="17"/>
              </w:rPr>
            </w:pPr>
            <w:r>
              <w:rPr>
                <w:spacing w:val="9"/>
                <w:sz w:val="17"/>
                <w:szCs w:val="17"/>
              </w:rPr>
              <w:t>酸价(以脂肪计)(</w:t>
            </w:r>
            <w:r>
              <w:rPr>
                <w:sz w:val="17"/>
                <w:szCs w:val="17"/>
              </w:rPr>
              <w:t>KOH</w:t>
            </w:r>
            <w:r>
              <w:rPr>
                <w:spacing w:val="9"/>
                <w:sz w:val="17"/>
                <w:szCs w:val="17"/>
              </w:rPr>
              <w:t>)、过氧化值(以脂肪计)、铅(以</w:t>
            </w:r>
            <w:r>
              <w:rPr>
                <w:sz w:val="17"/>
                <w:szCs w:val="17"/>
              </w:rPr>
              <w:t>Pb</w:t>
            </w:r>
            <w:r>
              <w:rPr>
                <w:spacing w:val="9"/>
                <w:sz w:val="17"/>
                <w:szCs w:val="17"/>
              </w:rPr>
              <w:t>计)</w:t>
            </w:r>
            <w:r>
              <w:rPr>
                <w:spacing w:val="8"/>
                <w:sz w:val="17"/>
                <w:szCs w:val="17"/>
              </w:rPr>
              <w:t>、噻虫嗪、噻虫胺</w:t>
            </w:r>
          </w:p>
        </w:tc>
      </w:tr>
    </w:tbl>
    <w:p w14:paraId="136B8766">
      <w:pPr>
        <w:rPr>
          <w:rFonts w:ascii="Arial"/>
          <w:sz w:val="21"/>
        </w:rPr>
      </w:pPr>
    </w:p>
    <w:p w14:paraId="36B7708E">
      <w:pPr>
        <w:rPr>
          <w:rFonts w:ascii="Arial" w:hAnsi="Arial" w:eastAsia="Arial" w:cs="Arial"/>
          <w:sz w:val="21"/>
          <w:szCs w:val="21"/>
        </w:rPr>
        <w:sectPr>
          <w:pgSz w:w="16838" w:h="11906"/>
          <w:pgMar w:top="1011" w:right="829" w:bottom="400" w:left="366" w:header="567" w:footer="567" w:gutter="0"/>
          <w:pgNumType w:fmt="decimal"/>
          <w:cols w:space="720" w:num="1"/>
        </w:sectPr>
      </w:pPr>
    </w:p>
    <w:p w14:paraId="17537604">
      <w:pPr>
        <w:spacing w:line="382" w:lineRule="auto"/>
        <w:rPr>
          <w:rFonts w:ascii="Arial"/>
          <w:sz w:val="21"/>
        </w:rPr>
      </w:pPr>
    </w:p>
    <w:p w14:paraId="52C28816">
      <w:pPr>
        <w:spacing w:before="100" w:line="230" w:lineRule="auto"/>
        <w:ind w:left="1197"/>
        <w:rPr>
          <w:rFonts w:ascii="黑体" w:hAnsi="黑体" w:eastAsia="黑体" w:cs="黑体"/>
          <w:sz w:val="31"/>
          <w:szCs w:val="31"/>
        </w:rPr>
      </w:pPr>
      <w:r>
        <w:rPr>
          <w:rFonts w:ascii="黑体" w:hAnsi="黑体" w:eastAsia="黑体" w:cs="黑体"/>
          <w:spacing w:val="-2"/>
          <w:sz w:val="31"/>
          <w:szCs w:val="31"/>
        </w:rPr>
        <w:t>附件3</w:t>
      </w:r>
    </w:p>
    <w:p w14:paraId="75E2FA35">
      <w:pPr>
        <w:spacing w:before="35" w:line="214" w:lineRule="auto"/>
        <w:ind w:left="5213"/>
        <w:rPr>
          <w:rFonts w:ascii="宋体" w:hAnsi="宋体" w:eastAsia="宋体" w:cs="宋体"/>
          <w:sz w:val="43"/>
          <w:szCs w:val="43"/>
        </w:rPr>
      </w:pPr>
      <w:r>
        <w:rPr>
          <w:rFonts w:ascii="宋体" w:hAnsi="宋体" w:eastAsia="宋体" w:cs="宋体"/>
          <w:b/>
          <w:bCs/>
          <w:spacing w:val="3"/>
          <w:sz w:val="43"/>
          <w:szCs w:val="43"/>
        </w:rPr>
        <w:t>食用农产品必检品种、项目表</w:t>
      </w:r>
    </w:p>
    <w:p w14:paraId="1DBCD844">
      <w:pPr>
        <w:spacing w:line="203" w:lineRule="exact"/>
      </w:pPr>
    </w:p>
    <w:tbl>
      <w:tblPr>
        <w:tblStyle w:val="50"/>
        <w:tblW w:w="15171" w:type="dxa"/>
        <w:tblInd w:w="65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19"/>
        <w:gridCol w:w="1050"/>
        <w:gridCol w:w="1080"/>
        <w:gridCol w:w="1829"/>
        <w:gridCol w:w="3314"/>
        <w:gridCol w:w="6118"/>
        <w:gridCol w:w="1161"/>
      </w:tblGrid>
      <w:tr w14:paraId="2CD571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619" w:type="dxa"/>
            <w:vAlign w:val="top"/>
          </w:tcPr>
          <w:p w14:paraId="5A4EF92C">
            <w:pPr>
              <w:spacing w:before="240" w:line="234" w:lineRule="auto"/>
              <w:ind w:left="133"/>
              <w:rPr>
                <w:rFonts w:ascii="黑体" w:hAnsi="黑体" w:eastAsia="黑体" w:cs="黑体"/>
                <w:sz w:val="17"/>
                <w:szCs w:val="17"/>
              </w:rPr>
            </w:pPr>
            <w:r>
              <w:rPr>
                <w:rFonts w:ascii="黑体" w:hAnsi="黑体" w:eastAsia="黑体" w:cs="黑体"/>
                <w:spacing w:val="6"/>
                <w:sz w:val="17"/>
                <w:szCs w:val="17"/>
              </w:rPr>
              <w:t>序号</w:t>
            </w:r>
          </w:p>
        </w:tc>
        <w:tc>
          <w:tcPr>
            <w:tcW w:w="1050" w:type="dxa"/>
            <w:vAlign w:val="top"/>
          </w:tcPr>
          <w:p w14:paraId="31008360">
            <w:pPr>
              <w:spacing w:before="89" w:line="232" w:lineRule="auto"/>
              <w:ind w:left="166"/>
              <w:rPr>
                <w:rFonts w:ascii="黑体" w:hAnsi="黑体" w:eastAsia="黑体" w:cs="黑体"/>
                <w:sz w:val="17"/>
                <w:szCs w:val="17"/>
              </w:rPr>
            </w:pPr>
            <w:r>
              <w:rPr>
                <w:rFonts w:ascii="黑体" w:hAnsi="黑体" w:eastAsia="黑体" w:cs="黑体"/>
                <w:spacing w:val="8"/>
                <w:sz w:val="17"/>
                <w:szCs w:val="17"/>
              </w:rPr>
              <w:t>食品亚类</w:t>
            </w:r>
          </w:p>
          <w:p w14:paraId="2DAEB60A">
            <w:pPr>
              <w:spacing w:before="86" w:line="227" w:lineRule="auto"/>
              <w:ind w:left="291"/>
              <w:rPr>
                <w:rFonts w:ascii="黑体" w:hAnsi="黑体" w:eastAsia="黑体" w:cs="黑体"/>
                <w:sz w:val="17"/>
                <w:szCs w:val="17"/>
              </w:rPr>
            </w:pPr>
            <w:r>
              <w:rPr>
                <w:rFonts w:ascii="黑体" w:hAnsi="黑体" w:eastAsia="黑体" w:cs="黑体"/>
                <w:spacing w:val="-4"/>
                <w:sz w:val="17"/>
                <w:szCs w:val="17"/>
              </w:rPr>
              <w:t>(二级)</w:t>
            </w:r>
          </w:p>
        </w:tc>
        <w:tc>
          <w:tcPr>
            <w:tcW w:w="1080" w:type="dxa"/>
            <w:vAlign w:val="top"/>
          </w:tcPr>
          <w:p w14:paraId="0D863245">
            <w:pPr>
              <w:spacing w:before="89" w:line="232" w:lineRule="auto"/>
              <w:ind w:left="182"/>
              <w:rPr>
                <w:rFonts w:ascii="黑体" w:hAnsi="黑体" w:eastAsia="黑体" w:cs="黑体"/>
                <w:sz w:val="17"/>
                <w:szCs w:val="17"/>
              </w:rPr>
            </w:pPr>
            <w:r>
              <w:rPr>
                <w:rFonts w:ascii="黑体" w:hAnsi="黑体" w:eastAsia="黑体" w:cs="黑体"/>
                <w:spacing w:val="8"/>
                <w:sz w:val="17"/>
                <w:szCs w:val="17"/>
              </w:rPr>
              <w:t>食品品种</w:t>
            </w:r>
          </w:p>
          <w:p w14:paraId="0A59A4B6">
            <w:pPr>
              <w:spacing w:before="86" w:line="227" w:lineRule="auto"/>
              <w:ind w:left="307"/>
              <w:rPr>
                <w:rFonts w:ascii="黑体" w:hAnsi="黑体" w:eastAsia="黑体" w:cs="黑体"/>
                <w:sz w:val="17"/>
                <w:szCs w:val="17"/>
              </w:rPr>
            </w:pPr>
            <w:r>
              <w:rPr>
                <w:rFonts w:ascii="黑体" w:hAnsi="黑体" w:eastAsia="黑体" w:cs="黑体"/>
                <w:spacing w:val="-4"/>
                <w:sz w:val="17"/>
                <w:szCs w:val="17"/>
              </w:rPr>
              <w:t>(三级)</w:t>
            </w:r>
          </w:p>
        </w:tc>
        <w:tc>
          <w:tcPr>
            <w:tcW w:w="1829" w:type="dxa"/>
            <w:vAlign w:val="top"/>
          </w:tcPr>
          <w:p w14:paraId="24BD2513">
            <w:pPr>
              <w:spacing w:before="240" w:line="232" w:lineRule="auto"/>
              <w:ind w:left="287"/>
              <w:rPr>
                <w:rFonts w:ascii="黑体" w:hAnsi="黑体" w:eastAsia="黑体" w:cs="黑体"/>
                <w:sz w:val="17"/>
                <w:szCs w:val="17"/>
              </w:rPr>
            </w:pPr>
            <w:r>
              <w:rPr>
                <w:rFonts w:ascii="黑体" w:hAnsi="黑体" w:eastAsia="黑体" w:cs="黑体"/>
                <w:spacing w:val="7"/>
                <w:sz w:val="17"/>
                <w:szCs w:val="17"/>
              </w:rPr>
              <w:t>食品细类(四级)</w:t>
            </w:r>
          </w:p>
        </w:tc>
        <w:tc>
          <w:tcPr>
            <w:tcW w:w="3314" w:type="dxa"/>
            <w:vAlign w:val="top"/>
          </w:tcPr>
          <w:p w14:paraId="14273AC8">
            <w:pPr>
              <w:spacing w:before="240" w:line="233" w:lineRule="auto"/>
              <w:ind w:left="1300"/>
              <w:rPr>
                <w:rFonts w:ascii="黑体" w:hAnsi="黑体" w:eastAsia="黑体" w:cs="黑体"/>
                <w:sz w:val="17"/>
                <w:szCs w:val="17"/>
              </w:rPr>
            </w:pPr>
            <w:r>
              <w:rPr>
                <w:rFonts w:ascii="黑体" w:hAnsi="黑体" w:eastAsia="黑体" w:cs="黑体"/>
                <w:spacing w:val="8"/>
                <w:sz w:val="17"/>
                <w:szCs w:val="17"/>
              </w:rPr>
              <w:t>必检项目</w:t>
            </w:r>
          </w:p>
        </w:tc>
        <w:tc>
          <w:tcPr>
            <w:tcW w:w="6118" w:type="dxa"/>
            <w:vAlign w:val="top"/>
          </w:tcPr>
          <w:p w14:paraId="2C650FDE">
            <w:pPr>
              <w:spacing w:before="240" w:line="233" w:lineRule="auto"/>
              <w:ind w:left="2707"/>
              <w:rPr>
                <w:rFonts w:ascii="黑体" w:hAnsi="黑体" w:eastAsia="黑体" w:cs="黑体"/>
                <w:sz w:val="17"/>
                <w:szCs w:val="17"/>
              </w:rPr>
            </w:pPr>
            <w:r>
              <w:rPr>
                <w:rFonts w:ascii="黑体" w:hAnsi="黑体" w:eastAsia="黑体" w:cs="黑体"/>
                <w:spacing w:val="7"/>
                <w:sz w:val="17"/>
                <w:szCs w:val="17"/>
              </w:rPr>
              <w:t>可选项目</w:t>
            </w:r>
          </w:p>
        </w:tc>
        <w:tc>
          <w:tcPr>
            <w:tcW w:w="1161" w:type="dxa"/>
            <w:vAlign w:val="top"/>
          </w:tcPr>
          <w:p w14:paraId="3492E392">
            <w:pPr>
              <w:spacing w:before="240" w:line="233" w:lineRule="auto"/>
              <w:ind w:left="313"/>
              <w:rPr>
                <w:rFonts w:ascii="黑体" w:hAnsi="黑体" w:eastAsia="黑体" w:cs="黑体"/>
                <w:sz w:val="17"/>
                <w:szCs w:val="17"/>
              </w:rPr>
            </w:pPr>
            <w:r>
              <w:rPr>
                <w:rFonts w:ascii="黑体" w:hAnsi="黑体" w:eastAsia="黑体" w:cs="黑体"/>
                <w:spacing w:val="1"/>
                <w:sz w:val="17"/>
                <w:szCs w:val="17"/>
              </w:rPr>
              <w:t>备</w:t>
            </w:r>
            <w:r>
              <w:rPr>
                <w:rFonts w:ascii="黑体" w:hAnsi="黑体" w:eastAsia="黑体" w:cs="黑体"/>
                <w:spacing w:val="9"/>
                <w:sz w:val="17"/>
                <w:szCs w:val="17"/>
              </w:rPr>
              <w:t xml:space="preserve">  </w:t>
            </w:r>
            <w:r>
              <w:rPr>
                <w:rFonts w:ascii="黑体" w:hAnsi="黑体" w:eastAsia="黑体" w:cs="黑体"/>
                <w:spacing w:val="1"/>
                <w:sz w:val="17"/>
                <w:szCs w:val="17"/>
              </w:rPr>
              <w:t>注</w:t>
            </w:r>
          </w:p>
        </w:tc>
      </w:tr>
      <w:tr w14:paraId="3AE199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4" w:hRule="atLeast"/>
        </w:trPr>
        <w:tc>
          <w:tcPr>
            <w:tcW w:w="619" w:type="dxa"/>
            <w:vMerge w:val="restart"/>
            <w:tcBorders>
              <w:bottom w:val="nil"/>
            </w:tcBorders>
            <w:vAlign w:val="top"/>
          </w:tcPr>
          <w:p w14:paraId="602DF0AD">
            <w:pPr>
              <w:spacing w:line="245" w:lineRule="auto"/>
              <w:rPr>
                <w:rFonts w:ascii="Arial"/>
                <w:sz w:val="21"/>
              </w:rPr>
            </w:pPr>
          </w:p>
          <w:p w14:paraId="6B46A115">
            <w:pPr>
              <w:spacing w:line="245" w:lineRule="auto"/>
              <w:rPr>
                <w:rFonts w:ascii="Arial"/>
                <w:sz w:val="21"/>
              </w:rPr>
            </w:pPr>
          </w:p>
          <w:p w14:paraId="6B89CF70">
            <w:pPr>
              <w:spacing w:line="245" w:lineRule="auto"/>
              <w:rPr>
                <w:rFonts w:ascii="Arial"/>
                <w:sz w:val="21"/>
              </w:rPr>
            </w:pPr>
          </w:p>
          <w:p w14:paraId="5A1C7C63">
            <w:pPr>
              <w:spacing w:line="245" w:lineRule="auto"/>
              <w:rPr>
                <w:rFonts w:ascii="Arial"/>
                <w:sz w:val="21"/>
              </w:rPr>
            </w:pPr>
          </w:p>
          <w:p w14:paraId="267BDBE7">
            <w:pPr>
              <w:spacing w:line="245" w:lineRule="auto"/>
              <w:rPr>
                <w:rFonts w:ascii="Arial"/>
                <w:sz w:val="21"/>
              </w:rPr>
            </w:pPr>
          </w:p>
          <w:p w14:paraId="310022AD">
            <w:pPr>
              <w:spacing w:line="245" w:lineRule="auto"/>
              <w:rPr>
                <w:rFonts w:ascii="Arial"/>
                <w:sz w:val="21"/>
              </w:rPr>
            </w:pPr>
          </w:p>
          <w:p w14:paraId="5427E808">
            <w:pPr>
              <w:spacing w:line="245" w:lineRule="auto"/>
              <w:rPr>
                <w:rFonts w:ascii="Arial"/>
                <w:sz w:val="21"/>
              </w:rPr>
            </w:pPr>
          </w:p>
          <w:p w14:paraId="611DC627">
            <w:pPr>
              <w:spacing w:line="245" w:lineRule="auto"/>
              <w:rPr>
                <w:rFonts w:ascii="Arial"/>
                <w:sz w:val="21"/>
              </w:rPr>
            </w:pPr>
          </w:p>
          <w:p w14:paraId="3CD25D78">
            <w:pPr>
              <w:spacing w:line="245" w:lineRule="auto"/>
              <w:rPr>
                <w:rFonts w:ascii="Arial"/>
                <w:sz w:val="21"/>
              </w:rPr>
            </w:pPr>
          </w:p>
          <w:p w14:paraId="5D7B1F8B">
            <w:pPr>
              <w:pStyle w:val="51"/>
              <w:spacing w:before="56" w:line="228" w:lineRule="exact"/>
              <w:ind w:left="282"/>
              <w:rPr>
                <w:sz w:val="17"/>
                <w:szCs w:val="17"/>
              </w:rPr>
            </w:pPr>
            <w:r>
              <w:rPr>
                <w:position w:val="1"/>
                <w:sz w:val="17"/>
                <w:szCs w:val="17"/>
              </w:rPr>
              <w:t>1</w:t>
            </w:r>
          </w:p>
        </w:tc>
        <w:tc>
          <w:tcPr>
            <w:tcW w:w="1050" w:type="dxa"/>
            <w:vMerge w:val="restart"/>
            <w:tcBorders>
              <w:bottom w:val="nil"/>
            </w:tcBorders>
            <w:vAlign w:val="top"/>
          </w:tcPr>
          <w:p w14:paraId="0F79F68F">
            <w:pPr>
              <w:spacing w:line="257" w:lineRule="auto"/>
              <w:rPr>
                <w:rFonts w:ascii="Arial"/>
                <w:sz w:val="21"/>
              </w:rPr>
            </w:pPr>
          </w:p>
          <w:p w14:paraId="386939F1">
            <w:pPr>
              <w:spacing w:line="257" w:lineRule="auto"/>
              <w:rPr>
                <w:rFonts w:ascii="Arial"/>
                <w:sz w:val="21"/>
              </w:rPr>
            </w:pPr>
          </w:p>
          <w:p w14:paraId="7F9BF74D">
            <w:pPr>
              <w:spacing w:line="257" w:lineRule="auto"/>
              <w:rPr>
                <w:rFonts w:ascii="Arial"/>
                <w:sz w:val="21"/>
              </w:rPr>
            </w:pPr>
          </w:p>
          <w:p w14:paraId="54ED611F">
            <w:pPr>
              <w:spacing w:line="257" w:lineRule="auto"/>
              <w:rPr>
                <w:rFonts w:ascii="Arial"/>
                <w:sz w:val="21"/>
              </w:rPr>
            </w:pPr>
          </w:p>
          <w:p w14:paraId="55F62290">
            <w:pPr>
              <w:spacing w:line="257" w:lineRule="auto"/>
              <w:rPr>
                <w:rFonts w:ascii="Arial"/>
                <w:sz w:val="21"/>
              </w:rPr>
            </w:pPr>
          </w:p>
          <w:p w14:paraId="5287FEB2">
            <w:pPr>
              <w:spacing w:line="257" w:lineRule="auto"/>
              <w:rPr>
                <w:rFonts w:ascii="Arial"/>
                <w:sz w:val="21"/>
              </w:rPr>
            </w:pPr>
          </w:p>
          <w:p w14:paraId="5DED2FAA">
            <w:pPr>
              <w:spacing w:line="258" w:lineRule="auto"/>
              <w:rPr>
                <w:rFonts w:ascii="Arial"/>
                <w:sz w:val="21"/>
              </w:rPr>
            </w:pPr>
          </w:p>
          <w:p w14:paraId="6C5763E5">
            <w:pPr>
              <w:spacing w:line="258" w:lineRule="auto"/>
              <w:rPr>
                <w:rFonts w:ascii="Arial"/>
                <w:sz w:val="21"/>
              </w:rPr>
            </w:pPr>
          </w:p>
          <w:p w14:paraId="72FADC80">
            <w:pPr>
              <w:pStyle w:val="51"/>
              <w:spacing w:before="55" w:line="327" w:lineRule="auto"/>
              <w:ind w:left="352" w:right="74" w:hanging="263"/>
              <w:rPr>
                <w:sz w:val="17"/>
                <w:szCs w:val="17"/>
              </w:rPr>
            </w:pPr>
            <w:r>
              <w:rPr>
                <w:spacing w:val="6"/>
                <w:sz w:val="17"/>
                <w:szCs w:val="17"/>
              </w:rPr>
              <w:t>畜禽肉及副</w:t>
            </w:r>
            <w:r>
              <w:rPr>
                <w:spacing w:val="3"/>
                <w:sz w:val="17"/>
                <w:szCs w:val="17"/>
              </w:rPr>
              <w:t>产品</w:t>
            </w:r>
          </w:p>
        </w:tc>
        <w:tc>
          <w:tcPr>
            <w:tcW w:w="1080" w:type="dxa"/>
            <w:vMerge w:val="restart"/>
            <w:tcBorders>
              <w:bottom w:val="nil"/>
            </w:tcBorders>
            <w:vAlign w:val="top"/>
          </w:tcPr>
          <w:p w14:paraId="716C81C8">
            <w:pPr>
              <w:spacing w:line="281" w:lineRule="auto"/>
              <w:rPr>
                <w:rFonts w:ascii="Arial"/>
                <w:sz w:val="21"/>
              </w:rPr>
            </w:pPr>
          </w:p>
          <w:p w14:paraId="39F9622C">
            <w:pPr>
              <w:spacing w:line="281" w:lineRule="auto"/>
              <w:rPr>
                <w:rFonts w:ascii="Arial"/>
                <w:sz w:val="21"/>
              </w:rPr>
            </w:pPr>
          </w:p>
          <w:p w14:paraId="0E3B600C">
            <w:pPr>
              <w:spacing w:line="281" w:lineRule="auto"/>
              <w:rPr>
                <w:rFonts w:ascii="Arial"/>
                <w:sz w:val="21"/>
              </w:rPr>
            </w:pPr>
          </w:p>
          <w:p w14:paraId="62922B4E">
            <w:pPr>
              <w:spacing w:line="282" w:lineRule="auto"/>
              <w:rPr>
                <w:rFonts w:ascii="Arial"/>
                <w:sz w:val="21"/>
              </w:rPr>
            </w:pPr>
          </w:p>
          <w:p w14:paraId="1B9A9F28">
            <w:pPr>
              <w:pStyle w:val="51"/>
              <w:spacing w:before="55" w:line="229" w:lineRule="auto"/>
              <w:ind w:left="373"/>
              <w:rPr>
                <w:sz w:val="17"/>
                <w:szCs w:val="17"/>
              </w:rPr>
            </w:pPr>
            <w:r>
              <w:rPr>
                <w:sz w:val="17"/>
                <w:szCs w:val="17"/>
              </w:rPr>
              <w:t>畜肉</w:t>
            </w:r>
          </w:p>
        </w:tc>
        <w:tc>
          <w:tcPr>
            <w:tcW w:w="1829" w:type="dxa"/>
            <w:vAlign w:val="top"/>
          </w:tcPr>
          <w:p w14:paraId="4A35573A">
            <w:pPr>
              <w:spacing w:line="329" w:lineRule="auto"/>
              <w:rPr>
                <w:rFonts w:ascii="Arial"/>
                <w:sz w:val="21"/>
              </w:rPr>
            </w:pPr>
          </w:p>
          <w:p w14:paraId="66CB9F23">
            <w:pPr>
              <w:pStyle w:val="51"/>
              <w:spacing w:before="55" w:line="227" w:lineRule="auto"/>
              <w:ind w:left="743"/>
              <w:rPr>
                <w:sz w:val="17"/>
                <w:szCs w:val="17"/>
              </w:rPr>
            </w:pPr>
            <w:r>
              <w:rPr>
                <w:spacing w:val="3"/>
                <w:sz w:val="17"/>
                <w:szCs w:val="17"/>
              </w:rPr>
              <w:t>猪肉</w:t>
            </w:r>
          </w:p>
        </w:tc>
        <w:tc>
          <w:tcPr>
            <w:tcW w:w="3314" w:type="dxa"/>
            <w:vAlign w:val="top"/>
          </w:tcPr>
          <w:p w14:paraId="2505539A">
            <w:pPr>
              <w:pStyle w:val="51"/>
              <w:spacing w:before="237" w:line="326" w:lineRule="auto"/>
              <w:ind w:left="31" w:right="36" w:firstLine="7"/>
              <w:rPr>
                <w:sz w:val="17"/>
                <w:szCs w:val="17"/>
              </w:rPr>
            </w:pPr>
            <w:r>
              <w:rPr>
                <w:spacing w:val="9"/>
                <w:sz w:val="17"/>
                <w:szCs w:val="17"/>
              </w:rPr>
              <w:t>恩诺沙星、氟苯尼考、磺胺类(总量)、氯</w:t>
            </w:r>
            <w:r>
              <w:rPr>
                <w:spacing w:val="8"/>
                <w:sz w:val="17"/>
                <w:szCs w:val="17"/>
              </w:rPr>
              <w:t>霉素、沙丁胺醇、多西环素</w:t>
            </w:r>
          </w:p>
        </w:tc>
        <w:tc>
          <w:tcPr>
            <w:tcW w:w="6118" w:type="dxa"/>
            <w:vAlign w:val="top"/>
          </w:tcPr>
          <w:p w14:paraId="73F07EBD">
            <w:pPr>
              <w:pStyle w:val="51"/>
              <w:spacing w:before="87" w:line="292" w:lineRule="auto"/>
              <w:ind w:left="32"/>
              <w:jc w:val="both"/>
              <w:rPr>
                <w:sz w:val="17"/>
                <w:szCs w:val="17"/>
              </w:rPr>
            </w:pPr>
            <w:r>
              <w:rPr>
                <w:spacing w:val="7"/>
                <w:sz w:val="17"/>
                <w:szCs w:val="17"/>
              </w:rPr>
              <w:t>挥发性盐基氮、水分、呋喃唑酮代谢物、呋喃西林代谢物、克伦特罗、莱克多</w:t>
            </w:r>
            <w:r>
              <w:rPr>
                <w:spacing w:val="4"/>
                <w:sz w:val="17"/>
                <w:szCs w:val="17"/>
              </w:rPr>
              <w:t>巴胺、喹乙醇、替米考星、甲氧苄啶、地塞米松、甲</w:t>
            </w:r>
            <w:r>
              <w:rPr>
                <w:spacing w:val="3"/>
                <w:sz w:val="17"/>
                <w:szCs w:val="17"/>
              </w:rPr>
              <w:t>硝唑、氯丙嗪、林可霉素、</w:t>
            </w:r>
            <w:r>
              <w:rPr>
                <w:spacing w:val="6"/>
                <w:sz w:val="17"/>
                <w:szCs w:val="17"/>
              </w:rPr>
              <w:t>土霉素/金霉素/四环素(组合含量 )</w:t>
            </w:r>
          </w:p>
        </w:tc>
        <w:tc>
          <w:tcPr>
            <w:tcW w:w="1161" w:type="dxa"/>
            <w:vAlign w:val="top"/>
          </w:tcPr>
          <w:p w14:paraId="1C418CFC">
            <w:pPr>
              <w:rPr>
                <w:rFonts w:ascii="Arial"/>
                <w:sz w:val="21"/>
              </w:rPr>
            </w:pPr>
          </w:p>
        </w:tc>
      </w:tr>
      <w:tr w14:paraId="54A134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4" w:hRule="atLeast"/>
        </w:trPr>
        <w:tc>
          <w:tcPr>
            <w:tcW w:w="619" w:type="dxa"/>
            <w:vMerge w:val="continue"/>
            <w:tcBorders>
              <w:top w:val="nil"/>
              <w:bottom w:val="nil"/>
            </w:tcBorders>
            <w:vAlign w:val="top"/>
          </w:tcPr>
          <w:p w14:paraId="5B1E703A">
            <w:pPr>
              <w:rPr>
                <w:rFonts w:ascii="Arial"/>
                <w:sz w:val="21"/>
              </w:rPr>
            </w:pPr>
          </w:p>
        </w:tc>
        <w:tc>
          <w:tcPr>
            <w:tcW w:w="1050" w:type="dxa"/>
            <w:vMerge w:val="continue"/>
            <w:tcBorders>
              <w:top w:val="nil"/>
              <w:bottom w:val="nil"/>
            </w:tcBorders>
            <w:vAlign w:val="top"/>
          </w:tcPr>
          <w:p w14:paraId="3CFFFAC6">
            <w:pPr>
              <w:rPr>
                <w:rFonts w:ascii="Arial"/>
                <w:sz w:val="21"/>
              </w:rPr>
            </w:pPr>
          </w:p>
        </w:tc>
        <w:tc>
          <w:tcPr>
            <w:tcW w:w="1080" w:type="dxa"/>
            <w:vMerge w:val="continue"/>
            <w:tcBorders>
              <w:top w:val="nil"/>
              <w:bottom w:val="nil"/>
            </w:tcBorders>
            <w:vAlign w:val="top"/>
          </w:tcPr>
          <w:p w14:paraId="181477FB">
            <w:pPr>
              <w:rPr>
                <w:rFonts w:ascii="Arial"/>
                <w:sz w:val="21"/>
              </w:rPr>
            </w:pPr>
          </w:p>
        </w:tc>
        <w:tc>
          <w:tcPr>
            <w:tcW w:w="1829" w:type="dxa"/>
            <w:vAlign w:val="top"/>
          </w:tcPr>
          <w:p w14:paraId="6E902780">
            <w:pPr>
              <w:spacing w:line="331" w:lineRule="auto"/>
              <w:rPr>
                <w:rFonts w:ascii="Arial"/>
                <w:sz w:val="21"/>
              </w:rPr>
            </w:pPr>
          </w:p>
          <w:p w14:paraId="2FD1F67D">
            <w:pPr>
              <w:pStyle w:val="51"/>
              <w:spacing w:before="55" w:line="228" w:lineRule="auto"/>
              <w:ind w:left="743"/>
              <w:rPr>
                <w:sz w:val="17"/>
                <w:szCs w:val="17"/>
              </w:rPr>
            </w:pPr>
            <w:r>
              <w:rPr>
                <w:spacing w:val="3"/>
                <w:sz w:val="17"/>
                <w:szCs w:val="17"/>
              </w:rPr>
              <w:t>牛肉</w:t>
            </w:r>
          </w:p>
        </w:tc>
        <w:tc>
          <w:tcPr>
            <w:tcW w:w="3314" w:type="dxa"/>
            <w:vAlign w:val="top"/>
          </w:tcPr>
          <w:p w14:paraId="107D65DA">
            <w:pPr>
              <w:pStyle w:val="51"/>
              <w:spacing w:before="237" w:line="324" w:lineRule="auto"/>
              <w:ind w:left="31" w:right="37"/>
              <w:rPr>
                <w:sz w:val="17"/>
                <w:szCs w:val="17"/>
              </w:rPr>
            </w:pPr>
            <w:r>
              <w:rPr>
                <w:spacing w:val="9"/>
                <w:sz w:val="17"/>
                <w:szCs w:val="17"/>
              </w:rPr>
              <w:t>地塞米松、恩诺沙星、磺胺类(总量)、克</w:t>
            </w:r>
            <w:r>
              <w:rPr>
                <w:spacing w:val="8"/>
                <w:sz w:val="17"/>
                <w:szCs w:val="17"/>
              </w:rPr>
              <w:t>伦特罗、氯霉素、氟苯尼考</w:t>
            </w:r>
          </w:p>
        </w:tc>
        <w:tc>
          <w:tcPr>
            <w:tcW w:w="6118" w:type="dxa"/>
            <w:vAlign w:val="top"/>
          </w:tcPr>
          <w:p w14:paraId="0D84CEA1">
            <w:pPr>
              <w:pStyle w:val="51"/>
              <w:spacing w:before="90" w:line="291" w:lineRule="auto"/>
              <w:ind w:left="37" w:right="14" w:hanging="5"/>
              <w:jc w:val="both"/>
              <w:rPr>
                <w:sz w:val="17"/>
                <w:szCs w:val="17"/>
              </w:rPr>
            </w:pPr>
            <w:r>
              <w:rPr>
                <w:spacing w:val="8"/>
                <w:sz w:val="17"/>
                <w:szCs w:val="17"/>
              </w:rPr>
              <w:t>挥发性盐基氮、水分、呋喃唑酮代谢物、呋喃西林代谢物、莱克  多巴胺、沙</w:t>
            </w:r>
            <w:r>
              <w:rPr>
                <w:spacing w:val="7"/>
                <w:sz w:val="17"/>
                <w:szCs w:val="17"/>
              </w:rPr>
              <w:t>丁胺醇、</w:t>
            </w:r>
            <w:r>
              <w:rPr>
                <w:spacing w:val="-50"/>
                <w:sz w:val="17"/>
                <w:szCs w:val="17"/>
              </w:rPr>
              <w:t xml:space="preserve"> </w:t>
            </w:r>
            <w:r>
              <w:rPr>
                <w:spacing w:val="7"/>
                <w:sz w:val="17"/>
                <w:szCs w:val="17"/>
              </w:rPr>
              <w:t>甲氧苄啶、氟尼辛、多西环素、林可霉素、 倍他米松、土霉素</w:t>
            </w:r>
            <w:r>
              <w:rPr>
                <w:spacing w:val="6"/>
                <w:sz w:val="17"/>
                <w:szCs w:val="17"/>
              </w:rPr>
              <w:t>/金霉素/四环素(组合含量)</w:t>
            </w:r>
          </w:p>
        </w:tc>
        <w:tc>
          <w:tcPr>
            <w:tcW w:w="1161" w:type="dxa"/>
            <w:vAlign w:val="top"/>
          </w:tcPr>
          <w:p w14:paraId="24676D12">
            <w:pPr>
              <w:rPr>
                <w:rFonts w:ascii="Arial"/>
                <w:sz w:val="21"/>
              </w:rPr>
            </w:pPr>
          </w:p>
        </w:tc>
      </w:tr>
      <w:tr w14:paraId="4E82F4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619" w:type="dxa"/>
            <w:vMerge w:val="continue"/>
            <w:tcBorders>
              <w:top w:val="nil"/>
              <w:bottom w:val="nil"/>
            </w:tcBorders>
            <w:vAlign w:val="top"/>
          </w:tcPr>
          <w:p w14:paraId="6CFDFABF">
            <w:pPr>
              <w:rPr>
                <w:rFonts w:ascii="Arial"/>
                <w:sz w:val="21"/>
              </w:rPr>
            </w:pPr>
          </w:p>
        </w:tc>
        <w:tc>
          <w:tcPr>
            <w:tcW w:w="1050" w:type="dxa"/>
            <w:vMerge w:val="continue"/>
            <w:tcBorders>
              <w:top w:val="nil"/>
              <w:bottom w:val="nil"/>
            </w:tcBorders>
            <w:vAlign w:val="top"/>
          </w:tcPr>
          <w:p w14:paraId="51BA5491">
            <w:pPr>
              <w:rPr>
                <w:rFonts w:ascii="Arial"/>
                <w:sz w:val="21"/>
              </w:rPr>
            </w:pPr>
          </w:p>
        </w:tc>
        <w:tc>
          <w:tcPr>
            <w:tcW w:w="1080" w:type="dxa"/>
            <w:vMerge w:val="continue"/>
            <w:tcBorders>
              <w:top w:val="nil"/>
            </w:tcBorders>
            <w:vAlign w:val="top"/>
          </w:tcPr>
          <w:p w14:paraId="02FD4C0C">
            <w:pPr>
              <w:rPr>
                <w:rFonts w:ascii="Arial"/>
                <w:sz w:val="21"/>
              </w:rPr>
            </w:pPr>
          </w:p>
        </w:tc>
        <w:tc>
          <w:tcPr>
            <w:tcW w:w="1829" w:type="dxa"/>
            <w:vAlign w:val="top"/>
          </w:tcPr>
          <w:p w14:paraId="03DB0469">
            <w:pPr>
              <w:pStyle w:val="51"/>
              <w:spacing w:before="279" w:line="227" w:lineRule="auto"/>
              <w:ind w:left="748"/>
              <w:rPr>
                <w:sz w:val="17"/>
                <w:szCs w:val="17"/>
              </w:rPr>
            </w:pPr>
            <w:r>
              <w:rPr>
                <w:sz w:val="17"/>
                <w:szCs w:val="17"/>
              </w:rPr>
              <w:t>羊肉</w:t>
            </w:r>
          </w:p>
        </w:tc>
        <w:tc>
          <w:tcPr>
            <w:tcW w:w="3314" w:type="dxa"/>
            <w:vAlign w:val="top"/>
          </w:tcPr>
          <w:p w14:paraId="1ED73C59">
            <w:pPr>
              <w:pStyle w:val="51"/>
              <w:spacing w:before="128" w:line="297" w:lineRule="auto"/>
              <w:ind w:left="31" w:right="36" w:firstLine="7"/>
              <w:rPr>
                <w:sz w:val="17"/>
                <w:szCs w:val="17"/>
              </w:rPr>
            </w:pPr>
            <w:r>
              <w:rPr>
                <w:spacing w:val="9"/>
                <w:sz w:val="17"/>
                <w:szCs w:val="17"/>
              </w:rPr>
              <w:t>恩诺沙星、磺胺类(总量)、克伦特罗、氯</w:t>
            </w:r>
            <w:r>
              <w:rPr>
                <w:spacing w:val="3"/>
                <w:sz w:val="17"/>
                <w:szCs w:val="17"/>
              </w:rPr>
              <w:t>霉素</w:t>
            </w:r>
          </w:p>
        </w:tc>
        <w:tc>
          <w:tcPr>
            <w:tcW w:w="6118" w:type="dxa"/>
            <w:vAlign w:val="top"/>
          </w:tcPr>
          <w:p w14:paraId="7F76C9AD">
            <w:pPr>
              <w:pStyle w:val="51"/>
              <w:spacing w:before="128" w:line="297" w:lineRule="auto"/>
              <w:ind w:left="31" w:right="18" w:hanging="1"/>
              <w:rPr>
                <w:sz w:val="17"/>
                <w:szCs w:val="17"/>
              </w:rPr>
            </w:pPr>
            <w:r>
              <w:rPr>
                <w:spacing w:val="11"/>
                <w:sz w:val="17"/>
                <w:szCs w:val="17"/>
              </w:rPr>
              <w:t>水分、呋喃唑酮代谢物、呋喃西林代谢物、莱克多巴胺、沙丁</w:t>
            </w:r>
            <w:r>
              <w:rPr>
                <w:spacing w:val="10"/>
                <w:sz w:val="17"/>
                <w:szCs w:val="17"/>
              </w:rPr>
              <w:t>胺 醇、氟苯尼</w:t>
            </w:r>
            <w:r>
              <w:rPr>
                <w:spacing w:val="8"/>
                <w:sz w:val="17"/>
                <w:szCs w:val="17"/>
              </w:rPr>
              <w:t>考、林可霉素、土霉素/金霉素/四环素(组合含量)</w:t>
            </w:r>
          </w:p>
        </w:tc>
        <w:tc>
          <w:tcPr>
            <w:tcW w:w="1161" w:type="dxa"/>
            <w:vAlign w:val="top"/>
          </w:tcPr>
          <w:p w14:paraId="58E5B6B4">
            <w:pPr>
              <w:rPr>
                <w:rFonts w:ascii="Arial"/>
                <w:sz w:val="21"/>
              </w:rPr>
            </w:pPr>
          </w:p>
        </w:tc>
      </w:tr>
      <w:tr w14:paraId="632DC2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4" w:hRule="atLeast"/>
        </w:trPr>
        <w:tc>
          <w:tcPr>
            <w:tcW w:w="619" w:type="dxa"/>
            <w:vMerge w:val="continue"/>
            <w:tcBorders>
              <w:top w:val="nil"/>
              <w:bottom w:val="nil"/>
            </w:tcBorders>
            <w:vAlign w:val="top"/>
          </w:tcPr>
          <w:p w14:paraId="7FE71C71">
            <w:pPr>
              <w:rPr>
                <w:rFonts w:ascii="Arial"/>
                <w:sz w:val="21"/>
              </w:rPr>
            </w:pPr>
          </w:p>
        </w:tc>
        <w:tc>
          <w:tcPr>
            <w:tcW w:w="1050" w:type="dxa"/>
            <w:vMerge w:val="continue"/>
            <w:tcBorders>
              <w:top w:val="nil"/>
              <w:bottom w:val="nil"/>
            </w:tcBorders>
            <w:vAlign w:val="top"/>
          </w:tcPr>
          <w:p w14:paraId="20E0F32D">
            <w:pPr>
              <w:rPr>
                <w:rFonts w:ascii="Arial"/>
                <w:sz w:val="21"/>
              </w:rPr>
            </w:pPr>
          </w:p>
        </w:tc>
        <w:tc>
          <w:tcPr>
            <w:tcW w:w="1080" w:type="dxa"/>
            <w:vMerge w:val="restart"/>
            <w:tcBorders>
              <w:bottom w:val="nil"/>
            </w:tcBorders>
            <w:vAlign w:val="top"/>
          </w:tcPr>
          <w:p w14:paraId="1CEC29D3">
            <w:pPr>
              <w:spacing w:line="323" w:lineRule="auto"/>
              <w:rPr>
                <w:rFonts w:ascii="Arial"/>
                <w:sz w:val="21"/>
              </w:rPr>
            </w:pPr>
          </w:p>
          <w:p w14:paraId="2C40C99E">
            <w:pPr>
              <w:spacing w:line="323" w:lineRule="auto"/>
              <w:rPr>
                <w:rFonts w:ascii="Arial"/>
                <w:sz w:val="21"/>
              </w:rPr>
            </w:pPr>
          </w:p>
          <w:p w14:paraId="12272BD4">
            <w:pPr>
              <w:pStyle w:val="51"/>
              <w:spacing w:before="55" w:line="229" w:lineRule="auto"/>
              <w:ind w:left="368"/>
              <w:rPr>
                <w:sz w:val="17"/>
                <w:szCs w:val="17"/>
              </w:rPr>
            </w:pPr>
            <w:r>
              <w:rPr>
                <w:spacing w:val="3"/>
                <w:sz w:val="17"/>
                <w:szCs w:val="17"/>
              </w:rPr>
              <w:t>禽肉</w:t>
            </w:r>
          </w:p>
        </w:tc>
        <w:tc>
          <w:tcPr>
            <w:tcW w:w="1829" w:type="dxa"/>
            <w:vAlign w:val="top"/>
          </w:tcPr>
          <w:p w14:paraId="496B99AB">
            <w:pPr>
              <w:spacing w:line="331" w:lineRule="auto"/>
              <w:rPr>
                <w:rFonts w:ascii="Arial"/>
                <w:sz w:val="21"/>
              </w:rPr>
            </w:pPr>
          </w:p>
          <w:p w14:paraId="0741A269">
            <w:pPr>
              <w:pStyle w:val="51"/>
              <w:spacing w:before="55" w:line="229" w:lineRule="auto"/>
              <w:ind w:left="741"/>
              <w:rPr>
                <w:sz w:val="17"/>
                <w:szCs w:val="17"/>
              </w:rPr>
            </w:pPr>
            <w:r>
              <w:rPr>
                <w:spacing w:val="4"/>
                <w:sz w:val="17"/>
                <w:szCs w:val="17"/>
              </w:rPr>
              <w:t>鸡肉</w:t>
            </w:r>
          </w:p>
        </w:tc>
        <w:tc>
          <w:tcPr>
            <w:tcW w:w="3314" w:type="dxa"/>
            <w:vAlign w:val="top"/>
          </w:tcPr>
          <w:p w14:paraId="2BABCE38">
            <w:pPr>
              <w:pStyle w:val="51"/>
              <w:spacing w:before="238" w:line="326" w:lineRule="auto"/>
              <w:ind w:left="34" w:right="49" w:firstLine="7"/>
              <w:rPr>
                <w:sz w:val="17"/>
                <w:szCs w:val="17"/>
              </w:rPr>
            </w:pPr>
            <w:r>
              <w:rPr>
                <w:spacing w:val="8"/>
                <w:sz w:val="17"/>
                <w:szCs w:val="17"/>
              </w:rPr>
              <w:t>多西环素、恩诺沙星、磺胺类(总量)、甲</w:t>
            </w:r>
            <w:r>
              <w:rPr>
                <w:spacing w:val="7"/>
                <w:sz w:val="17"/>
                <w:szCs w:val="17"/>
              </w:rPr>
              <w:t>氧苄啶、氯霉素</w:t>
            </w:r>
          </w:p>
        </w:tc>
        <w:tc>
          <w:tcPr>
            <w:tcW w:w="6118" w:type="dxa"/>
            <w:vAlign w:val="top"/>
          </w:tcPr>
          <w:p w14:paraId="1AFAF83E">
            <w:pPr>
              <w:pStyle w:val="51"/>
              <w:spacing w:before="87" w:line="292" w:lineRule="auto"/>
              <w:ind w:left="31" w:firstLine="1"/>
              <w:jc w:val="both"/>
              <w:rPr>
                <w:sz w:val="17"/>
                <w:szCs w:val="17"/>
              </w:rPr>
            </w:pPr>
            <w:r>
              <w:rPr>
                <w:spacing w:val="5"/>
                <w:sz w:val="17"/>
                <w:szCs w:val="17"/>
              </w:rPr>
              <w:t>挥发性盐基氮、水分、呋喃唑酮代谢物、呋喃西林代谢物、呋喃</w:t>
            </w:r>
            <w:r>
              <w:rPr>
                <w:spacing w:val="44"/>
                <w:sz w:val="17"/>
                <w:szCs w:val="17"/>
              </w:rPr>
              <w:t xml:space="preserve"> </w:t>
            </w:r>
            <w:r>
              <w:rPr>
                <w:spacing w:val="5"/>
                <w:sz w:val="17"/>
                <w:szCs w:val="17"/>
              </w:rPr>
              <w:t>它酮代谢物、</w:t>
            </w:r>
            <w:r>
              <w:rPr>
                <w:spacing w:val="6"/>
                <w:sz w:val="17"/>
                <w:szCs w:val="17"/>
              </w:rPr>
              <w:t>氧氟沙星、培氟沙星、诺氟沙星、沙拉沙星、替米 考星、氟苯尼考、甲硝唑、</w:t>
            </w:r>
            <w:r>
              <w:rPr>
                <w:spacing w:val="7"/>
                <w:sz w:val="17"/>
                <w:szCs w:val="17"/>
              </w:rPr>
              <w:t>尼卡巴嗪、环丙氨嗪、土霉素/金霉素 /四环素(组合含量)</w:t>
            </w:r>
          </w:p>
        </w:tc>
        <w:tc>
          <w:tcPr>
            <w:tcW w:w="1161" w:type="dxa"/>
            <w:vAlign w:val="top"/>
          </w:tcPr>
          <w:p w14:paraId="165683C1">
            <w:pPr>
              <w:rPr>
                <w:rFonts w:ascii="Arial"/>
                <w:sz w:val="21"/>
              </w:rPr>
            </w:pPr>
          </w:p>
        </w:tc>
      </w:tr>
      <w:tr w14:paraId="265705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19" w:type="dxa"/>
            <w:vMerge w:val="continue"/>
            <w:tcBorders>
              <w:top w:val="nil"/>
              <w:bottom w:val="nil"/>
            </w:tcBorders>
            <w:vAlign w:val="top"/>
          </w:tcPr>
          <w:p w14:paraId="5D2E939C">
            <w:pPr>
              <w:rPr>
                <w:rFonts w:ascii="Arial"/>
                <w:sz w:val="21"/>
              </w:rPr>
            </w:pPr>
          </w:p>
        </w:tc>
        <w:tc>
          <w:tcPr>
            <w:tcW w:w="1050" w:type="dxa"/>
            <w:vMerge w:val="continue"/>
            <w:tcBorders>
              <w:top w:val="nil"/>
              <w:bottom w:val="nil"/>
            </w:tcBorders>
            <w:vAlign w:val="top"/>
          </w:tcPr>
          <w:p w14:paraId="01F748DC">
            <w:pPr>
              <w:rPr>
                <w:rFonts w:ascii="Arial"/>
                <w:sz w:val="21"/>
              </w:rPr>
            </w:pPr>
          </w:p>
        </w:tc>
        <w:tc>
          <w:tcPr>
            <w:tcW w:w="1080" w:type="dxa"/>
            <w:vMerge w:val="continue"/>
            <w:tcBorders>
              <w:top w:val="nil"/>
            </w:tcBorders>
            <w:vAlign w:val="top"/>
          </w:tcPr>
          <w:p w14:paraId="082049DF">
            <w:pPr>
              <w:rPr>
                <w:rFonts w:ascii="Arial"/>
                <w:sz w:val="21"/>
              </w:rPr>
            </w:pPr>
          </w:p>
        </w:tc>
        <w:tc>
          <w:tcPr>
            <w:tcW w:w="1829" w:type="dxa"/>
            <w:vAlign w:val="top"/>
          </w:tcPr>
          <w:p w14:paraId="30E8B1ED">
            <w:pPr>
              <w:pStyle w:val="51"/>
              <w:spacing w:before="100" w:line="227" w:lineRule="auto"/>
              <w:ind w:right="11"/>
              <w:jc w:val="right"/>
              <w:rPr>
                <w:sz w:val="17"/>
                <w:szCs w:val="17"/>
              </w:rPr>
            </w:pPr>
            <w:r>
              <w:rPr>
                <w:spacing w:val="-1"/>
                <w:sz w:val="17"/>
                <w:szCs w:val="17"/>
              </w:rPr>
              <w:t>其他禽肉</w:t>
            </w:r>
            <w:r>
              <w:rPr>
                <w:spacing w:val="50"/>
                <w:sz w:val="17"/>
                <w:szCs w:val="17"/>
              </w:rPr>
              <w:t xml:space="preserve"> </w:t>
            </w:r>
            <w:r>
              <w:rPr>
                <w:spacing w:val="-1"/>
                <w:sz w:val="17"/>
                <w:szCs w:val="17"/>
              </w:rPr>
              <w:t>(重点品种：</w:t>
            </w:r>
          </w:p>
          <w:p w14:paraId="6EC59285">
            <w:pPr>
              <w:pStyle w:val="51"/>
              <w:spacing w:before="91" w:line="229" w:lineRule="auto"/>
              <w:ind w:left="698"/>
              <w:rPr>
                <w:sz w:val="17"/>
                <w:szCs w:val="17"/>
              </w:rPr>
            </w:pPr>
            <w:r>
              <w:rPr>
                <w:spacing w:val="4"/>
                <w:sz w:val="17"/>
                <w:szCs w:val="17"/>
              </w:rPr>
              <w:t>鸽肉)</w:t>
            </w:r>
          </w:p>
        </w:tc>
        <w:tc>
          <w:tcPr>
            <w:tcW w:w="3314" w:type="dxa"/>
            <w:vAlign w:val="top"/>
          </w:tcPr>
          <w:p w14:paraId="1748B17E">
            <w:pPr>
              <w:pStyle w:val="51"/>
              <w:spacing w:before="252" w:line="225" w:lineRule="auto"/>
              <w:ind w:left="38"/>
              <w:rPr>
                <w:sz w:val="17"/>
                <w:szCs w:val="17"/>
              </w:rPr>
            </w:pPr>
            <w:r>
              <w:rPr>
                <w:spacing w:val="8"/>
                <w:sz w:val="17"/>
                <w:szCs w:val="17"/>
              </w:rPr>
              <w:t>恩诺沙星、甲硝唑、多西环素</w:t>
            </w:r>
          </w:p>
        </w:tc>
        <w:tc>
          <w:tcPr>
            <w:tcW w:w="6118" w:type="dxa"/>
            <w:vAlign w:val="top"/>
          </w:tcPr>
          <w:p w14:paraId="7CF40FA2">
            <w:pPr>
              <w:pStyle w:val="51"/>
              <w:spacing w:before="101" w:line="281" w:lineRule="auto"/>
              <w:ind w:left="31" w:right="30" w:firstLine="7"/>
              <w:rPr>
                <w:sz w:val="17"/>
                <w:szCs w:val="17"/>
              </w:rPr>
            </w:pPr>
            <w:r>
              <w:rPr>
                <w:spacing w:val="10"/>
                <w:sz w:val="17"/>
                <w:szCs w:val="17"/>
              </w:rPr>
              <w:t>呋喃唑酮代谢物、氯霉素、氧氟沙星、培氟沙星、洛美沙星、达 氟沙星、磺</w:t>
            </w:r>
            <w:r>
              <w:rPr>
                <w:spacing w:val="6"/>
                <w:sz w:val="17"/>
                <w:szCs w:val="17"/>
              </w:rPr>
              <w:t>胺类(总量)、环丙氨嗪</w:t>
            </w:r>
          </w:p>
        </w:tc>
        <w:tc>
          <w:tcPr>
            <w:tcW w:w="1161" w:type="dxa"/>
            <w:vAlign w:val="top"/>
          </w:tcPr>
          <w:p w14:paraId="3714A5AC">
            <w:pPr>
              <w:rPr>
                <w:rFonts w:ascii="Arial"/>
                <w:sz w:val="21"/>
              </w:rPr>
            </w:pPr>
          </w:p>
        </w:tc>
      </w:tr>
      <w:tr w14:paraId="11BF7B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19" w:type="dxa"/>
            <w:vMerge w:val="continue"/>
            <w:tcBorders>
              <w:top w:val="nil"/>
            </w:tcBorders>
            <w:vAlign w:val="top"/>
          </w:tcPr>
          <w:p w14:paraId="2DBA7AA8">
            <w:pPr>
              <w:rPr>
                <w:rFonts w:ascii="Arial"/>
                <w:sz w:val="21"/>
              </w:rPr>
            </w:pPr>
          </w:p>
        </w:tc>
        <w:tc>
          <w:tcPr>
            <w:tcW w:w="1050" w:type="dxa"/>
            <w:vMerge w:val="continue"/>
            <w:tcBorders>
              <w:top w:val="nil"/>
            </w:tcBorders>
            <w:vAlign w:val="top"/>
          </w:tcPr>
          <w:p w14:paraId="0BF44545">
            <w:pPr>
              <w:rPr>
                <w:rFonts w:ascii="Arial"/>
                <w:sz w:val="21"/>
              </w:rPr>
            </w:pPr>
          </w:p>
        </w:tc>
        <w:tc>
          <w:tcPr>
            <w:tcW w:w="1080" w:type="dxa"/>
            <w:vAlign w:val="top"/>
          </w:tcPr>
          <w:p w14:paraId="2AA1D810">
            <w:pPr>
              <w:pStyle w:val="51"/>
              <w:spacing w:before="251" w:line="229" w:lineRule="auto"/>
              <w:ind w:left="193"/>
              <w:rPr>
                <w:sz w:val="17"/>
                <w:szCs w:val="17"/>
              </w:rPr>
            </w:pPr>
            <w:r>
              <w:rPr>
                <w:spacing w:val="5"/>
                <w:sz w:val="17"/>
                <w:szCs w:val="17"/>
              </w:rPr>
              <w:t>畜副产品</w:t>
            </w:r>
          </w:p>
        </w:tc>
        <w:tc>
          <w:tcPr>
            <w:tcW w:w="1829" w:type="dxa"/>
            <w:vAlign w:val="top"/>
          </w:tcPr>
          <w:p w14:paraId="39047C8B">
            <w:pPr>
              <w:pStyle w:val="51"/>
              <w:spacing w:before="252" w:line="227" w:lineRule="auto"/>
              <w:ind w:left="743"/>
              <w:rPr>
                <w:sz w:val="17"/>
                <w:szCs w:val="17"/>
              </w:rPr>
            </w:pPr>
            <w:r>
              <w:rPr>
                <w:spacing w:val="3"/>
                <w:sz w:val="17"/>
                <w:szCs w:val="17"/>
              </w:rPr>
              <w:t>猪肝</w:t>
            </w:r>
          </w:p>
        </w:tc>
        <w:tc>
          <w:tcPr>
            <w:tcW w:w="3314" w:type="dxa"/>
            <w:vAlign w:val="top"/>
          </w:tcPr>
          <w:p w14:paraId="42DE227D">
            <w:pPr>
              <w:pStyle w:val="51"/>
              <w:spacing w:before="251" w:line="227" w:lineRule="auto"/>
              <w:ind w:left="38"/>
              <w:rPr>
                <w:sz w:val="17"/>
                <w:szCs w:val="17"/>
              </w:rPr>
            </w:pPr>
            <w:r>
              <w:rPr>
                <w:spacing w:val="7"/>
                <w:sz w:val="17"/>
                <w:szCs w:val="17"/>
              </w:rPr>
              <w:t>恩诺沙星、磺胺类(总量)、甲氧苄啶</w:t>
            </w:r>
          </w:p>
        </w:tc>
        <w:tc>
          <w:tcPr>
            <w:tcW w:w="6118" w:type="dxa"/>
            <w:vAlign w:val="top"/>
          </w:tcPr>
          <w:p w14:paraId="4D4D74F6">
            <w:pPr>
              <w:pStyle w:val="51"/>
              <w:spacing w:before="103" w:line="280" w:lineRule="auto"/>
              <w:ind w:left="41" w:right="18" w:hanging="9"/>
              <w:rPr>
                <w:sz w:val="17"/>
                <w:szCs w:val="17"/>
              </w:rPr>
            </w:pPr>
            <w:r>
              <w:rPr>
                <w:spacing w:val="10"/>
                <w:sz w:val="17"/>
                <w:szCs w:val="17"/>
              </w:rPr>
              <w:t>镉(以</w:t>
            </w:r>
            <w:r>
              <w:rPr>
                <w:sz w:val="17"/>
                <w:szCs w:val="17"/>
              </w:rPr>
              <w:t>Cd</w:t>
            </w:r>
            <w:r>
              <w:rPr>
                <w:spacing w:val="10"/>
                <w:sz w:val="17"/>
                <w:szCs w:val="17"/>
              </w:rPr>
              <w:t>计)、呋喃唑酮代谢物、呋喃西林代谢物、氯霉素、克</w:t>
            </w:r>
            <w:r>
              <w:rPr>
                <w:spacing w:val="36"/>
                <w:sz w:val="17"/>
                <w:szCs w:val="17"/>
              </w:rPr>
              <w:t xml:space="preserve"> </w:t>
            </w:r>
            <w:r>
              <w:rPr>
                <w:spacing w:val="10"/>
                <w:sz w:val="17"/>
                <w:szCs w:val="17"/>
              </w:rPr>
              <w:t>伦特罗、莱克</w:t>
            </w:r>
            <w:r>
              <w:rPr>
                <w:spacing w:val="8"/>
                <w:sz w:val="17"/>
                <w:szCs w:val="17"/>
              </w:rPr>
              <w:t>多巴胺、沙丁胺醇、氯丙嗪、双氯芬酸</w:t>
            </w:r>
          </w:p>
        </w:tc>
        <w:tc>
          <w:tcPr>
            <w:tcW w:w="1161" w:type="dxa"/>
            <w:vAlign w:val="top"/>
          </w:tcPr>
          <w:p w14:paraId="1A59EF1C">
            <w:pPr>
              <w:rPr>
                <w:rFonts w:ascii="Arial"/>
                <w:sz w:val="21"/>
              </w:rPr>
            </w:pPr>
          </w:p>
        </w:tc>
      </w:tr>
      <w:tr w14:paraId="1D3E78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619" w:type="dxa"/>
            <w:vMerge w:val="restart"/>
            <w:tcBorders>
              <w:bottom w:val="nil"/>
            </w:tcBorders>
            <w:vAlign w:val="top"/>
          </w:tcPr>
          <w:p w14:paraId="7AC5AE5D">
            <w:pPr>
              <w:spacing w:line="314" w:lineRule="auto"/>
              <w:rPr>
                <w:rFonts w:ascii="Arial"/>
                <w:sz w:val="21"/>
              </w:rPr>
            </w:pPr>
          </w:p>
          <w:p w14:paraId="7698250D">
            <w:pPr>
              <w:spacing w:line="314" w:lineRule="auto"/>
              <w:rPr>
                <w:rFonts w:ascii="Arial"/>
                <w:sz w:val="21"/>
              </w:rPr>
            </w:pPr>
          </w:p>
          <w:p w14:paraId="5B6A3E5B">
            <w:pPr>
              <w:spacing w:line="315" w:lineRule="auto"/>
              <w:rPr>
                <w:rFonts w:ascii="Arial"/>
                <w:sz w:val="21"/>
              </w:rPr>
            </w:pPr>
          </w:p>
          <w:p w14:paraId="26F94F83">
            <w:pPr>
              <w:pStyle w:val="51"/>
              <w:spacing w:before="56" w:line="228" w:lineRule="exact"/>
              <w:ind w:left="271"/>
              <w:rPr>
                <w:sz w:val="17"/>
                <w:szCs w:val="17"/>
              </w:rPr>
            </w:pPr>
            <w:r>
              <w:rPr>
                <w:position w:val="1"/>
                <w:sz w:val="17"/>
                <w:szCs w:val="17"/>
              </w:rPr>
              <w:t>2</w:t>
            </w:r>
          </w:p>
        </w:tc>
        <w:tc>
          <w:tcPr>
            <w:tcW w:w="1050" w:type="dxa"/>
            <w:vMerge w:val="restart"/>
            <w:tcBorders>
              <w:bottom w:val="nil"/>
            </w:tcBorders>
            <w:vAlign w:val="top"/>
          </w:tcPr>
          <w:p w14:paraId="10696AEE">
            <w:pPr>
              <w:spacing w:line="314" w:lineRule="auto"/>
              <w:rPr>
                <w:rFonts w:ascii="Arial"/>
                <w:sz w:val="21"/>
              </w:rPr>
            </w:pPr>
          </w:p>
          <w:p w14:paraId="1ADE42B0">
            <w:pPr>
              <w:spacing w:line="314" w:lineRule="auto"/>
              <w:rPr>
                <w:rFonts w:ascii="Arial"/>
                <w:sz w:val="21"/>
              </w:rPr>
            </w:pPr>
          </w:p>
          <w:p w14:paraId="6F7D1CFC">
            <w:pPr>
              <w:spacing w:line="315" w:lineRule="auto"/>
              <w:rPr>
                <w:rFonts w:ascii="Arial"/>
                <w:sz w:val="21"/>
              </w:rPr>
            </w:pPr>
          </w:p>
          <w:p w14:paraId="03894592">
            <w:pPr>
              <w:pStyle w:val="51"/>
              <w:spacing w:before="55" w:line="224" w:lineRule="auto"/>
              <w:ind w:left="353"/>
              <w:rPr>
                <w:sz w:val="17"/>
                <w:szCs w:val="17"/>
              </w:rPr>
            </w:pPr>
            <w:r>
              <w:rPr>
                <w:spacing w:val="2"/>
                <w:sz w:val="17"/>
                <w:szCs w:val="17"/>
              </w:rPr>
              <w:t>蔬菜</w:t>
            </w:r>
          </w:p>
        </w:tc>
        <w:tc>
          <w:tcPr>
            <w:tcW w:w="1080" w:type="dxa"/>
            <w:vMerge w:val="restart"/>
            <w:tcBorders>
              <w:bottom w:val="nil"/>
            </w:tcBorders>
            <w:vAlign w:val="top"/>
          </w:tcPr>
          <w:p w14:paraId="08364E9B">
            <w:pPr>
              <w:spacing w:line="314" w:lineRule="auto"/>
              <w:rPr>
                <w:rFonts w:ascii="Arial"/>
                <w:sz w:val="21"/>
              </w:rPr>
            </w:pPr>
          </w:p>
          <w:p w14:paraId="2CFA1FA3">
            <w:pPr>
              <w:spacing w:line="314" w:lineRule="auto"/>
              <w:rPr>
                <w:rFonts w:ascii="Arial"/>
                <w:sz w:val="21"/>
              </w:rPr>
            </w:pPr>
          </w:p>
          <w:p w14:paraId="44052ED5">
            <w:pPr>
              <w:spacing w:line="315" w:lineRule="auto"/>
              <w:rPr>
                <w:rFonts w:ascii="Arial"/>
                <w:sz w:val="21"/>
              </w:rPr>
            </w:pPr>
          </w:p>
          <w:p w14:paraId="1690485A">
            <w:pPr>
              <w:pStyle w:val="51"/>
              <w:spacing w:before="55" w:line="224" w:lineRule="auto"/>
              <w:ind w:left="187"/>
              <w:rPr>
                <w:sz w:val="17"/>
                <w:szCs w:val="17"/>
              </w:rPr>
            </w:pPr>
            <w:r>
              <w:rPr>
                <w:spacing w:val="7"/>
                <w:sz w:val="17"/>
                <w:szCs w:val="17"/>
              </w:rPr>
              <w:t>豆类蔬菜</w:t>
            </w:r>
          </w:p>
        </w:tc>
        <w:tc>
          <w:tcPr>
            <w:tcW w:w="1829" w:type="dxa"/>
            <w:vAlign w:val="top"/>
          </w:tcPr>
          <w:p w14:paraId="4D6DE598">
            <w:pPr>
              <w:pStyle w:val="51"/>
              <w:spacing w:before="279" w:line="224" w:lineRule="auto"/>
              <w:ind w:left="743"/>
              <w:rPr>
                <w:sz w:val="17"/>
                <w:szCs w:val="17"/>
              </w:rPr>
            </w:pPr>
            <w:r>
              <w:rPr>
                <w:spacing w:val="2"/>
                <w:sz w:val="17"/>
                <w:szCs w:val="17"/>
              </w:rPr>
              <w:t>菜豆</w:t>
            </w:r>
          </w:p>
        </w:tc>
        <w:tc>
          <w:tcPr>
            <w:tcW w:w="3314" w:type="dxa"/>
            <w:vAlign w:val="top"/>
          </w:tcPr>
          <w:p w14:paraId="078A5CEA">
            <w:pPr>
              <w:pStyle w:val="51"/>
              <w:spacing w:before="128" w:line="296" w:lineRule="auto"/>
              <w:ind w:left="54" w:right="53" w:hanging="14"/>
              <w:rPr>
                <w:sz w:val="17"/>
                <w:szCs w:val="17"/>
              </w:rPr>
            </w:pPr>
            <w:r>
              <w:rPr>
                <w:spacing w:val="8"/>
                <w:sz w:val="17"/>
                <w:szCs w:val="17"/>
              </w:rPr>
              <w:t>噻虫胺、乙酰甲胺磷、甲胺磷、氧乐果、</w:t>
            </w:r>
            <w:r>
              <w:rPr>
                <w:spacing w:val="6"/>
                <w:sz w:val="17"/>
                <w:szCs w:val="17"/>
              </w:rPr>
              <w:t>甲氨基阿维菌素苯甲酸盐</w:t>
            </w:r>
          </w:p>
        </w:tc>
        <w:tc>
          <w:tcPr>
            <w:tcW w:w="6118" w:type="dxa"/>
            <w:vAlign w:val="top"/>
          </w:tcPr>
          <w:p w14:paraId="457FFA51">
            <w:pPr>
              <w:pStyle w:val="51"/>
              <w:spacing w:before="128" w:line="296" w:lineRule="auto"/>
              <w:ind w:left="32" w:right="7"/>
              <w:rPr>
                <w:sz w:val="17"/>
                <w:szCs w:val="17"/>
              </w:rPr>
            </w:pPr>
            <w:r>
              <w:rPr>
                <w:spacing w:val="9"/>
                <w:sz w:val="17"/>
                <w:szCs w:val="17"/>
              </w:rPr>
              <w:t>倍硫磷、吡虫啉、毒死蜱、多菌灵、克百威</w:t>
            </w:r>
            <w:r>
              <w:rPr>
                <w:spacing w:val="8"/>
                <w:sz w:val="17"/>
                <w:szCs w:val="17"/>
              </w:rPr>
              <w:t>、氯氟氰菊酯和高效氯氟氰菊酯、灭蝇胺、水胺硫磷</w:t>
            </w:r>
          </w:p>
        </w:tc>
        <w:tc>
          <w:tcPr>
            <w:tcW w:w="1161" w:type="dxa"/>
            <w:vAlign w:val="top"/>
          </w:tcPr>
          <w:p w14:paraId="42C0FA74">
            <w:pPr>
              <w:rPr>
                <w:rFonts w:ascii="Arial"/>
                <w:sz w:val="21"/>
              </w:rPr>
            </w:pPr>
          </w:p>
        </w:tc>
      </w:tr>
      <w:tr w14:paraId="27634B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619" w:type="dxa"/>
            <w:vMerge w:val="continue"/>
            <w:tcBorders>
              <w:top w:val="nil"/>
              <w:bottom w:val="nil"/>
            </w:tcBorders>
            <w:vAlign w:val="top"/>
          </w:tcPr>
          <w:p w14:paraId="2BED4066">
            <w:pPr>
              <w:rPr>
                <w:rFonts w:ascii="Arial"/>
                <w:sz w:val="21"/>
              </w:rPr>
            </w:pPr>
          </w:p>
        </w:tc>
        <w:tc>
          <w:tcPr>
            <w:tcW w:w="1050" w:type="dxa"/>
            <w:vMerge w:val="continue"/>
            <w:tcBorders>
              <w:top w:val="nil"/>
              <w:bottom w:val="nil"/>
            </w:tcBorders>
            <w:vAlign w:val="top"/>
          </w:tcPr>
          <w:p w14:paraId="422D5F4F">
            <w:pPr>
              <w:rPr>
                <w:rFonts w:ascii="Arial"/>
                <w:sz w:val="21"/>
              </w:rPr>
            </w:pPr>
          </w:p>
        </w:tc>
        <w:tc>
          <w:tcPr>
            <w:tcW w:w="1080" w:type="dxa"/>
            <w:vMerge w:val="continue"/>
            <w:tcBorders>
              <w:top w:val="nil"/>
              <w:bottom w:val="nil"/>
            </w:tcBorders>
            <w:vAlign w:val="top"/>
          </w:tcPr>
          <w:p w14:paraId="79D1C45E">
            <w:pPr>
              <w:rPr>
                <w:rFonts w:ascii="Arial"/>
                <w:sz w:val="21"/>
              </w:rPr>
            </w:pPr>
          </w:p>
        </w:tc>
        <w:tc>
          <w:tcPr>
            <w:tcW w:w="1829" w:type="dxa"/>
            <w:vAlign w:val="top"/>
          </w:tcPr>
          <w:p w14:paraId="06C948D1">
            <w:pPr>
              <w:pStyle w:val="51"/>
              <w:spacing w:before="280" w:line="238" w:lineRule="auto"/>
              <w:ind w:left="743"/>
              <w:rPr>
                <w:sz w:val="17"/>
                <w:szCs w:val="17"/>
              </w:rPr>
            </w:pPr>
            <w:r>
              <w:rPr>
                <w:spacing w:val="3"/>
                <w:sz w:val="17"/>
                <w:szCs w:val="17"/>
              </w:rPr>
              <w:t>豇豆</w:t>
            </w:r>
          </w:p>
        </w:tc>
        <w:tc>
          <w:tcPr>
            <w:tcW w:w="3314" w:type="dxa"/>
            <w:vAlign w:val="top"/>
          </w:tcPr>
          <w:p w14:paraId="25FCF07F">
            <w:pPr>
              <w:pStyle w:val="51"/>
              <w:spacing w:before="131" w:line="295" w:lineRule="auto"/>
              <w:ind w:left="30" w:right="19" w:firstLine="9"/>
              <w:rPr>
                <w:sz w:val="17"/>
                <w:szCs w:val="17"/>
              </w:rPr>
            </w:pPr>
            <w:r>
              <w:rPr>
                <w:spacing w:val="10"/>
                <w:sz w:val="17"/>
                <w:szCs w:val="17"/>
              </w:rPr>
              <w:t>噻虫胺、噻虫嗪、倍硫磷、氧乐果、灭蝇</w:t>
            </w:r>
            <w:r>
              <w:rPr>
                <w:spacing w:val="9"/>
                <w:sz w:val="17"/>
                <w:szCs w:val="17"/>
              </w:rPr>
              <w:t>胺、克百威、啶虫脒、毒死蜱</w:t>
            </w:r>
          </w:p>
        </w:tc>
        <w:tc>
          <w:tcPr>
            <w:tcW w:w="6118" w:type="dxa"/>
            <w:vAlign w:val="top"/>
          </w:tcPr>
          <w:p w14:paraId="0D659FF7">
            <w:pPr>
              <w:pStyle w:val="51"/>
              <w:spacing w:before="131" w:line="295" w:lineRule="auto"/>
              <w:ind w:left="32" w:firstLine="10"/>
              <w:rPr>
                <w:sz w:val="17"/>
                <w:szCs w:val="17"/>
              </w:rPr>
            </w:pPr>
            <w:r>
              <w:rPr>
                <w:spacing w:val="3"/>
                <w:sz w:val="17"/>
                <w:szCs w:val="17"/>
              </w:rPr>
              <w:t>阿维菌素、氟虫腈、甲氨基阿维菌素苯甲酸盐、甲胺磷、甲拌磷、甲基异柳磷、</w:t>
            </w:r>
            <w:r>
              <w:rPr>
                <w:spacing w:val="8"/>
                <w:sz w:val="17"/>
                <w:szCs w:val="17"/>
              </w:rPr>
              <w:t>乐果、氯氟氰菊酯和高效氯氟氰菊酯、三唑磷、水胺硫磷、乙酰甲胺磷</w:t>
            </w:r>
          </w:p>
        </w:tc>
        <w:tc>
          <w:tcPr>
            <w:tcW w:w="1161" w:type="dxa"/>
            <w:vAlign w:val="top"/>
          </w:tcPr>
          <w:p w14:paraId="490D3FAB">
            <w:pPr>
              <w:rPr>
                <w:rFonts w:ascii="Arial"/>
                <w:sz w:val="21"/>
              </w:rPr>
            </w:pPr>
          </w:p>
        </w:tc>
      </w:tr>
      <w:tr w14:paraId="751021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5" w:hRule="atLeast"/>
        </w:trPr>
        <w:tc>
          <w:tcPr>
            <w:tcW w:w="619" w:type="dxa"/>
            <w:vMerge w:val="continue"/>
            <w:tcBorders>
              <w:top w:val="nil"/>
            </w:tcBorders>
            <w:vAlign w:val="top"/>
          </w:tcPr>
          <w:p w14:paraId="5DC7C15B">
            <w:pPr>
              <w:rPr>
                <w:rFonts w:ascii="Arial"/>
                <w:sz w:val="21"/>
              </w:rPr>
            </w:pPr>
          </w:p>
        </w:tc>
        <w:tc>
          <w:tcPr>
            <w:tcW w:w="1050" w:type="dxa"/>
            <w:vMerge w:val="continue"/>
            <w:tcBorders>
              <w:top w:val="nil"/>
            </w:tcBorders>
            <w:vAlign w:val="top"/>
          </w:tcPr>
          <w:p w14:paraId="78922C9E">
            <w:pPr>
              <w:rPr>
                <w:rFonts w:ascii="Arial"/>
                <w:sz w:val="21"/>
              </w:rPr>
            </w:pPr>
          </w:p>
        </w:tc>
        <w:tc>
          <w:tcPr>
            <w:tcW w:w="1080" w:type="dxa"/>
            <w:vMerge w:val="continue"/>
            <w:tcBorders>
              <w:top w:val="nil"/>
            </w:tcBorders>
            <w:vAlign w:val="top"/>
          </w:tcPr>
          <w:p w14:paraId="026BD12C">
            <w:pPr>
              <w:rPr>
                <w:rFonts w:ascii="Arial"/>
                <w:sz w:val="21"/>
              </w:rPr>
            </w:pPr>
          </w:p>
        </w:tc>
        <w:tc>
          <w:tcPr>
            <w:tcW w:w="1829" w:type="dxa"/>
            <w:vAlign w:val="top"/>
          </w:tcPr>
          <w:p w14:paraId="4B7CB146">
            <w:pPr>
              <w:spacing w:line="258" w:lineRule="auto"/>
              <w:rPr>
                <w:rFonts w:ascii="Arial"/>
                <w:sz w:val="21"/>
              </w:rPr>
            </w:pPr>
          </w:p>
          <w:p w14:paraId="52419254">
            <w:pPr>
              <w:pStyle w:val="51"/>
              <w:spacing w:before="55" w:line="230" w:lineRule="auto"/>
              <w:ind w:left="561"/>
              <w:rPr>
                <w:sz w:val="17"/>
                <w:szCs w:val="17"/>
              </w:rPr>
            </w:pPr>
            <w:r>
              <w:rPr>
                <w:spacing w:val="7"/>
                <w:sz w:val="17"/>
                <w:szCs w:val="17"/>
              </w:rPr>
              <w:t>食荚豌豆</w:t>
            </w:r>
          </w:p>
        </w:tc>
        <w:tc>
          <w:tcPr>
            <w:tcW w:w="3314" w:type="dxa"/>
            <w:vAlign w:val="top"/>
          </w:tcPr>
          <w:p w14:paraId="0252BE1A">
            <w:pPr>
              <w:pStyle w:val="51"/>
              <w:spacing w:before="166" w:line="314" w:lineRule="auto"/>
              <w:ind w:left="43" w:hanging="4"/>
              <w:rPr>
                <w:sz w:val="17"/>
                <w:szCs w:val="17"/>
              </w:rPr>
            </w:pPr>
            <w:r>
              <w:rPr>
                <w:spacing w:val="2"/>
                <w:sz w:val="17"/>
                <w:szCs w:val="17"/>
              </w:rPr>
              <w:t>吡唑醚菌酯、多菌灵、噻虫胺、烯酰吗啉、</w:t>
            </w:r>
            <w:r>
              <w:rPr>
                <w:spacing w:val="5"/>
                <w:sz w:val="17"/>
                <w:szCs w:val="17"/>
              </w:rPr>
              <w:t>乙酰甲胺磷、氧乐果</w:t>
            </w:r>
          </w:p>
        </w:tc>
        <w:tc>
          <w:tcPr>
            <w:tcW w:w="6118" w:type="dxa"/>
            <w:vAlign w:val="top"/>
          </w:tcPr>
          <w:p w14:paraId="39435169">
            <w:pPr>
              <w:spacing w:line="257" w:lineRule="auto"/>
              <w:rPr>
                <w:rFonts w:ascii="Arial"/>
                <w:sz w:val="21"/>
              </w:rPr>
            </w:pPr>
          </w:p>
          <w:p w14:paraId="16C11EC8">
            <w:pPr>
              <w:pStyle w:val="51"/>
              <w:spacing w:before="56" w:line="223" w:lineRule="auto"/>
              <w:ind w:left="33"/>
              <w:rPr>
                <w:sz w:val="17"/>
                <w:szCs w:val="17"/>
              </w:rPr>
            </w:pPr>
            <w:r>
              <w:rPr>
                <w:spacing w:val="9"/>
                <w:sz w:val="17"/>
                <w:szCs w:val="17"/>
              </w:rPr>
              <w:t>苯醚甲环唑、毒死蜱、甲氨基阿维菌素苯甲酸盐、甲胺磷、灭蝇胺、噻虫嗪</w:t>
            </w:r>
          </w:p>
        </w:tc>
        <w:tc>
          <w:tcPr>
            <w:tcW w:w="1161" w:type="dxa"/>
            <w:vAlign w:val="top"/>
          </w:tcPr>
          <w:p w14:paraId="788E2F9E">
            <w:pPr>
              <w:rPr>
                <w:rFonts w:ascii="Arial"/>
                <w:sz w:val="21"/>
              </w:rPr>
            </w:pPr>
          </w:p>
        </w:tc>
      </w:tr>
    </w:tbl>
    <w:p w14:paraId="32E03D7E">
      <w:pPr>
        <w:rPr>
          <w:rFonts w:ascii="Arial"/>
          <w:sz w:val="21"/>
        </w:rPr>
      </w:pPr>
    </w:p>
    <w:p w14:paraId="01F64565">
      <w:pPr>
        <w:rPr>
          <w:rFonts w:ascii="Arial" w:hAnsi="Arial" w:eastAsia="Arial" w:cs="Arial"/>
          <w:sz w:val="21"/>
          <w:szCs w:val="21"/>
        </w:rPr>
        <w:sectPr>
          <w:pgSz w:w="16838" w:h="11906"/>
          <w:pgMar w:top="1011" w:right="645" w:bottom="400" w:left="363" w:header="567" w:footer="567" w:gutter="0"/>
          <w:pgNumType w:fmt="decimal"/>
          <w:cols w:space="720" w:num="1"/>
        </w:sectPr>
      </w:pPr>
    </w:p>
    <w:p w14:paraId="5654B0F9">
      <w:pPr>
        <w:spacing w:before="18"/>
      </w:pPr>
    </w:p>
    <w:p w14:paraId="633969BD">
      <w:pPr>
        <w:spacing w:before="18"/>
      </w:pPr>
    </w:p>
    <w:tbl>
      <w:tblPr>
        <w:tblStyle w:val="50"/>
        <w:tblW w:w="15171" w:type="dxa"/>
        <w:tblInd w:w="65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19"/>
        <w:gridCol w:w="1050"/>
        <w:gridCol w:w="1080"/>
        <w:gridCol w:w="1829"/>
        <w:gridCol w:w="3314"/>
        <w:gridCol w:w="6118"/>
        <w:gridCol w:w="1161"/>
      </w:tblGrid>
      <w:tr w14:paraId="7F978A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619" w:type="dxa"/>
            <w:vAlign w:val="top"/>
          </w:tcPr>
          <w:p w14:paraId="4C1E591D">
            <w:pPr>
              <w:spacing w:before="241" w:line="234" w:lineRule="auto"/>
              <w:ind w:left="133"/>
              <w:rPr>
                <w:rFonts w:ascii="黑体" w:hAnsi="黑体" w:eastAsia="黑体" w:cs="黑体"/>
                <w:sz w:val="17"/>
                <w:szCs w:val="17"/>
              </w:rPr>
            </w:pPr>
            <w:r>
              <w:rPr>
                <w:rFonts w:ascii="黑体" w:hAnsi="黑体" w:eastAsia="黑体" w:cs="黑体"/>
                <w:spacing w:val="6"/>
                <w:sz w:val="17"/>
                <w:szCs w:val="17"/>
              </w:rPr>
              <w:t>序号</w:t>
            </w:r>
          </w:p>
        </w:tc>
        <w:tc>
          <w:tcPr>
            <w:tcW w:w="1050" w:type="dxa"/>
            <w:vAlign w:val="top"/>
          </w:tcPr>
          <w:p w14:paraId="44ABF2DA">
            <w:pPr>
              <w:spacing w:before="90" w:line="232" w:lineRule="auto"/>
              <w:ind w:left="166"/>
              <w:rPr>
                <w:rFonts w:ascii="黑体" w:hAnsi="黑体" w:eastAsia="黑体" w:cs="黑体"/>
                <w:sz w:val="17"/>
                <w:szCs w:val="17"/>
              </w:rPr>
            </w:pPr>
            <w:r>
              <w:rPr>
                <w:rFonts w:ascii="黑体" w:hAnsi="黑体" w:eastAsia="黑体" w:cs="黑体"/>
                <w:spacing w:val="8"/>
                <w:sz w:val="17"/>
                <w:szCs w:val="17"/>
              </w:rPr>
              <w:t>食品亚类</w:t>
            </w:r>
          </w:p>
          <w:p w14:paraId="4889CD2D">
            <w:pPr>
              <w:spacing w:before="86" w:line="227" w:lineRule="auto"/>
              <w:ind w:left="291"/>
              <w:rPr>
                <w:rFonts w:ascii="黑体" w:hAnsi="黑体" w:eastAsia="黑体" w:cs="黑体"/>
                <w:sz w:val="17"/>
                <w:szCs w:val="17"/>
              </w:rPr>
            </w:pPr>
            <w:r>
              <w:rPr>
                <w:rFonts w:ascii="黑体" w:hAnsi="黑体" w:eastAsia="黑体" w:cs="黑体"/>
                <w:spacing w:val="-4"/>
                <w:sz w:val="17"/>
                <w:szCs w:val="17"/>
              </w:rPr>
              <w:t>(二级)</w:t>
            </w:r>
          </w:p>
        </w:tc>
        <w:tc>
          <w:tcPr>
            <w:tcW w:w="1080" w:type="dxa"/>
            <w:vAlign w:val="top"/>
          </w:tcPr>
          <w:p w14:paraId="7D1C88B8">
            <w:pPr>
              <w:spacing w:before="90" w:line="232" w:lineRule="auto"/>
              <w:ind w:left="182"/>
              <w:rPr>
                <w:rFonts w:ascii="黑体" w:hAnsi="黑体" w:eastAsia="黑体" w:cs="黑体"/>
                <w:sz w:val="17"/>
                <w:szCs w:val="17"/>
              </w:rPr>
            </w:pPr>
            <w:r>
              <w:rPr>
                <w:rFonts w:ascii="黑体" w:hAnsi="黑体" w:eastAsia="黑体" w:cs="黑体"/>
                <w:spacing w:val="8"/>
                <w:sz w:val="17"/>
                <w:szCs w:val="17"/>
              </w:rPr>
              <w:t>食品品种</w:t>
            </w:r>
          </w:p>
          <w:p w14:paraId="5C0E2C80">
            <w:pPr>
              <w:spacing w:before="86" w:line="227" w:lineRule="auto"/>
              <w:ind w:left="307"/>
              <w:rPr>
                <w:rFonts w:ascii="黑体" w:hAnsi="黑体" w:eastAsia="黑体" w:cs="黑体"/>
                <w:sz w:val="17"/>
                <w:szCs w:val="17"/>
              </w:rPr>
            </w:pPr>
            <w:r>
              <w:rPr>
                <w:rFonts w:ascii="黑体" w:hAnsi="黑体" w:eastAsia="黑体" w:cs="黑体"/>
                <w:spacing w:val="-4"/>
                <w:sz w:val="17"/>
                <w:szCs w:val="17"/>
              </w:rPr>
              <w:t>(三级)</w:t>
            </w:r>
          </w:p>
        </w:tc>
        <w:tc>
          <w:tcPr>
            <w:tcW w:w="1829" w:type="dxa"/>
            <w:vAlign w:val="top"/>
          </w:tcPr>
          <w:p w14:paraId="19802260">
            <w:pPr>
              <w:spacing w:before="241" w:line="232" w:lineRule="auto"/>
              <w:ind w:left="287"/>
              <w:rPr>
                <w:rFonts w:ascii="黑体" w:hAnsi="黑体" w:eastAsia="黑体" w:cs="黑体"/>
                <w:sz w:val="17"/>
                <w:szCs w:val="17"/>
              </w:rPr>
            </w:pPr>
            <w:r>
              <w:rPr>
                <w:rFonts w:ascii="黑体" w:hAnsi="黑体" w:eastAsia="黑体" w:cs="黑体"/>
                <w:spacing w:val="7"/>
                <w:sz w:val="17"/>
                <w:szCs w:val="17"/>
              </w:rPr>
              <w:t>食品细类(四级)</w:t>
            </w:r>
          </w:p>
        </w:tc>
        <w:tc>
          <w:tcPr>
            <w:tcW w:w="3314" w:type="dxa"/>
            <w:vAlign w:val="top"/>
          </w:tcPr>
          <w:p w14:paraId="5F96554D">
            <w:pPr>
              <w:spacing w:before="240" w:line="233" w:lineRule="auto"/>
              <w:ind w:left="1300"/>
              <w:rPr>
                <w:rFonts w:ascii="黑体" w:hAnsi="黑体" w:eastAsia="黑体" w:cs="黑体"/>
                <w:sz w:val="17"/>
                <w:szCs w:val="17"/>
              </w:rPr>
            </w:pPr>
            <w:r>
              <w:rPr>
                <w:rFonts w:ascii="黑体" w:hAnsi="黑体" w:eastAsia="黑体" w:cs="黑体"/>
                <w:spacing w:val="8"/>
                <w:sz w:val="17"/>
                <w:szCs w:val="17"/>
              </w:rPr>
              <w:t>必检项目</w:t>
            </w:r>
          </w:p>
        </w:tc>
        <w:tc>
          <w:tcPr>
            <w:tcW w:w="6118" w:type="dxa"/>
            <w:vAlign w:val="top"/>
          </w:tcPr>
          <w:p w14:paraId="1C59551B">
            <w:pPr>
              <w:spacing w:before="240" w:line="233" w:lineRule="auto"/>
              <w:ind w:left="2707"/>
              <w:rPr>
                <w:rFonts w:ascii="黑体" w:hAnsi="黑体" w:eastAsia="黑体" w:cs="黑体"/>
                <w:sz w:val="17"/>
                <w:szCs w:val="17"/>
              </w:rPr>
            </w:pPr>
            <w:r>
              <w:rPr>
                <w:rFonts w:ascii="黑体" w:hAnsi="黑体" w:eastAsia="黑体" w:cs="黑体"/>
                <w:spacing w:val="7"/>
                <w:sz w:val="17"/>
                <w:szCs w:val="17"/>
              </w:rPr>
              <w:t>可选项目</w:t>
            </w:r>
          </w:p>
        </w:tc>
        <w:tc>
          <w:tcPr>
            <w:tcW w:w="1161" w:type="dxa"/>
            <w:vAlign w:val="top"/>
          </w:tcPr>
          <w:p w14:paraId="53FFE6A8">
            <w:pPr>
              <w:spacing w:before="240" w:line="233" w:lineRule="auto"/>
              <w:ind w:left="313"/>
              <w:rPr>
                <w:rFonts w:ascii="黑体" w:hAnsi="黑体" w:eastAsia="黑体" w:cs="黑体"/>
                <w:sz w:val="17"/>
                <w:szCs w:val="17"/>
              </w:rPr>
            </w:pPr>
            <w:r>
              <w:rPr>
                <w:rFonts w:ascii="黑体" w:hAnsi="黑体" w:eastAsia="黑体" w:cs="黑体"/>
                <w:spacing w:val="1"/>
                <w:sz w:val="17"/>
                <w:szCs w:val="17"/>
              </w:rPr>
              <w:t>备</w:t>
            </w:r>
            <w:r>
              <w:rPr>
                <w:rFonts w:ascii="黑体" w:hAnsi="黑体" w:eastAsia="黑体" w:cs="黑体"/>
                <w:spacing w:val="9"/>
                <w:sz w:val="17"/>
                <w:szCs w:val="17"/>
              </w:rPr>
              <w:t xml:space="preserve">  </w:t>
            </w:r>
            <w:r>
              <w:rPr>
                <w:rFonts w:ascii="黑体" w:hAnsi="黑体" w:eastAsia="黑体" w:cs="黑体"/>
                <w:spacing w:val="1"/>
                <w:sz w:val="17"/>
                <w:szCs w:val="17"/>
              </w:rPr>
              <w:t>注</w:t>
            </w:r>
          </w:p>
        </w:tc>
      </w:tr>
      <w:tr w14:paraId="456ACC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4" w:hRule="atLeast"/>
        </w:trPr>
        <w:tc>
          <w:tcPr>
            <w:tcW w:w="619" w:type="dxa"/>
            <w:vAlign w:val="top"/>
          </w:tcPr>
          <w:p w14:paraId="0929600C">
            <w:pPr>
              <w:rPr>
                <w:rFonts w:ascii="Arial"/>
                <w:sz w:val="21"/>
              </w:rPr>
            </w:pPr>
          </w:p>
        </w:tc>
        <w:tc>
          <w:tcPr>
            <w:tcW w:w="1050" w:type="dxa"/>
            <w:vAlign w:val="top"/>
          </w:tcPr>
          <w:p w14:paraId="5246B412">
            <w:pPr>
              <w:rPr>
                <w:rFonts w:ascii="Arial"/>
                <w:sz w:val="21"/>
              </w:rPr>
            </w:pPr>
          </w:p>
        </w:tc>
        <w:tc>
          <w:tcPr>
            <w:tcW w:w="1080" w:type="dxa"/>
            <w:vAlign w:val="top"/>
          </w:tcPr>
          <w:p w14:paraId="00ABB3B0">
            <w:pPr>
              <w:spacing w:line="300" w:lineRule="auto"/>
              <w:rPr>
                <w:rFonts w:ascii="Arial"/>
                <w:sz w:val="21"/>
              </w:rPr>
            </w:pPr>
          </w:p>
          <w:p w14:paraId="4B6AB1A3">
            <w:pPr>
              <w:pStyle w:val="51"/>
              <w:spacing w:before="56" w:line="229" w:lineRule="auto"/>
              <w:ind w:left="367"/>
              <w:rPr>
                <w:sz w:val="17"/>
                <w:szCs w:val="17"/>
              </w:rPr>
            </w:pPr>
            <w:r>
              <w:rPr>
                <w:spacing w:val="4"/>
                <w:sz w:val="17"/>
                <w:szCs w:val="17"/>
              </w:rPr>
              <w:t>豆芽</w:t>
            </w:r>
          </w:p>
        </w:tc>
        <w:tc>
          <w:tcPr>
            <w:tcW w:w="1829" w:type="dxa"/>
            <w:vAlign w:val="top"/>
          </w:tcPr>
          <w:p w14:paraId="69DB37BD">
            <w:pPr>
              <w:spacing w:line="300" w:lineRule="auto"/>
              <w:rPr>
                <w:rFonts w:ascii="Arial"/>
                <w:sz w:val="21"/>
              </w:rPr>
            </w:pPr>
          </w:p>
          <w:p w14:paraId="7359AD0B">
            <w:pPr>
              <w:pStyle w:val="51"/>
              <w:spacing w:before="56" w:line="229" w:lineRule="auto"/>
              <w:ind w:left="741"/>
              <w:rPr>
                <w:sz w:val="17"/>
                <w:szCs w:val="17"/>
              </w:rPr>
            </w:pPr>
            <w:r>
              <w:rPr>
                <w:spacing w:val="4"/>
                <w:sz w:val="17"/>
                <w:szCs w:val="17"/>
              </w:rPr>
              <w:t>豆芽</w:t>
            </w:r>
          </w:p>
        </w:tc>
        <w:tc>
          <w:tcPr>
            <w:tcW w:w="3314" w:type="dxa"/>
            <w:vAlign w:val="top"/>
          </w:tcPr>
          <w:p w14:paraId="27B2CE9A">
            <w:pPr>
              <w:pStyle w:val="51"/>
              <w:spacing w:before="71" w:line="276" w:lineRule="auto"/>
              <w:ind w:left="36" w:right="22" w:hanging="12"/>
              <w:rPr>
                <w:sz w:val="17"/>
                <w:szCs w:val="17"/>
              </w:rPr>
            </w:pPr>
            <w:r>
              <w:rPr>
                <w:spacing w:val="9"/>
                <w:sz w:val="17"/>
                <w:szCs w:val="17"/>
              </w:rPr>
              <w:t>4-氯苯氧乙酸钠(以4-氯苯氧乙酸计)、6-</w:t>
            </w:r>
            <w:r>
              <w:rPr>
                <w:spacing w:val="7"/>
                <w:sz w:val="17"/>
                <w:szCs w:val="17"/>
              </w:rPr>
              <w:t>苄基腺嘌呤(6-</w:t>
            </w:r>
            <w:r>
              <w:rPr>
                <w:sz w:val="17"/>
                <w:szCs w:val="17"/>
              </w:rPr>
              <w:t>BA</w:t>
            </w:r>
            <w:r>
              <w:rPr>
                <w:spacing w:val="7"/>
                <w:sz w:val="17"/>
                <w:szCs w:val="17"/>
              </w:rPr>
              <w:t>)、亚硫酸盐(以</w:t>
            </w:r>
            <w:r>
              <w:rPr>
                <w:sz w:val="17"/>
                <w:szCs w:val="17"/>
              </w:rPr>
              <w:t>SO</w:t>
            </w:r>
            <w:r>
              <w:rPr>
                <w:spacing w:val="7"/>
                <w:position w:val="-2"/>
                <w:sz w:val="8"/>
                <w:szCs w:val="8"/>
              </w:rPr>
              <w:t>2</w:t>
            </w:r>
            <w:r>
              <w:rPr>
                <w:spacing w:val="7"/>
                <w:sz w:val="17"/>
                <w:szCs w:val="17"/>
              </w:rPr>
              <w:t>计)、总汞(以</w:t>
            </w:r>
            <w:r>
              <w:rPr>
                <w:sz w:val="17"/>
                <w:szCs w:val="17"/>
              </w:rPr>
              <w:t>Hg</w:t>
            </w:r>
            <w:r>
              <w:rPr>
                <w:spacing w:val="7"/>
                <w:sz w:val="17"/>
                <w:szCs w:val="17"/>
              </w:rPr>
              <w:t>计)</w:t>
            </w:r>
          </w:p>
        </w:tc>
        <w:tc>
          <w:tcPr>
            <w:tcW w:w="6118" w:type="dxa"/>
            <w:vAlign w:val="top"/>
          </w:tcPr>
          <w:p w14:paraId="3EFA21FE">
            <w:pPr>
              <w:spacing w:line="293" w:lineRule="auto"/>
              <w:rPr>
                <w:rFonts w:ascii="Arial"/>
                <w:sz w:val="21"/>
              </w:rPr>
            </w:pPr>
          </w:p>
          <w:p w14:paraId="177BA02A">
            <w:pPr>
              <w:pStyle w:val="51"/>
              <w:spacing w:before="55" w:line="228" w:lineRule="auto"/>
              <w:ind w:left="30"/>
              <w:rPr>
                <w:sz w:val="17"/>
                <w:szCs w:val="17"/>
              </w:rPr>
            </w:pPr>
            <w:r>
              <w:rPr>
                <w:spacing w:val="7"/>
                <w:sz w:val="17"/>
                <w:szCs w:val="17"/>
              </w:rPr>
              <w:t>铅(以</w:t>
            </w:r>
            <w:r>
              <w:rPr>
                <w:sz w:val="17"/>
                <w:szCs w:val="17"/>
              </w:rPr>
              <w:t>Pb</w:t>
            </w:r>
            <w:r>
              <w:rPr>
                <w:spacing w:val="7"/>
                <w:sz w:val="17"/>
                <w:szCs w:val="17"/>
              </w:rPr>
              <w:t>计)</w:t>
            </w:r>
          </w:p>
        </w:tc>
        <w:tc>
          <w:tcPr>
            <w:tcW w:w="1161" w:type="dxa"/>
            <w:vAlign w:val="top"/>
          </w:tcPr>
          <w:p w14:paraId="4889DBA1">
            <w:pPr>
              <w:rPr>
                <w:rFonts w:ascii="Arial"/>
                <w:sz w:val="21"/>
              </w:rPr>
            </w:pPr>
          </w:p>
        </w:tc>
      </w:tr>
      <w:tr w14:paraId="6B02BC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trPr>
        <w:tc>
          <w:tcPr>
            <w:tcW w:w="619" w:type="dxa"/>
            <w:vMerge w:val="restart"/>
            <w:tcBorders>
              <w:bottom w:val="nil"/>
            </w:tcBorders>
            <w:vAlign w:val="top"/>
          </w:tcPr>
          <w:p w14:paraId="3E6BE3FC">
            <w:pPr>
              <w:spacing w:line="256" w:lineRule="auto"/>
              <w:rPr>
                <w:rFonts w:ascii="Arial"/>
                <w:sz w:val="21"/>
              </w:rPr>
            </w:pPr>
          </w:p>
          <w:p w14:paraId="0D5F9ACB">
            <w:pPr>
              <w:spacing w:line="256" w:lineRule="auto"/>
              <w:rPr>
                <w:rFonts w:ascii="Arial"/>
                <w:sz w:val="21"/>
              </w:rPr>
            </w:pPr>
          </w:p>
          <w:p w14:paraId="6BC8C028">
            <w:pPr>
              <w:spacing w:line="257" w:lineRule="auto"/>
              <w:rPr>
                <w:rFonts w:ascii="Arial"/>
                <w:sz w:val="21"/>
              </w:rPr>
            </w:pPr>
          </w:p>
          <w:p w14:paraId="34057B29">
            <w:pPr>
              <w:spacing w:line="257" w:lineRule="auto"/>
              <w:rPr>
                <w:rFonts w:ascii="Arial"/>
                <w:sz w:val="21"/>
              </w:rPr>
            </w:pPr>
          </w:p>
          <w:p w14:paraId="0606CEB6">
            <w:pPr>
              <w:spacing w:line="257" w:lineRule="auto"/>
              <w:rPr>
                <w:rFonts w:ascii="Arial"/>
                <w:sz w:val="21"/>
              </w:rPr>
            </w:pPr>
          </w:p>
          <w:p w14:paraId="227718F3">
            <w:pPr>
              <w:spacing w:line="257" w:lineRule="auto"/>
              <w:rPr>
                <w:rFonts w:ascii="Arial"/>
                <w:sz w:val="21"/>
              </w:rPr>
            </w:pPr>
          </w:p>
          <w:p w14:paraId="02AD2174">
            <w:pPr>
              <w:spacing w:line="257" w:lineRule="auto"/>
              <w:rPr>
                <w:rFonts w:ascii="Arial"/>
                <w:sz w:val="21"/>
              </w:rPr>
            </w:pPr>
          </w:p>
          <w:p w14:paraId="1C1FBF18">
            <w:pPr>
              <w:spacing w:line="257" w:lineRule="auto"/>
              <w:rPr>
                <w:rFonts w:ascii="Arial"/>
                <w:sz w:val="21"/>
              </w:rPr>
            </w:pPr>
          </w:p>
          <w:p w14:paraId="0763DE4B">
            <w:pPr>
              <w:spacing w:line="257" w:lineRule="auto"/>
              <w:rPr>
                <w:rFonts w:ascii="Arial"/>
                <w:sz w:val="21"/>
              </w:rPr>
            </w:pPr>
          </w:p>
          <w:p w14:paraId="2F5EDF2D">
            <w:pPr>
              <w:spacing w:line="257" w:lineRule="auto"/>
              <w:rPr>
                <w:rFonts w:ascii="Arial"/>
                <w:sz w:val="21"/>
              </w:rPr>
            </w:pPr>
          </w:p>
          <w:p w14:paraId="202701FE">
            <w:pPr>
              <w:spacing w:line="257" w:lineRule="auto"/>
              <w:rPr>
                <w:rFonts w:ascii="Arial"/>
                <w:sz w:val="21"/>
              </w:rPr>
            </w:pPr>
          </w:p>
          <w:p w14:paraId="44B9AAFA">
            <w:pPr>
              <w:spacing w:line="257" w:lineRule="auto"/>
              <w:rPr>
                <w:rFonts w:ascii="Arial"/>
                <w:sz w:val="21"/>
              </w:rPr>
            </w:pPr>
          </w:p>
          <w:p w14:paraId="07ABF2D1">
            <w:pPr>
              <w:spacing w:line="257" w:lineRule="auto"/>
              <w:rPr>
                <w:rFonts w:ascii="Arial"/>
                <w:sz w:val="21"/>
              </w:rPr>
            </w:pPr>
          </w:p>
          <w:p w14:paraId="47B58CEC">
            <w:pPr>
              <w:pStyle w:val="51"/>
              <w:spacing w:before="56" w:line="228" w:lineRule="exact"/>
              <w:ind w:left="271"/>
              <w:rPr>
                <w:sz w:val="17"/>
                <w:szCs w:val="17"/>
              </w:rPr>
            </w:pPr>
            <w:r>
              <w:rPr>
                <w:position w:val="1"/>
                <w:sz w:val="17"/>
                <w:szCs w:val="17"/>
              </w:rPr>
              <w:t>2</w:t>
            </w:r>
          </w:p>
        </w:tc>
        <w:tc>
          <w:tcPr>
            <w:tcW w:w="1050" w:type="dxa"/>
            <w:vMerge w:val="restart"/>
            <w:tcBorders>
              <w:bottom w:val="nil"/>
            </w:tcBorders>
            <w:vAlign w:val="top"/>
          </w:tcPr>
          <w:p w14:paraId="0BB2CBE3">
            <w:pPr>
              <w:spacing w:line="256" w:lineRule="auto"/>
              <w:rPr>
                <w:rFonts w:ascii="Arial"/>
                <w:sz w:val="21"/>
              </w:rPr>
            </w:pPr>
          </w:p>
          <w:p w14:paraId="2239B041">
            <w:pPr>
              <w:spacing w:line="256" w:lineRule="auto"/>
              <w:rPr>
                <w:rFonts w:ascii="Arial"/>
                <w:sz w:val="21"/>
              </w:rPr>
            </w:pPr>
          </w:p>
          <w:p w14:paraId="6A6F5309">
            <w:pPr>
              <w:spacing w:line="257" w:lineRule="auto"/>
              <w:rPr>
                <w:rFonts w:ascii="Arial"/>
                <w:sz w:val="21"/>
              </w:rPr>
            </w:pPr>
          </w:p>
          <w:p w14:paraId="2063880A">
            <w:pPr>
              <w:spacing w:line="257" w:lineRule="auto"/>
              <w:rPr>
                <w:rFonts w:ascii="Arial"/>
                <w:sz w:val="21"/>
              </w:rPr>
            </w:pPr>
          </w:p>
          <w:p w14:paraId="44273F5A">
            <w:pPr>
              <w:spacing w:line="257" w:lineRule="auto"/>
              <w:rPr>
                <w:rFonts w:ascii="Arial"/>
                <w:sz w:val="21"/>
              </w:rPr>
            </w:pPr>
          </w:p>
          <w:p w14:paraId="18336FE1">
            <w:pPr>
              <w:spacing w:line="257" w:lineRule="auto"/>
              <w:rPr>
                <w:rFonts w:ascii="Arial"/>
                <w:sz w:val="21"/>
              </w:rPr>
            </w:pPr>
          </w:p>
          <w:p w14:paraId="69A10D12">
            <w:pPr>
              <w:spacing w:line="257" w:lineRule="auto"/>
              <w:rPr>
                <w:rFonts w:ascii="Arial"/>
                <w:sz w:val="21"/>
              </w:rPr>
            </w:pPr>
          </w:p>
          <w:p w14:paraId="54240632">
            <w:pPr>
              <w:spacing w:line="257" w:lineRule="auto"/>
              <w:rPr>
                <w:rFonts w:ascii="Arial"/>
                <w:sz w:val="21"/>
              </w:rPr>
            </w:pPr>
          </w:p>
          <w:p w14:paraId="19A398B8">
            <w:pPr>
              <w:spacing w:line="257" w:lineRule="auto"/>
              <w:rPr>
                <w:rFonts w:ascii="Arial"/>
                <w:sz w:val="21"/>
              </w:rPr>
            </w:pPr>
          </w:p>
          <w:p w14:paraId="1831A66B">
            <w:pPr>
              <w:spacing w:line="257" w:lineRule="auto"/>
              <w:rPr>
                <w:rFonts w:ascii="Arial"/>
                <w:sz w:val="21"/>
              </w:rPr>
            </w:pPr>
          </w:p>
          <w:p w14:paraId="0FA34B1E">
            <w:pPr>
              <w:spacing w:line="257" w:lineRule="auto"/>
              <w:rPr>
                <w:rFonts w:ascii="Arial"/>
                <w:sz w:val="21"/>
              </w:rPr>
            </w:pPr>
          </w:p>
          <w:p w14:paraId="5477C9FC">
            <w:pPr>
              <w:spacing w:line="257" w:lineRule="auto"/>
              <w:rPr>
                <w:rFonts w:ascii="Arial"/>
                <w:sz w:val="21"/>
              </w:rPr>
            </w:pPr>
          </w:p>
          <w:p w14:paraId="5E710323">
            <w:pPr>
              <w:spacing w:line="257" w:lineRule="auto"/>
              <w:rPr>
                <w:rFonts w:ascii="Arial"/>
                <w:sz w:val="21"/>
              </w:rPr>
            </w:pPr>
          </w:p>
          <w:p w14:paraId="60B4D57D">
            <w:pPr>
              <w:pStyle w:val="51"/>
              <w:spacing w:before="55" w:line="224" w:lineRule="auto"/>
              <w:ind w:left="353"/>
              <w:rPr>
                <w:sz w:val="17"/>
                <w:szCs w:val="17"/>
              </w:rPr>
            </w:pPr>
            <w:r>
              <w:rPr>
                <w:spacing w:val="2"/>
                <w:sz w:val="17"/>
                <w:szCs w:val="17"/>
              </w:rPr>
              <w:t>蔬菜</w:t>
            </w:r>
          </w:p>
        </w:tc>
        <w:tc>
          <w:tcPr>
            <w:tcW w:w="1080" w:type="dxa"/>
            <w:vMerge w:val="restart"/>
            <w:tcBorders>
              <w:bottom w:val="nil"/>
            </w:tcBorders>
            <w:vAlign w:val="top"/>
          </w:tcPr>
          <w:p w14:paraId="64A1A203">
            <w:pPr>
              <w:spacing w:line="287" w:lineRule="auto"/>
              <w:rPr>
                <w:rFonts w:ascii="Arial"/>
                <w:sz w:val="21"/>
              </w:rPr>
            </w:pPr>
          </w:p>
          <w:p w14:paraId="52408EED">
            <w:pPr>
              <w:spacing w:line="288" w:lineRule="auto"/>
              <w:rPr>
                <w:rFonts w:ascii="Arial"/>
                <w:sz w:val="21"/>
              </w:rPr>
            </w:pPr>
          </w:p>
          <w:p w14:paraId="06872F88">
            <w:pPr>
              <w:spacing w:line="288" w:lineRule="auto"/>
              <w:rPr>
                <w:rFonts w:ascii="Arial"/>
                <w:sz w:val="21"/>
              </w:rPr>
            </w:pPr>
          </w:p>
          <w:p w14:paraId="4510BE7E">
            <w:pPr>
              <w:spacing w:line="288" w:lineRule="auto"/>
              <w:rPr>
                <w:rFonts w:ascii="Arial"/>
                <w:sz w:val="21"/>
              </w:rPr>
            </w:pPr>
          </w:p>
          <w:p w14:paraId="751886E8">
            <w:pPr>
              <w:spacing w:line="288" w:lineRule="auto"/>
              <w:rPr>
                <w:rFonts w:ascii="Arial"/>
                <w:sz w:val="21"/>
              </w:rPr>
            </w:pPr>
          </w:p>
          <w:p w14:paraId="704457B8">
            <w:pPr>
              <w:pStyle w:val="51"/>
              <w:spacing w:before="55" w:line="324" w:lineRule="auto"/>
              <w:ind w:left="187" w:right="88" w:hanging="88"/>
              <w:rPr>
                <w:sz w:val="17"/>
                <w:szCs w:val="17"/>
              </w:rPr>
            </w:pPr>
            <w:r>
              <w:rPr>
                <w:spacing w:val="7"/>
                <w:sz w:val="17"/>
                <w:szCs w:val="17"/>
              </w:rPr>
              <w:t>根茎类和薯芋类蔬菜</w:t>
            </w:r>
          </w:p>
        </w:tc>
        <w:tc>
          <w:tcPr>
            <w:tcW w:w="1829" w:type="dxa"/>
            <w:vAlign w:val="top"/>
          </w:tcPr>
          <w:p w14:paraId="3CA99558">
            <w:pPr>
              <w:pStyle w:val="51"/>
              <w:spacing w:before="219" w:line="228" w:lineRule="auto"/>
              <w:ind w:left="743"/>
              <w:rPr>
                <w:sz w:val="17"/>
                <w:szCs w:val="17"/>
              </w:rPr>
            </w:pPr>
            <w:r>
              <w:rPr>
                <w:spacing w:val="3"/>
                <w:sz w:val="17"/>
                <w:szCs w:val="17"/>
              </w:rPr>
              <w:t>甘薯</w:t>
            </w:r>
          </w:p>
        </w:tc>
        <w:tc>
          <w:tcPr>
            <w:tcW w:w="3314" w:type="dxa"/>
            <w:vAlign w:val="top"/>
          </w:tcPr>
          <w:p w14:paraId="247DCCFC">
            <w:pPr>
              <w:pStyle w:val="51"/>
              <w:spacing w:before="72" w:line="262" w:lineRule="auto"/>
              <w:ind w:left="34" w:right="53"/>
              <w:rPr>
                <w:sz w:val="17"/>
                <w:szCs w:val="17"/>
              </w:rPr>
            </w:pPr>
            <w:r>
              <w:rPr>
                <w:spacing w:val="8"/>
                <w:sz w:val="17"/>
                <w:szCs w:val="17"/>
              </w:rPr>
              <w:t>氯氟氰菊酯和高效氯氟氰菊酯、毒死蜱、氯氰菊酯和高效氯氰菊酯、噻虫嗪</w:t>
            </w:r>
          </w:p>
        </w:tc>
        <w:tc>
          <w:tcPr>
            <w:tcW w:w="6118" w:type="dxa"/>
            <w:vAlign w:val="top"/>
          </w:tcPr>
          <w:p w14:paraId="3D454C97">
            <w:pPr>
              <w:pStyle w:val="51"/>
              <w:spacing w:before="211" w:line="223" w:lineRule="auto"/>
              <w:ind w:left="42"/>
              <w:rPr>
                <w:sz w:val="17"/>
                <w:szCs w:val="17"/>
              </w:rPr>
            </w:pPr>
            <w:r>
              <w:rPr>
                <w:spacing w:val="8"/>
                <w:sz w:val="17"/>
                <w:szCs w:val="17"/>
              </w:rPr>
              <w:t>铅(以</w:t>
            </w:r>
            <w:r>
              <w:rPr>
                <w:sz w:val="17"/>
                <w:szCs w:val="17"/>
              </w:rPr>
              <w:t>Pb</w:t>
            </w:r>
            <w:r>
              <w:rPr>
                <w:spacing w:val="8"/>
                <w:sz w:val="17"/>
                <w:szCs w:val="17"/>
              </w:rPr>
              <w:t>计)、苯醚甲环唑、氟虫腈、甲拌磷、联苯菊酯、杀扑</w:t>
            </w:r>
            <w:r>
              <w:rPr>
                <w:spacing w:val="48"/>
                <w:sz w:val="17"/>
                <w:szCs w:val="17"/>
              </w:rPr>
              <w:t xml:space="preserve"> </w:t>
            </w:r>
            <w:r>
              <w:rPr>
                <w:spacing w:val="8"/>
                <w:sz w:val="17"/>
                <w:szCs w:val="17"/>
              </w:rPr>
              <w:t>磷</w:t>
            </w:r>
          </w:p>
        </w:tc>
        <w:tc>
          <w:tcPr>
            <w:tcW w:w="1161" w:type="dxa"/>
            <w:vAlign w:val="top"/>
          </w:tcPr>
          <w:p w14:paraId="1BD10EE6">
            <w:pPr>
              <w:rPr>
                <w:rFonts w:ascii="Arial"/>
                <w:sz w:val="21"/>
              </w:rPr>
            </w:pPr>
          </w:p>
        </w:tc>
      </w:tr>
      <w:tr w14:paraId="3FB357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trPr>
        <w:tc>
          <w:tcPr>
            <w:tcW w:w="619" w:type="dxa"/>
            <w:vMerge w:val="continue"/>
            <w:tcBorders>
              <w:top w:val="nil"/>
              <w:bottom w:val="nil"/>
            </w:tcBorders>
            <w:vAlign w:val="top"/>
          </w:tcPr>
          <w:p w14:paraId="15B8B884">
            <w:pPr>
              <w:rPr>
                <w:rFonts w:ascii="Arial"/>
                <w:sz w:val="21"/>
              </w:rPr>
            </w:pPr>
          </w:p>
        </w:tc>
        <w:tc>
          <w:tcPr>
            <w:tcW w:w="1050" w:type="dxa"/>
            <w:vMerge w:val="continue"/>
            <w:tcBorders>
              <w:top w:val="nil"/>
              <w:bottom w:val="nil"/>
            </w:tcBorders>
            <w:vAlign w:val="top"/>
          </w:tcPr>
          <w:p w14:paraId="623A1F2E">
            <w:pPr>
              <w:rPr>
                <w:rFonts w:ascii="Arial"/>
                <w:sz w:val="21"/>
              </w:rPr>
            </w:pPr>
          </w:p>
        </w:tc>
        <w:tc>
          <w:tcPr>
            <w:tcW w:w="1080" w:type="dxa"/>
            <w:vMerge w:val="continue"/>
            <w:tcBorders>
              <w:top w:val="nil"/>
              <w:bottom w:val="nil"/>
            </w:tcBorders>
            <w:vAlign w:val="top"/>
          </w:tcPr>
          <w:p w14:paraId="0CCCD726">
            <w:pPr>
              <w:rPr>
                <w:rFonts w:ascii="Arial"/>
                <w:sz w:val="21"/>
              </w:rPr>
            </w:pPr>
          </w:p>
        </w:tc>
        <w:tc>
          <w:tcPr>
            <w:tcW w:w="1829" w:type="dxa"/>
            <w:vAlign w:val="top"/>
          </w:tcPr>
          <w:p w14:paraId="526F6C80">
            <w:pPr>
              <w:pStyle w:val="51"/>
              <w:spacing w:before="217" w:line="227" w:lineRule="auto"/>
              <w:ind w:left="654"/>
              <w:rPr>
                <w:sz w:val="17"/>
                <w:szCs w:val="17"/>
              </w:rPr>
            </w:pPr>
            <w:r>
              <w:rPr>
                <w:spacing w:val="5"/>
                <w:sz w:val="17"/>
                <w:szCs w:val="17"/>
              </w:rPr>
              <w:t>胡萝卜</w:t>
            </w:r>
          </w:p>
        </w:tc>
        <w:tc>
          <w:tcPr>
            <w:tcW w:w="3314" w:type="dxa"/>
            <w:vAlign w:val="top"/>
          </w:tcPr>
          <w:p w14:paraId="303D5C4D">
            <w:pPr>
              <w:pStyle w:val="51"/>
              <w:spacing w:before="70" w:line="263" w:lineRule="auto"/>
              <w:ind w:left="36" w:right="19" w:firstLine="3"/>
              <w:rPr>
                <w:sz w:val="17"/>
                <w:szCs w:val="17"/>
              </w:rPr>
            </w:pPr>
            <w:r>
              <w:rPr>
                <w:spacing w:val="10"/>
                <w:sz w:val="17"/>
                <w:szCs w:val="17"/>
              </w:rPr>
              <w:t>噻虫胺、甲拌磷、氟虫腈、氯氟氰菊酯和</w:t>
            </w:r>
            <w:r>
              <w:rPr>
                <w:spacing w:val="8"/>
                <w:sz w:val="17"/>
                <w:szCs w:val="17"/>
              </w:rPr>
              <w:t>高效氯氟氰菊酯、毒死蜱</w:t>
            </w:r>
          </w:p>
        </w:tc>
        <w:tc>
          <w:tcPr>
            <w:tcW w:w="6118" w:type="dxa"/>
            <w:vAlign w:val="top"/>
          </w:tcPr>
          <w:p w14:paraId="1DDB25D6">
            <w:pPr>
              <w:pStyle w:val="51"/>
              <w:spacing w:before="212" w:line="227" w:lineRule="auto"/>
              <w:ind w:left="30"/>
              <w:rPr>
                <w:sz w:val="17"/>
                <w:szCs w:val="17"/>
              </w:rPr>
            </w:pPr>
            <w:r>
              <w:rPr>
                <w:spacing w:val="8"/>
                <w:sz w:val="17"/>
                <w:szCs w:val="17"/>
              </w:rPr>
              <w:t>铅(以</w:t>
            </w:r>
            <w:r>
              <w:rPr>
                <w:sz w:val="17"/>
                <w:szCs w:val="17"/>
              </w:rPr>
              <w:t>Pb</w:t>
            </w:r>
            <w:r>
              <w:rPr>
                <w:spacing w:val="8"/>
                <w:sz w:val="17"/>
                <w:szCs w:val="17"/>
              </w:rPr>
              <w:t>计)、腈菌唑、乐果、噻虫嗪、辛硫磷</w:t>
            </w:r>
          </w:p>
        </w:tc>
        <w:tc>
          <w:tcPr>
            <w:tcW w:w="1161" w:type="dxa"/>
            <w:vAlign w:val="top"/>
          </w:tcPr>
          <w:p w14:paraId="4C58E6FC">
            <w:pPr>
              <w:rPr>
                <w:rFonts w:ascii="Arial"/>
                <w:sz w:val="21"/>
              </w:rPr>
            </w:pPr>
          </w:p>
        </w:tc>
      </w:tr>
      <w:tr w14:paraId="56146C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trPr>
        <w:tc>
          <w:tcPr>
            <w:tcW w:w="619" w:type="dxa"/>
            <w:vMerge w:val="continue"/>
            <w:tcBorders>
              <w:top w:val="nil"/>
              <w:bottom w:val="nil"/>
            </w:tcBorders>
            <w:vAlign w:val="top"/>
          </w:tcPr>
          <w:p w14:paraId="292183B4">
            <w:pPr>
              <w:rPr>
                <w:rFonts w:ascii="Arial"/>
                <w:sz w:val="21"/>
              </w:rPr>
            </w:pPr>
          </w:p>
        </w:tc>
        <w:tc>
          <w:tcPr>
            <w:tcW w:w="1050" w:type="dxa"/>
            <w:vMerge w:val="continue"/>
            <w:tcBorders>
              <w:top w:val="nil"/>
              <w:bottom w:val="nil"/>
            </w:tcBorders>
            <w:vAlign w:val="top"/>
          </w:tcPr>
          <w:p w14:paraId="0901E5FA">
            <w:pPr>
              <w:rPr>
                <w:rFonts w:ascii="Arial"/>
                <w:sz w:val="21"/>
              </w:rPr>
            </w:pPr>
          </w:p>
        </w:tc>
        <w:tc>
          <w:tcPr>
            <w:tcW w:w="1080" w:type="dxa"/>
            <w:vMerge w:val="continue"/>
            <w:tcBorders>
              <w:top w:val="nil"/>
              <w:bottom w:val="nil"/>
            </w:tcBorders>
            <w:vAlign w:val="top"/>
          </w:tcPr>
          <w:p w14:paraId="4E4127E3">
            <w:pPr>
              <w:rPr>
                <w:rFonts w:ascii="Arial"/>
                <w:sz w:val="21"/>
              </w:rPr>
            </w:pPr>
          </w:p>
        </w:tc>
        <w:tc>
          <w:tcPr>
            <w:tcW w:w="1829" w:type="dxa"/>
            <w:vAlign w:val="top"/>
          </w:tcPr>
          <w:p w14:paraId="0790F8F7">
            <w:pPr>
              <w:pStyle w:val="51"/>
              <w:spacing w:before="219" w:line="229" w:lineRule="auto"/>
              <w:ind w:left="836"/>
              <w:rPr>
                <w:sz w:val="17"/>
                <w:szCs w:val="17"/>
              </w:rPr>
            </w:pPr>
            <w:r>
              <w:rPr>
                <w:sz w:val="17"/>
                <w:szCs w:val="17"/>
              </w:rPr>
              <w:t>姜</w:t>
            </w:r>
          </w:p>
        </w:tc>
        <w:tc>
          <w:tcPr>
            <w:tcW w:w="3314" w:type="dxa"/>
            <w:vAlign w:val="top"/>
          </w:tcPr>
          <w:p w14:paraId="4A74AD48">
            <w:pPr>
              <w:pStyle w:val="51"/>
              <w:spacing w:before="72" w:line="262" w:lineRule="auto"/>
              <w:ind w:left="39" w:right="39"/>
              <w:rPr>
                <w:sz w:val="17"/>
                <w:szCs w:val="17"/>
              </w:rPr>
            </w:pPr>
            <w:r>
              <w:rPr>
                <w:spacing w:val="9"/>
                <w:sz w:val="17"/>
                <w:szCs w:val="17"/>
              </w:rPr>
              <w:t>噻虫胺、铅(以</w:t>
            </w:r>
            <w:r>
              <w:rPr>
                <w:sz w:val="17"/>
                <w:szCs w:val="17"/>
              </w:rPr>
              <w:t>Pb</w:t>
            </w:r>
            <w:r>
              <w:rPr>
                <w:spacing w:val="9"/>
                <w:sz w:val="17"/>
                <w:szCs w:val="17"/>
              </w:rPr>
              <w:t>计)、镉(以</w:t>
            </w:r>
            <w:r>
              <w:rPr>
                <w:sz w:val="17"/>
                <w:szCs w:val="17"/>
              </w:rPr>
              <w:t>Cd</w:t>
            </w:r>
            <w:r>
              <w:rPr>
                <w:spacing w:val="9"/>
                <w:sz w:val="17"/>
                <w:szCs w:val="17"/>
              </w:rPr>
              <w:t>计)、噻虫</w:t>
            </w:r>
            <w:r>
              <w:rPr>
                <w:spacing w:val="8"/>
                <w:sz w:val="17"/>
                <w:szCs w:val="17"/>
              </w:rPr>
              <w:t>嗪、毒死蜱、吡虫啉、二氧化硫残留量</w:t>
            </w:r>
          </w:p>
        </w:tc>
        <w:tc>
          <w:tcPr>
            <w:tcW w:w="6118" w:type="dxa"/>
            <w:vAlign w:val="top"/>
          </w:tcPr>
          <w:p w14:paraId="358AB5D5">
            <w:pPr>
              <w:pStyle w:val="51"/>
              <w:spacing w:before="72" w:line="262" w:lineRule="auto"/>
              <w:ind w:left="31" w:right="14" w:firstLine="20"/>
              <w:rPr>
                <w:sz w:val="17"/>
                <w:szCs w:val="17"/>
              </w:rPr>
            </w:pPr>
            <w:r>
              <w:rPr>
                <w:spacing w:val="8"/>
                <w:sz w:val="17"/>
                <w:szCs w:val="17"/>
              </w:rPr>
              <w:t>吡唑醚菌酯、敌敌畏、甲拌磷、克百威、六六六、氯氟氰菊酯</w:t>
            </w:r>
            <w:r>
              <w:rPr>
                <w:spacing w:val="7"/>
                <w:sz w:val="17"/>
                <w:szCs w:val="17"/>
              </w:rPr>
              <w:t>和高效氯氟氰菊</w:t>
            </w:r>
            <w:r>
              <w:rPr>
                <w:spacing w:val="9"/>
                <w:sz w:val="17"/>
                <w:szCs w:val="17"/>
              </w:rPr>
              <w:t>酯、氯氰菊酯和高效氯氰菊酯、氯唑磷、咪鲜胺和咪鲜胺锰盐</w:t>
            </w:r>
          </w:p>
        </w:tc>
        <w:tc>
          <w:tcPr>
            <w:tcW w:w="1161" w:type="dxa"/>
            <w:vAlign w:val="top"/>
          </w:tcPr>
          <w:p w14:paraId="3527A356">
            <w:pPr>
              <w:rPr>
                <w:rFonts w:ascii="Arial"/>
                <w:sz w:val="21"/>
              </w:rPr>
            </w:pPr>
          </w:p>
        </w:tc>
      </w:tr>
      <w:tr w14:paraId="3C5935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619" w:type="dxa"/>
            <w:vMerge w:val="continue"/>
            <w:tcBorders>
              <w:top w:val="nil"/>
              <w:bottom w:val="nil"/>
            </w:tcBorders>
            <w:vAlign w:val="top"/>
          </w:tcPr>
          <w:p w14:paraId="5096E552">
            <w:pPr>
              <w:rPr>
                <w:rFonts w:ascii="Arial"/>
                <w:sz w:val="21"/>
              </w:rPr>
            </w:pPr>
          </w:p>
        </w:tc>
        <w:tc>
          <w:tcPr>
            <w:tcW w:w="1050" w:type="dxa"/>
            <w:vMerge w:val="continue"/>
            <w:tcBorders>
              <w:top w:val="nil"/>
              <w:bottom w:val="nil"/>
            </w:tcBorders>
            <w:vAlign w:val="top"/>
          </w:tcPr>
          <w:p w14:paraId="7C2002CD">
            <w:pPr>
              <w:rPr>
                <w:rFonts w:ascii="Arial"/>
                <w:sz w:val="21"/>
              </w:rPr>
            </w:pPr>
          </w:p>
        </w:tc>
        <w:tc>
          <w:tcPr>
            <w:tcW w:w="1080" w:type="dxa"/>
            <w:vMerge w:val="continue"/>
            <w:tcBorders>
              <w:top w:val="nil"/>
              <w:bottom w:val="nil"/>
            </w:tcBorders>
            <w:vAlign w:val="top"/>
          </w:tcPr>
          <w:p w14:paraId="2EAC4F89">
            <w:pPr>
              <w:rPr>
                <w:rFonts w:ascii="Arial"/>
                <w:sz w:val="21"/>
              </w:rPr>
            </w:pPr>
          </w:p>
        </w:tc>
        <w:tc>
          <w:tcPr>
            <w:tcW w:w="1829" w:type="dxa"/>
            <w:vAlign w:val="top"/>
          </w:tcPr>
          <w:p w14:paraId="7A58B967">
            <w:pPr>
              <w:pStyle w:val="51"/>
              <w:spacing w:before="219" w:line="227" w:lineRule="auto"/>
              <w:ind w:left="751"/>
              <w:rPr>
                <w:sz w:val="17"/>
                <w:szCs w:val="17"/>
              </w:rPr>
            </w:pPr>
            <w:r>
              <w:rPr>
                <w:spacing w:val="-1"/>
                <w:sz w:val="17"/>
                <w:szCs w:val="17"/>
              </w:rPr>
              <w:t>萝卜</w:t>
            </w:r>
          </w:p>
        </w:tc>
        <w:tc>
          <w:tcPr>
            <w:tcW w:w="3314" w:type="dxa"/>
            <w:vAlign w:val="top"/>
          </w:tcPr>
          <w:p w14:paraId="75D8F5D7">
            <w:pPr>
              <w:pStyle w:val="51"/>
              <w:spacing w:before="73" w:line="265" w:lineRule="auto"/>
              <w:ind w:left="33" w:right="53" w:firstLine="7"/>
              <w:rPr>
                <w:sz w:val="17"/>
                <w:szCs w:val="17"/>
              </w:rPr>
            </w:pPr>
            <w:r>
              <w:rPr>
                <w:spacing w:val="8"/>
                <w:sz w:val="17"/>
                <w:szCs w:val="17"/>
              </w:rPr>
              <w:t>噻虫嗪、氯氟氰菊酯和高效氯氟氰菊酯、</w:t>
            </w:r>
            <w:r>
              <w:rPr>
                <w:spacing w:val="5"/>
                <w:sz w:val="17"/>
                <w:szCs w:val="17"/>
              </w:rPr>
              <w:t>毒死蜱</w:t>
            </w:r>
          </w:p>
        </w:tc>
        <w:tc>
          <w:tcPr>
            <w:tcW w:w="6118" w:type="dxa"/>
            <w:vAlign w:val="top"/>
          </w:tcPr>
          <w:p w14:paraId="5584EAE2">
            <w:pPr>
              <w:pStyle w:val="51"/>
              <w:spacing w:before="214" w:line="227" w:lineRule="auto"/>
              <w:ind w:left="30"/>
              <w:rPr>
                <w:sz w:val="17"/>
                <w:szCs w:val="17"/>
              </w:rPr>
            </w:pPr>
            <w:r>
              <w:rPr>
                <w:spacing w:val="8"/>
                <w:sz w:val="17"/>
                <w:szCs w:val="17"/>
              </w:rPr>
              <w:t>铅(以</w:t>
            </w:r>
            <w:r>
              <w:rPr>
                <w:sz w:val="17"/>
                <w:szCs w:val="17"/>
              </w:rPr>
              <w:t>Pb</w:t>
            </w:r>
            <w:r>
              <w:rPr>
                <w:spacing w:val="8"/>
                <w:sz w:val="17"/>
                <w:szCs w:val="17"/>
              </w:rPr>
              <w:t>计)、甲胺磷、甲拌磷、噻虫胺、氧乐果</w:t>
            </w:r>
          </w:p>
        </w:tc>
        <w:tc>
          <w:tcPr>
            <w:tcW w:w="1161" w:type="dxa"/>
            <w:vAlign w:val="top"/>
          </w:tcPr>
          <w:p w14:paraId="2FCA30A4">
            <w:pPr>
              <w:rPr>
                <w:rFonts w:ascii="Arial"/>
                <w:sz w:val="21"/>
              </w:rPr>
            </w:pPr>
          </w:p>
        </w:tc>
      </w:tr>
      <w:tr w14:paraId="798B67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619" w:type="dxa"/>
            <w:vMerge w:val="continue"/>
            <w:tcBorders>
              <w:top w:val="nil"/>
              <w:bottom w:val="nil"/>
            </w:tcBorders>
            <w:vAlign w:val="top"/>
          </w:tcPr>
          <w:p w14:paraId="122E7B35">
            <w:pPr>
              <w:rPr>
                <w:rFonts w:ascii="Arial"/>
                <w:sz w:val="21"/>
              </w:rPr>
            </w:pPr>
          </w:p>
        </w:tc>
        <w:tc>
          <w:tcPr>
            <w:tcW w:w="1050" w:type="dxa"/>
            <w:vMerge w:val="continue"/>
            <w:tcBorders>
              <w:top w:val="nil"/>
              <w:bottom w:val="nil"/>
            </w:tcBorders>
            <w:vAlign w:val="top"/>
          </w:tcPr>
          <w:p w14:paraId="6E63B590">
            <w:pPr>
              <w:rPr>
                <w:rFonts w:ascii="Arial"/>
                <w:sz w:val="21"/>
              </w:rPr>
            </w:pPr>
          </w:p>
        </w:tc>
        <w:tc>
          <w:tcPr>
            <w:tcW w:w="1080" w:type="dxa"/>
            <w:vMerge w:val="continue"/>
            <w:tcBorders>
              <w:top w:val="nil"/>
              <w:bottom w:val="nil"/>
            </w:tcBorders>
            <w:vAlign w:val="top"/>
          </w:tcPr>
          <w:p w14:paraId="4A7895A4">
            <w:pPr>
              <w:rPr>
                <w:rFonts w:ascii="Arial"/>
                <w:sz w:val="21"/>
              </w:rPr>
            </w:pPr>
          </w:p>
        </w:tc>
        <w:tc>
          <w:tcPr>
            <w:tcW w:w="1829" w:type="dxa"/>
            <w:vAlign w:val="top"/>
          </w:tcPr>
          <w:p w14:paraId="79C5942A">
            <w:pPr>
              <w:pStyle w:val="51"/>
              <w:spacing w:before="221" w:line="229" w:lineRule="auto"/>
              <w:ind w:left="656"/>
              <w:rPr>
                <w:sz w:val="17"/>
                <w:szCs w:val="17"/>
              </w:rPr>
            </w:pPr>
            <w:r>
              <w:rPr>
                <w:spacing w:val="4"/>
                <w:sz w:val="17"/>
                <w:szCs w:val="17"/>
              </w:rPr>
              <w:t>马铃薯</w:t>
            </w:r>
          </w:p>
        </w:tc>
        <w:tc>
          <w:tcPr>
            <w:tcW w:w="3314" w:type="dxa"/>
            <w:vAlign w:val="top"/>
          </w:tcPr>
          <w:p w14:paraId="0B4EABD2">
            <w:pPr>
              <w:pStyle w:val="51"/>
              <w:spacing w:before="74" w:line="264" w:lineRule="auto"/>
              <w:ind w:left="39" w:right="19" w:hanging="6"/>
              <w:rPr>
                <w:sz w:val="17"/>
                <w:szCs w:val="17"/>
              </w:rPr>
            </w:pPr>
            <w:r>
              <w:rPr>
                <w:spacing w:val="10"/>
                <w:sz w:val="17"/>
                <w:szCs w:val="17"/>
              </w:rPr>
              <w:t>毒死蜱、噻虫嗪、氯氟氰菊酯和高效氯氟</w:t>
            </w:r>
            <w:r>
              <w:rPr>
                <w:spacing w:val="7"/>
                <w:sz w:val="17"/>
                <w:szCs w:val="17"/>
              </w:rPr>
              <w:t>氰菊酯、镉(以</w:t>
            </w:r>
            <w:r>
              <w:rPr>
                <w:sz w:val="17"/>
                <w:szCs w:val="17"/>
              </w:rPr>
              <w:t>Cd</w:t>
            </w:r>
            <w:r>
              <w:rPr>
                <w:spacing w:val="7"/>
                <w:sz w:val="17"/>
                <w:szCs w:val="17"/>
              </w:rPr>
              <w:t>计)、甲拌磷</w:t>
            </w:r>
          </w:p>
        </w:tc>
        <w:tc>
          <w:tcPr>
            <w:tcW w:w="6118" w:type="dxa"/>
            <w:vAlign w:val="top"/>
          </w:tcPr>
          <w:p w14:paraId="74ADE6A0">
            <w:pPr>
              <w:pStyle w:val="51"/>
              <w:spacing w:before="213" w:line="227" w:lineRule="auto"/>
              <w:ind w:left="30"/>
              <w:rPr>
                <w:sz w:val="17"/>
                <w:szCs w:val="17"/>
              </w:rPr>
            </w:pPr>
            <w:r>
              <w:rPr>
                <w:spacing w:val="9"/>
                <w:sz w:val="17"/>
                <w:szCs w:val="17"/>
              </w:rPr>
              <w:t>铅(以</w:t>
            </w:r>
            <w:r>
              <w:rPr>
                <w:sz w:val="17"/>
                <w:szCs w:val="17"/>
              </w:rPr>
              <w:t>Pb</w:t>
            </w:r>
            <w:r>
              <w:rPr>
                <w:spacing w:val="9"/>
                <w:sz w:val="17"/>
                <w:szCs w:val="17"/>
              </w:rPr>
              <w:t>计)、氯氰菊酯和高效氯氰菊酯、乙酰甲胺磷、</w:t>
            </w:r>
            <w:r>
              <w:rPr>
                <w:spacing w:val="8"/>
                <w:sz w:val="17"/>
                <w:szCs w:val="17"/>
              </w:rPr>
              <w:t>二氧化</w:t>
            </w:r>
            <w:r>
              <w:rPr>
                <w:spacing w:val="31"/>
                <w:sz w:val="17"/>
                <w:szCs w:val="17"/>
              </w:rPr>
              <w:t xml:space="preserve"> </w:t>
            </w:r>
            <w:r>
              <w:rPr>
                <w:spacing w:val="8"/>
                <w:sz w:val="17"/>
                <w:szCs w:val="17"/>
              </w:rPr>
              <w:t>硫残留量</w:t>
            </w:r>
          </w:p>
        </w:tc>
        <w:tc>
          <w:tcPr>
            <w:tcW w:w="1161" w:type="dxa"/>
            <w:vAlign w:val="top"/>
          </w:tcPr>
          <w:p w14:paraId="349C49C1">
            <w:pPr>
              <w:rPr>
                <w:rFonts w:ascii="Arial"/>
                <w:sz w:val="21"/>
              </w:rPr>
            </w:pPr>
          </w:p>
        </w:tc>
      </w:tr>
      <w:tr w14:paraId="42AF53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619" w:type="dxa"/>
            <w:vMerge w:val="continue"/>
            <w:tcBorders>
              <w:top w:val="nil"/>
              <w:bottom w:val="nil"/>
            </w:tcBorders>
            <w:vAlign w:val="top"/>
          </w:tcPr>
          <w:p w14:paraId="64815065">
            <w:pPr>
              <w:rPr>
                <w:rFonts w:ascii="Arial"/>
                <w:sz w:val="21"/>
              </w:rPr>
            </w:pPr>
          </w:p>
        </w:tc>
        <w:tc>
          <w:tcPr>
            <w:tcW w:w="1050" w:type="dxa"/>
            <w:vMerge w:val="continue"/>
            <w:tcBorders>
              <w:top w:val="nil"/>
              <w:bottom w:val="nil"/>
            </w:tcBorders>
            <w:vAlign w:val="top"/>
          </w:tcPr>
          <w:p w14:paraId="2DF2178E">
            <w:pPr>
              <w:rPr>
                <w:rFonts w:ascii="Arial"/>
                <w:sz w:val="21"/>
              </w:rPr>
            </w:pPr>
          </w:p>
        </w:tc>
        <w:tc>
          <w:tcPr>
            <w:tcW w:w="1080" w:type="dxa"/>
            <w:vMerge w:val="continue"/>
            <w:tcBorders>
              <w:top w:val="nil"/>
            </w:tcBorders>
            <w:vAlign w:val="top"/>
          </w:tcPr>
          <w:p w14:paraId="1C2BD158">
            <w:pPr>
              <w:rPr>
                <w:rFonts w:ascii="Arial"/>
                <w:sz w:val="21"/>
              </w:rPr>
            </w:pPr>
          </w:p>
        </w:tc>
        <w:tc>
          <w:tcPr>
            <w:tcW w:w="1829" w:type="dxa"/>
            <w:vAlign w:val="top"/>
          </w:tcPr>
          <w:p w14:paraId="3790F918">
            <w:pPr>
              <w:pStyle w:val="51"/>
              <w:spacing w:before="221" w:line="229" w:lineRule="auto"/>
              <w:ind w:left="757"/>
              <w:rPr>
                <w:sz w:val="17"/>
                <w:szCs w:val="17"/>
              </w:rPr>
            </w:pPr>
            <w:r>
              <w:rPr>
                <w:spacing w:val="-3"/>
                <w:sz w:val="17"/>
                <w:szCs w:val="17"/>
              </w:rPr>
              <w:t>山药</w:t>
            </w:r>
          </w:p>
        </w:tc>
        <w:tc>
          <w:tcPr>
            <w:tcW w:w="3314" w:type="dxa"/>
            <w:vAlign w:val="top"/>
          </w:tcPr>
          <w:p w14:paraId="40A2C1F2">
            <w:pPr>
              <w:pStyle w:val="51"/>
              <w:spacing w:before="217" w:line="227" w:lineRule="auto"/>
              <w:ind w:left="37"/>
              <w:rPr>
                <w:sz w:val="17"/>
                <w:szCs w:val="17"/>
              </w:rPr>
            </w:pPr>
            <w:r>
              <w:rPr>
                <w:spacing w:val="8"/>
                <w:sz w:val="17"/>
                <w:szCs w:val="17"/>
              </w:rPr>
              <w:t>咪鲜胺和咪鲜胺锰盐、涕灭威、毒死蜱</w:t>
            </w:r>
          </w:p>
        </w:tc>
        <w:tc>
          <w:tcPr>
            <w:tcW w:w="6118" w:type="dxa"/>
            <w:vAlign w:val="top"/>
          </w:tcPr>
          <w:p w14:paraId="6C6D148D">
            <w:pPr>
              <w:pStyle w:val="51"/>
              <w:spacing w:before="216" w:line="228" w:lineRule="auto"/>
              <w:ind w:left="30"/>
              <w:rPr>
                <w:sz w:val="17"/>
                <w:szCs w:val="17"/>
              </w:rPr>
            </w:pPr>
            <w:r>
              <w:rPr>
                <w:spacing w:val="8"/>
                <w:sz w:val="17"/>
                <w:szCs w:val="17"/>
              </w:rPr>
              <w:t>铅(以</w:t>
            </w:r>
            <w:r>
              <w:rPr>
                <w:sz w:val="17"/>
                <w:szCs w:val="17"/>
              </w:rPr>
              <w:t>Pb</w:t>
            </w:r>
            <w:r>
              <w:rPr>
                <w:spacing w:val="8"/>
                <w:sz w:val="17"/>
                <w:szCs w:val="17"/>
              </w:rPr>
              <w:t>计)、氯氟氰菊酯和高效氯氟氰菊酯</w:t>
            </w:r>
          </w:p>
        </w:tc>
        <w:tc>
          <w:tcPr>
            <w:tcW w:w="1161" w:type="dxa"/>
            <w:vAlign w:val="top"/>
          </w:tcPr>
          <w:p w14:paraId="1C569AD0">
            <w:pPr>
              <w:rPr>
                <w:rFonts w:ascii="Arial"/>
                <w:sz w:val="21"/>
              </w:rPr>
            </w:pPr>
          </w:p>
        </w:tc>
      </w:tr>
      <w:tr w14:paraId="0F320A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619" w:type="dxa"/>
            <w:vMerge w:val="continue"/>
            <w:tcBorders>
              <w:top w:val="nil"/>
              <w:bottom w:val="nil"/>
            </w:tcBorders>
            <w:vAlign w:val="top"/>
          </w:tcPr>
          <w:p w14:paraId="2A9E954C">
            <w:pPr>
              <w:rPr>
                <w:rFonts w:ascii="Arial"/>
                <w:sz w:val="21"/>
              </w:rPr>
            </w:pPr>
          </w:p>
        </w:tc>
        <w:tc>
          <w:tcPr>
            <w:tcW w:w="1050" w:type="dxa"/>
            <w:vMerge w:val="continue"/>
            <w:tcBorders>
              <w:top w:val="nil"/>
              <w:bottom w:val="nil"/>
            </w:tcBorders>
            <w:vAlign w:val="top"/>
          </w:tcPr>
          <w:p w14:paraId="53F8FCF7">
            <w:pPr>
              <w:rPr>
                <w:rFonts w:ascii="Arial"/>
                <w:sz w:val="21"/>
              </w:rPr>
            </w:pPr>
          </w:p>
        </w:tc>
        <w:tc>
          <w:tcPr>
            <w:tcW w:w="1080" w:type="dxa"/>
            <w:vMerge w:val="restart"/>
            <w:tcBorders>
              <w:bottom w:val="nil"/>
            </w:tcBorders>
            <w:vAlign w:val="top"/>
          </w:tcPr>
          <w:p w14:paraId="0FD798F8">
            <w:pPr>
              <w:spacing w:line="294" w:lineRule="auto"/>
              <w:rPr>
                <w:rFonts w:ascii="Arial"/>
                <w:sz w:val="21"/>
              </w:rPr>
            </w:pPr>
          </w:p>
          <w:p w14:paraId="39496508">
            <w:pPr>
              <w:spacing w:line="294" w:lineRule="auto"/>
              <w:rPr>
                <w:rFonts w:ascii="Arial"/>
                <w:sz w:val="21"/>
              </w:rPr>
            </w:pPr>
          </w:p>
          <w:p w14:paraId="5F0FEBBD">
            <w:pPr>
              <w:pStyle w:val="51"/>
              <w:spacing w:before="55" w:line="224" w:lineRule="auto"/>
              <w:ind w:left="97"/>
              <w:rPr>
                <w:sz w:val="17"/>
                <w:szCs w:val="17"/>
              </w:rPr>
            </w:pPr>
            <w:r>
              <w:rPr>
                <w:spacing w:val="7"/>
                <w:sz w:val="17"/>
                <w:szCs w:val="17"/>
              </w:rPr>
              <w:t>鳞茎类蔬菜</w:t>
            </w:r>
          </w:p>
        </w:tc>
        <w:tc>
          <w:tcPr>
            <w:tcW w:w="1829" w:type="dxa"/>
            <w:vAlign w:val="top"/>
          </w:tcPr>
          <w:p w14:paraId="36D58C1D">
            <w:pPr>
              <w:pStyle w:val="51"/>
              <w:spacing w:before="222" w:line="229" w:lineRule="auto"/>
              <w:ind w:left="841"/>
              <w:rPr>
                <w:sz w:val="17"/>
                <w:szCs w:val="17"/>
              </w:rPr>
            </w:pPr>
            <w:r>
              <w:rPr>
                <w:sz w:val="17"/>
                <w:szCs w:val="17"/>
              </w:rPr>
              <w:t>葱</w:t>
            </w:r>
          </w:p>
        </w:tc>
        <w:tc>
          <w:tcPr>
            <w:tcW w:w="3314" w:type="dxa"/>
            <w:vAlign w:val="top"/>
          </w:tcPr>
          <w:p w14:paraId="77C7057F">
            <w:pPr>
              <w:pStyle w:val="51"/>
              <w:spacing w:before="75" w:line="264" w:lineRule="auto"/>
              <w:ind w:left="33" w:right="54" w:firstLine="7"/>
              <w:rPr>
                <w:sz w:val="17"/>
                <w:szCs w:val="17"/>
              </w:rPr>
            </w:pPr>
            <w:r>
              <w:rPr>
                <w:spacing w:val="8"/>
                <w:sz w:val="17"/>
                <w:szCs w:val="17"/>
              </w:rPr>
              <w:t>噻虫嗪、丙环唑、戊唑醇、镉(以</w:t>
            </w:r>
            <w:r>
              <w:rPr>
                <w:sz w:val="17"/>
                <w:szCs w:val="17"/>
              </w:rPr>
              <w:t>Cd</w:t>
            </w:r>
            <w:r>
              <w:rPr>
                <w:spacing w:val="8"/>
                <w:sz w:val="17"/>
                <w:szCs w:val="17"/>
              </w:rPr>
              <w:t>计)、</w:t>
            </w:r>
            <w:r>
              <w:rPr>
                <w:spacing w:val="9"/>
                <w:sz w:val="17"/>
                <w:szCs w:val="17"/>
              </w:rPr>
              <w:t>毒死蜱、氯氟氰菊酯和高效氯氟氰菊酯</w:t>
            </w:r>
          </w:p>
        </w:tc>
        <w:tc>
          <w:tcPr>
            <w:tcW w:w="6118" w:type="dxa"/>
            <w:vAlign w:val="top"/>
          </w:tcPr>
          <w:p w14:paraId="642814F4">
            <w:pPr>
              <w:pStyle w:val="51"/>
              <w:spacing w:before="75" w:line="264" w:lineRule="auto"/>
              <w:ind w:left="30" w:right="16"/>
              <w:rPr>
                <w:sz w:val="17"/>
                <w:szCs w:val="17"/>
              </w:rPr>
            </w:pPr>
            <w:r>
              <w:rPr>
                <w:spacing w:val="6"/>
                <w:sz w:val="17"/>
                <w:szCs w:val="17"/>
              </w:rPr>
              <w:t>铅(以</w:t>
            </w:r>
            <w:r>
              <w:rPr>
                <w:sz w:val="17"/>
                <w:szCs w:val="17"/>
              </w:rPr>
              <w:t>Pb</w:t>
            </w:r>
            <w:r>
              <w:rPr>
                <w:spacing w:val="6"/>
                <w:sz w:val="17"/>
                <w:szCs w:val="17"/>
              </w:rPr>
              <w:t>计)、氟虫腈、</w:t>
            </w:r>
            <w:r>
              <w:rPr>
                <w:spacing w:val="-43"/>
                <w:sz w:val="17"/>
                <w:szCs w:val="17"/>
              </w:rPr>
              <w:t xml:space="preserve"> </w:t>
            </w:r>
            <w:r>
              <w:rPr>
                <w:spacing w:val="6"/>
                <w:sz w:val="17"/>
                <w:szCs w:val="17"/>
              </w:rPr>
              <w:t>甲拌磷、</w:t>
            </w:r>
            <w:r>
              <w:rPr>
                <w:spacing w:val="-47"/>
                <w:sz w:val="17"/>
                <w:szCs w:val="17"/>
              </w:rPr>
              <w:t xml:space="preserve"> </w:t>
            </w:r>
            <w:r>
              <w:rPr>
                <w:spacing w:val="6"/>
                <w:sz w:val="17"/>
                <w:szCs w:val="17"/>
              </w:rPr>
              <w:t>甲基异柳磷、克百威、乐果、三唑磷、水胺硫</w:t>
            </w:r>
            <w:r>
              <w:rPr>
                <w:spacing w:val="8"/>
                <w:sz w:val="17"/>
                <w:szCs w:val="17"/>
              </w:rPr>
              <w:t>磷、氧乐果、乙酰甲胺磷</w:t>
            </w:r>
          </w:p>
        </w:tc>
        <w:tc>
          <w:tcPr>
            <w:tcW w:w="1161" w:type="dxa"/>
            <w:vAlign w:val="top"/>
          </w:tcPr>
          <w:p w14:paraId="291DFA37">
            <w:pPr>
              <w:rPr>
                <w:rFonts w:ascii="Arial"/>
                <w:sz w:val="21"/>
              </w:rPr>
            </w:pPr>
          </w:p>
        </w:tc>
      </w:tr>
      <w:tr w14:paraId="78237D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4" w:hRule="atLeast"/>
        </w:trPr>
        <w:tc>
          <w:tcPr>
            <w:tcW w:w="619" w:type="dxa"/>
            <w:vMerge w:val="continue"/>
            <w:tcBorders>
              <w:top w:val="nil"/>
              <w:bottom w:val="nil"/>
            </w:tcBorders>
            <w:vAlign w:val="top"/>
          </w:tcPr>
          <w:p w14:paraId="142810C4">
            <w:pPr>
              <w:rPr>
                <w:rFonts w:ascii="Arial"/>
                <w:sz w:val="21"/>
              </w:rPr>
            </w:pPr>
          </w:p>
        </w:tc>
        <w:tc>
          <w:tcPr>
            <w:tcW w:w="1050" w:type="dxa"/>
            <w:vMerge w:val="continue"/>
            <w:tcBorders>
              <w:top w:val="nil"/>
              <w:bottom w:val="nil"/>
            </w:tcBorders>
            <w:vAlign w:val="top"/>
          </w:tcPr>
          <w:p w14:paraId="5E65051E">
            <w:pPr>
              <w:rPr>
                <w:rFonts w:ascii="Arial"/>
                <w:sz w:val="21"/>
              </w:rPr>
            </w:pPr>
          </w:p>
        </w:tc>
        <w:tc>
          <w:tcPr>
            <w:tcW w:w="1080" w:type="dxa"/>
            <w:vMerge w:val="continue"/>
            <w:tcBorders>
              <w:top w:val="nil"/>
            </w:tcBorders>
            <w:vAlign w:val="top"/>
          </w:tcPr>
          <w:p w14:paraId="1CD6B9B2">
            <w:pPr>
              <w:rPr>
                <w:rFonts w:ascii="Arial"/>
                <w:sz w:val="21"/>
              </w:rPr>
            </w:pPr>
          </w:p>
        </w:tc>
        <w:tc>
          <w:tcPr>
            <w:tcW w:w="1829" w:type="dxa"/>
            <w:vAlign w:val="top"/>
          </w:tcPr>
          <w:p w14:paraId="3C60BB7C">
            <w:pPr>
              <w:spacing w:line="301" w:lineRule="auto"/>
              <w:rPr>
                <w:rFonts w:ascii="Arial"/>
                <w:sz w:val="21"/>
              </w:rPr>
            </w:pPr>
          </w:p>
          <w:p w14:paraId="7056A065">
            <w:pPr>
              <w:pStyle w:val="51"/>
              <w:spacing w:before="55" w:line="224" w:lineRule="auto"/>
              <w:ind w:left="745"/>
              <w:rPr>
                <w:sz w:val="17"/>
                <w:szCs w:val="17"/>
              </w:rPr>
            </w:pPr>
            <w:r>
              <w:rPr>
                <w:spacing w:val="1"/>
                <w:sz w:val="17"/>
                <w:szCs w:val="17"/>
              </w:rPr>
              <w:t>韭菜</w:t>
            </w:r>
          </w:p>
        </w:tc>
        <w:tc>
          <w:tcPr>
            <w:tcW w:w="3314" w:type="dxa"/>
            <w:vAlign w:val="top"/>
          </w:tcPr>
          <w:p w14:paraId="1D11EE34">
            <w:pPr>
              <w:pStyle w:val="51"/>
              <w:spacing w:before="74" w:line="275" w:lineRule="auto"/>
              <w:ind w:left="30" w:right="19" w:firstLine="1"/>
              <w:jc w:val="both"/>
              <w:rPr>
                <w:sz w:val="17"/>
                <w:szCs w:val="17"/>
              </w:rPr>
            </w:pPr>
            <w:r>
              <w:rPr>
                <w:spacing w:val="10"/>
                <w:sz w:val="17"/>
                <w:szCs w:val="17"/>
              </w:rPr>
              <w:t>镉(以</w:t>
            </w:r>
            <w:r>
              <w:rPr>
                <w:sz w:val="17"/>
                <w:szCs w:val="17"/>
              </w:rPr>
              <w:t>Cd</w:t>
            </w:r>
            <w:r>
              <w:rPr>
                <w:spacing w:val="10"/>
                <w:sz w:val="17"/>
                <w:szCs w:val="17"/>
              </w:rPr>
              <w:t>计)、毒死蜱、氯氟氰菊酯和高效</w:t>
            </w:r>
            <w:r>
              <w:rPr>
                <w:spacing w:val="11"/>
                <w:sz w:val="17"/>
                <w:szCs w:val="17"/>
              </w:rPr>
              <w:t>氯氟氰菊酯、克百威、氧乐果、乙酰甲胺</w:t>
            </w:r>
            <w:r>
              <w:rPr>
                <w:sz w:val="17"/>
                <w:szCs w:val="17"/>
              </w:rPr>
              <w:t>磷</w:t>
            </w:r>
          </w:p>
        </w:tc>
        <w:tc>
          <w:tcPr>
            <w:tcW w:w="6118" w:type="dxa"/>
            <w:vAlign w:val="top"/>
          </w:tcPr>
          <w:p w14:paraId="3CDFDECD">
            <w:pPr>
              <w:pStyle w:val="51"/>
              <w:spacing w:before="211" w:line="305" w:lineRule="auto"/>
              <w:ind w:left="30" w:right="16"/>
              <w:rPr>
                <w:sz w:val="17"/>
                <w:szCs w:val="17"/>
              </w:rPr>
            </w:pPr>
            <w:r>
              <w:rPr>
                <w:spacing w:val="6"/>
                <w:sz w:val="17"/>
                <w:szCs w:val="17"/>
              </w:rPr>
              <w:t>铅(以</w:t>
            </w:r>
            <w:r>
              <w:rPr>
                <w:sz w:val="17"/>
                <w:szCs w:val="17"/>
              </w:rPr>
              <w:t>Pb</w:t>
            </w:r>
            <w:r>
              <w:rPr>
                <w:spacing w:val="6"/>
                <w:sz w:val="17"/>
                <w:szCs w:val="17"/>
              </w:rPr>
              <w:t>计)、阿维菌素、敌敌畏、多菌灵、二甲戊灵、腐霉利、</w:t>
            </w:r>
            <w:r>
              <w:rPr>
                <w:spacing w:val="-40"/>
                <w:sz w:val="17"/>
                <w:szCs w:val="17"/>
              </w:rPr>
              <w:t xml:space="preserve"> </w:t>
            </w:r>
            <w:r>
              <w:rPr>
                <w:spacing w:val="6"/>
                <w:sz w:val="17"/>
                <w:szCs w:val="17"/>
              </w:rPr>
              <w:t>甲胺磷、</w:t>
            </w:r>
            <w:r>
              <w:rPr>
                <w:spacing w:val="-50"/>
                <w:sz w:val="17"/>
                <w:szCs w:val="17"/>
              </w:rPr>
              <w:t xml:space="preserve"> </w:t>
            </w:r>
            <w:r>
              <w:rPr>
                <w:spacing w:val="6"/>
                <w:sz w:val="17"/>
                <w:szCs w:val="17"/>
              </w:rPr>
              <w:t>甲拌</w:t>
            </w:r>
            <w:r>
              <w:rPr>
                <w:spacing w:val="9"/>
                <w:sz w:val="17"/>
                <w:szCs w:val="17"/>
              </w:rPr>
              <w:t>磷、乐果、氯氰菊酯和高效氯氰菊酯、三唑磷、辛硫磷</w:t>
            </w:r>
          </w:p>
        </w:tc>
        <w:tc>
          <w:tcPr>
            <w:tcW w:w="1161" w:type="dxa"/>
            <w:vAlign w:val="top"/>
          </w:tcPr>
          <w:p w14:paraId="78FA37C3">
            <w:pPr>
              <w:rPr>
                <w:rFonts w:ascii="Arial"/>
                <w:sz w:val="21"/>
              </w:rPr>
            </w:pPr>
          </w:p>
        </w:tc>
      </w:tr>
      <w:tr w14:paraId="792D26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4" w:hRule="atLeast"/>
        </w:trPr>
        <w:tc>
          <w:tcPr>
            <w:tcW w:w="619" w:type="dxa"/>
            <w:vMerge w:val="continue"/>
            <w:tcBorders>
              <w:top w:val="nil"/>
              <w:bottom w:val="nil"/>
            </w:tcBorders>
            <w:vAlign w:val="top"/>
          </w:tcPr>
          <w:p w14:paraId="1CC524F4">
            <w:pPr>
              <w:rPr>
                <w:rFonts w:ascii="Arial"/>
                <w:sz w:val="21"/>
              </w:rPr>
            </w:pPr>
          </w:p>
        </w:tc>
        <w:tc>
          <w:tcPr>
            <w:tcW w:w="1050" w:type="dxa"/>
            <w:vMerge w:val="continue"/>
            <w:tcBorders>
              <w:top w:val="nil"/>
              <w:bottom w:val="nil"/>
            </w:tcBorders>
            <w:vAlign w:val="top"/>
          </w:tcPr>
          <w:p w14:paraId="2112D840">
            <w:pPr>
              <w:rPr>
                <w:rFonts w:ascii="Arial"/>
                <w:sz w:val="21"/>
              </w:rPr>
            </w:pPr>
          </w:p>
        </w:tc>
        <w:tc>
          <w:tcPr>
            <w:tcW w:w="1080" w:type="dxa"/>
            <w:vMerge w:val="restart"/>
            <w:tcBorders>
              <w:bottom w:val="nil"/>
            </w:tcBorders>
            <w:vAlign w:val="top"/>
          </w:tcPr>
          <w:p w14:paraId="3AA1E3A8">
            <w:pPr>
              <w:spacing w:line="308" w:lineRule="auto"/>
              <w:rPr>
                <w:rFonts w:ascii="Arial"/>
                <w:sz w:val="21"/>
              </w:rPr>
            </w:pPr>
          </w:p>
          <w:p w14:paraId="1453F179">
            <w:pPr>
              <w:spacing w:line="308" w:lineRule="auto"/>
              <w:rPr>
                <w:rFonts w:ascii="Arial"/>
                <w:sz w:val="21"/>
              </w:rPr>
            </w:pPr>
          </w:p>
          <w:p w14:paraId="66287EA4">
            <w:pPr>
              <w:spacing w:line="308" w:lineRule="auto"/>
              <w:rPr>
                <w:rFonts w:ascii="Arial"/>
                <w:sz w:val="21"/>
              </w:rPr>
            </w:pPr>
          </w:p>
          <w:p w14:paraId="36770974">
            <w:pPr>
              <w:pStyle w:val="51"/>
              <w:spacing w:before="55" w:line="224" w:lineRule="auto"/>
              <w:ind w:left="99"/>
              <w:rPr>
                <w:sz w:val="17"/>
                <w:szCs w:val="17"/>
              </w:rPr>
            </w:pPr>
            <w:r>
              <w:rPr>
                <w:spacing w:val="7"/>
                <w:sz w:val="17"/>
                <w:szCs w:val="17"/>
              </w:rPr>
              <w:t>茄果类蔬菜</w:t>
            </w:r>
          </w:p>
        </w:tc>
        <w:tc>
          <w:tcPr>
            <w:tcW w:w="1829" w:type="dxa"/>
            <w:vAlign w:val="top"/>
          </w:tcPr>
          <w:p w14:paraId="40C70937">
            <w:pPr>
              <w:spacing w:line="383" w:lineRule="auto"/>
              <w:rPr>
                <w:rFonts w:ascii="Arial"/>
                <w:sz w:val="21"/>
              </w:rPr>
            </w:pPr>
          </w:p>
          <w:p w14:paraId="00AB5D52">
            <w:pPr>
              <w:pStyle w:val="51"/>
              <w:spacing w:before="55" w:line="227" w:lineRule="auto"/>
              <w:ind w:left="742"/>
              <w:rPr>
                <w:sz w:val="17"/>
                <w:szCs w:val="17"/>
              </w:rPr>
            </w:pPr>
            <w:r>
              <w:rPr>
                <w:spacing w:val="3"/>
                <w:sz w:val="17"/>
                <w:szCs w:val="17"/>
              </w:rPr>
              <w:t>辣椒</w:t>
            </w:r>
          </w:p>
        </w:tc>
        <w:tc>
          <w:tcPr>
            <w:tcW w:w="3314" w:type="dxa"/>
            <w:vAlign w:val="top"/>
          </w:tcPr>
          <w:p w14:paraId="1567A045">
            <w:pPr>
              <w:pStyle w:val="51"/>
              <w:spacing w:before="294" w:line="302" w:lineRule="auto"/>
              <w:ind w:left="38" w:right="54" w:firstLine="1"/>
              <w:rPr>
                <w:sz w:val="17"/>
                <w:szCs w:val="17"/>
              </w:rPr>
            </w:pPr>
            <w:r>
              <w:rPr>
                <w:spacing w:val="8"/>
                <w:sz w:val="17"/>
                <w:szCs w:val="17"/>
              </w:rPr>
              <w:t>噻虫胺、镉(以</w:t>
            </w:r>
            <w:r>
              <w:rPr>
                <w:sz w:val="17"/>
                <w:szCs w:val="17"/>
              </w:rPr>
              <w:t>Cd</w:t>
            </w:r>
            <w:r>
              <w:rPr>
                <w:spacing w:val="8"/>
                <w:sz w:val="17"/>
                <w:szCs w:val="17"/>
              </w:rPr>
              <w:t>计)、啶虫脒、毒死蜱、呋虫胺、氧乐果、噻虫嗪、倍硫磷</w:t>
            </w:r>
          </w:p>
        </w:tc>
        <w:tc>
          <w:tcPr>
            <w:tcW w:w="6118" w:type="dxa"/>
            <w:vAlign w:val="top"/>
          </w:tcPr>
          <w:p w14:paraId="275BC90B">
            <w:pPr>
              <w:pStyle w:val="51"/>
              <w:spacing w:before="154" w:line="304" w:lineRule="auto"/>
              <w:ind w:left="39" w:right="7" w:hanging="9"/>
              <w:jc w:val="both"/>
              <w:rPr>
                <w:sz w:val="17"/>
                <w:szCs w:val="17"/>
              </w:rPr>
            </w:pPr>
            <w:r>
              <w:rPr>
                <w:spacing w:val="8"/>
                <w:sz w:val="17"/>
                <w:szCs w:val="17"/>
              </w:rPr>
              <w:t>铅(以</w:t>
            </w:r>
            <w:r>
              <w:rPr>
                <w:sz w:val="17"/>
                <w:szCs w:val="17"/>
              </w:rPr>
              <w:t>Pb</w:t>
            </w:r>
            <w:r>
              <w:rPr>
                <w:spacing w:val="8"/>
                <w:sz w:val="17"/>
                <w:szCs w:val="17"/>
              </w:rPr>
              <w:t>计)、吡虫啉、吡唑醚菌酯、丙溴磷、敌敌畏、氟吡菌  胺、氟虫腈、</w:t>
            </w:r>
            <w:r>
              <w:rPr>
                <w:spacing w:val="7"/>
                <w:sz w:val="17"/>
                <w:szCs w:val="17"/>
              </w:rPr>
              <w:t>甲氨基阿维菌素苯甲酸盐、</w:t>
            </w:r>
            <w:r>
              <w:rPr>
                <w:spacing w:val="-48"/>
                <w:sz w:val="17"/>
                <w:szCs w:val="17"/>
              </w:rPr>
              <w:t xml:space="preserve"> </w:t>
            </w:r>
            <w:r>
              <w:rPr>
                <w:spacing w:val="7"/>
                <w:sz w:val="17"/>
                <w:szCs w:val="17"/>
              </w:rPr>
              <w:t>甲胺磷、甲拌磷、克百威、乐果、联苯菊酯、氯氟</w:t>
            </w:r>
            <w:r>
              <w:rPr>
                <w:spacing w:val="9"/>
                <w:sz w:val="17"/>
                <w:szCs w:val="17"/>
              </w:rPr>
              <w:t>氰菊酯和高效氯氟氰菊酯、三唑磷、杀扑磷、水胺硫磷、乙酰甲胺磷</w:t>
            </w:r>
          </w:p>
        </w:tc>
        <w:tc>
          <w:tcPr>
            <w:tcW w:w="1161" w:type="dxa"/>
            <w:vAlign w:val="top"/>
          </w:tcPr>
          <w:p w14:paraId="2F81363A">
            <w:pPr>
              <w:rPr>
                <w:rFonts w:ascii="Arial"/>
                <w:sz w:val="21"/>
              </w:rPr>
            </w:pPr>
          </w:p>
        </w:tc>
      </w:tr>
      <w:tr w14:paraId="035948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trPr>
        <w:tc>
          <w:tcPr>
            <w:tcW w:w="619" w:type="dxa"/>
            <w:vMerge w:val="continue"/>
            <w:tcBorders>
              <w:top w:val="nil"/>
              <w:bottom w:val="nil"/>
            </w:tcBorders>
            <w:vAlign w:val="top"/>
          </w:tcPr>
          <w:p w14:paraId="4693E184">
            <w:pPr>
              <w:rPr>
                <w:rFonts w:ascii="Arial"/>
                <w:sz w:val="21"/>
              </w:rPr>
            </w:pPr>
          </w:p>
        </w:tc>
        <w:tc>
          <w:tcPr>
            <w:tcW w:w="1050" w:type="dxa"/>
            <w:vMerge w:val="continue"/>
            <w:tcBorders>
              <w:top w:val="nil"/>
              <w:bottom w:val="nil"/>
            </w:tcBorders>
            <w:vAlign w:val="top"/>
          </w:tcPr>
          <w:p w14:paraId="407B52B9">
            <w:pPr>
              <w:rPr>
                <w:rFonts w:ascii="Arial"/>
                <w:sz w:val="21"/>
              </w:rPr>
            </w:pPr>
          </w:p>
        </w:tc>
        <w:tc>
          <w:tcPr>
            <w:tcW w:w="1080" w:type="dxa"/>
            <w:vMerge w:val="continue"/>
            <w:tcBorders>
              <w:top w:val="nil"/>
              <w:bottom w:val="nil"/>
            </w:tcBorders>
            <w:vAlign w:val="top"/>
          </w:tcPr>
          <w:p w14:paraId="3B586BCD">
            <w:pPr>
              <w:rPr>
                <w:rFonts w:ascii="Arial"/>
                <w:sz w:val="21"/>
              </w:rPr>
            </w:pPr>
          </w:p>
        </w:tc>
        <w:tc>
          <w:tcPr>
            <w:tcW w:w="1829" w:type="dxa"/>
            <w:vAlign w:val="top"/>
          </w:tcPr>
          <w:p w14:paraId="57ED2AC5">
            <w:pPr>
              <w:pStyle w:val="51"/>
              <w:spacing w:before="221" w:line="229" w:lineRule="auto"/>
              <w:ind w:left="742"/>
              <w:rPr>
                <w:sz w:val="17"/>
                <w:szCs w:val="17"/>
              </w:rPr>
            </w:pPr>
            <w:r>
              <w:rPr>
                <w:spacing w:val="3"/>
                <w:sz w:val="17"/>
                <w:szCs w:val="17"/>
              </w:rPr>
              <w:t>茄子</w:t>
            </w:r>
          </w:p>
        </w:tc>
        <w:tc>
          <w:tcPr>
            <w:tcW w:w="3314" w:type="dxa"/>
            <w:vAlign w:val="top"/>
          </w:tcPr>
          <w:p w14:paraId="06F68DCC">
            <w:pPr>
              <w:pStyle w:val="51"/>
              <w:spacing w:before="74" w:line="261" w:lineRule="auto"/>
              <w:ind w:left="32" w:right="53" w:hanging="1"/>
              <w:rPr>
                <w:sz w:val="17"/>
                <w:szCs w:val="17"/>
              </w:rPr>
            </w:pPr>
            <w:r>
              <w:rPr>
                <w:spacing w:val="9"/>
                <w:sz w:val="17"/>
                <w:szCs w:val="17"/>
              </w:rPr>
              <w:t>镉(以</w:t>
            </w:r>
            <w:r>
              <w:rPr>
                <w:sz w:val="17"/>
                <w:szCs w:val="17"/>
              </w:rPr>
              <w:t>Cd</w:t>
            </w:r>
            <w:r>
              <w:rPr>
                <w:spacing w:val="9"/>
                <w:sz w:val="17"/>
                <w:szCs w:val="17"/>
              </w:rPr>
              <w:t>计)、噻虫胺、噻虫嗪、氧乐果、</w:t>
            </w:r>
            <w:r>
              <w:rPr>
                <w:spacing w:val="5"/>
                <w:sz w:val="17"/>
                <w:szCs w:val="17"/>
              </w:rPr>
              <w:t>毒死蜱</w:t>
            </w:r>
          </w:p>
        </w:tc>
        <w:tc>
          <w:tcPr>
            <w:tcW w:w="6118" w:type="dxa"/>
            <w:vAlign w:val="top"/>
          </w:tcPr>
          <w:p w14:paraId="012C541B">
            <w:pPr>
              <w:pStyle w:val="51"/>
              <w:spacing w:before="74" w:line="261" w:lineRule="auto"/>
              <w:ind w:left="30" w:right="14"/>
              <w:rPr>
                <w:sz w:val="17"/>
                <w:szCs w:val="17"/>
              </w:rPr>
            </w:pPr>
            <w:r>
              <w:rPr>
                <w:spacing w:val="8"/>
                <w:sz w:val="17"/>
                <w:szCs w:val="17"/>
              </w:rPr>
              <w:t>铅(以</w:t>
            </w:r>
            <w:r>
              <w:rPr>
                <w:sz w:val="17"/>
                <w:szCs w:val="17"/>
              </w:rPr>
              <w:t>Pb</w:t>
            </w:r>
            <w:r>
              <w:rPr>
                <w:spacing w:val="8"/>
                <w:sz w:val="17"/>
                <w:szCs w:val="17"/>
              </w:rPr>
              <w:t>计)、吡唑醚菌酯、甲氨基阿维菌素苯甲酸盐、甲胺磷、甲拌磷、克百</w:t>
            </w:r>
            <w:r>
              <w:rPr>
                <w:spacing w:val="9"/>
                <w:sz w:val="17"/>
                <w:szCs w:val="17"/>
              </w:rPr>
              <w:t>威、霜霉威和霜霉威盐酸盐、水胺硫磷、乙酰甲胺磷</w:t>
            </w:r>
          </w:p>
        </w:tc>
        <w:tc>
          <w:tcPr>
            <w:tcW w:w="1161" w:type="dxa"/>
            <w:vAlign w:val="top"/>
          </w:tcPr>
          <w:p w14:paraId="0E8029AE">
            <w:pPr>
              <w:rPr>
                <w:rFonts w:ascii="Arial"/>
                <w:sz w:val="21"/>
              </w:rPr>
            </w:pPr>
          </w:p>
        </w:tc>
      </w:tr>
      <w:tr w14:paraId="45C0AE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7" w:hRule="atLeast"/>
        </w:trPr>
        <w:tc>
          <w:tcPr>
            <w:tcW w:w="619" w:type="dxa"/>
            <w:vMerge w:val="continue"/>
            <w:tcBorders>
              <w:top w:val="nil"/>
            </w:tcBorders>
            <w:vAlign w:val="top"/>
          </w:tcPr>
          <w:p w14:paraId="76BAAE0E">
            <w:pPr>
              <w:rPr>
                <w:rFonts w:ascii="Arial"/>
                <w:sz w:val="21"/>
              </w:rPr>
            </w:pPr>
          </w:p>
        </w:tc>
        <w:tc>
          <w:tcPr>
            <w:tcW w:w="1050" w:type="dxa"/>
            <w:vMerge w:val="continue"/>
            <w:tcBorders>
              <w:top w:val="nil"/>
            </w:tcBorders>
            <w:vAlign w:val="top"/>
          </w:tcPr>
          <w:p w14:paraId="370A011B">
            <w:pPr>
              <w:rPr>
                <w:rFonts w:ascii="Arial"/>
                <w:sz w:val="21"/>
              </w:rPr>
            </w:pPr>
          </w:p>
        </w:tc>
        <w:tc>
          <w:tcPr>
            <w:tcW w:w="1080" w:type="dxa"/>
            <w:vMerge w:val="continue"/>
            <w:tcBorders>
              <w:top w:val="nil"/>
            </w:tcBorders>
            <w:vAlign w:val="top"/>
          </w:tcPr>
          <w:p w14:paraId="68FDFA83">
            <w:pPr>
              <w:rPr>
                <w:rFonts w:ascii="Arial"/>
                <w:sz w:val="21"/>
              </w:rPr>
            </w:pPr>
          </w:p>
        </w:tc>
        <w:tc>
          <w:tcPr>
            <w:tcW w:w="1829" w:type="dxa"/>
            <w:vAlign w:val="top"/>
          </w:tcPr>
          <w:p w14:paraId="23D8A837">
            <w:pPr>
              <w:pStyle w:val="51"/>
              <w:spacing w:before="196" w:line="228" w:lineRule="auto"/>
              <w:ind w:left="742"/>
              <w:rPr>
                <w:sz w:val="17"/>
                <w:szCs w:val="17"/>
              </w:rPr>
            </w:pPr>
            <w:r>
              <w:rPr>
                <w:spacing w:val="3"/>
                <w:sz w:val="17"/>
                <w:szCs w:val="17"/>
              </w:rPr>
              <w:t>甜椒</w:t>
            </w:r>
          </w:p>
        </w:tc>
        <w:tc>
          <w:tcPr>
            <w:tcW w:w="3314" w:type="dxa"/>
            <w:vAlign w:val="top"/>
          </w:tcPr>
          <w:p w14:paraId="6AD13CC1">
            <w:pPr>
              <w:pStyle w:val="51"/>
              <w:spacing w:before="196" w:line="228" w:lineRule="auto"/>
              <w:ind w:left="40"/>
              <w:rPr>
                <w:sz w:val="17"/>
                <w:szCs w:val="17"/>
              </w:rPr>
            </w:pPr>
            <w:r>
              <w:rPr>
                <w:spacing w:val="8"/>
                <w:sz w:val="17"/>
                <w:szCs w:val="17"/>
              </w:rPr>
              <w:t>噻虫胺、吡虫啉、毒死蜱、噻虫嗪</w:t>
            </w:r>
          </w:p>
        </w:tc>
        <w:tc>
          <w:tcPr>
            <w:tcW w:w="6118" w:type="dxa"/>
            <w:vAlign w:val="top"/>
          </w:tcPr>
          <w:p w14:paraId="4E369C2B">
            <w:pPr>
              <w:pStyle w:val="51"/>
              <w:spacing w:before="195" w:line="227" w:lineRule="auto"/>
              <w:ind w:left="32"/>
              <w:rPr>
                <w:sz w:val="17"/>
                <w:szCs w:val="17"/>
              </w:rPr>
            </w:pPr>
            <w:r>
              <w:rPr>
                <w:spacing w:val="9"/>
                <w:sz w:val="17"/>
                <w:szCs w:val="17"/>
              </w:rPr>
              <w:t>镉(以</w:t>
            </w:r>
            <w:r>
              <w:rPr>
                <w:sz w:val="17"/>
                <w:szCs w:val="17"/>
              </w:rPr>
              <w:t>Cd</w:t>
            </w:r>
            <w:r>
              <w:rPr>
                <w:spacing w:val="9"/>
                <w:sz w:val="17"/>
                <w:szCs w:val="17"/>
              </w:rPr>
              <w:t>计)、阿维菌素、倍硫磷、吡唑醚菌酯、氟啶虫酰胺、氧乐果</w:t>
            </w:r>
          </w:p>
        </w:tc>
        <w:tc>
          <w:tcPr>
            <w:tcW w:w="1161" w:type="dxa"/>
            <w:vAlign w:val="top"/>
          </w:tcPr>
          <w:p w14:paraId="5C73B91D">
            <w:pPr>
              <w:rPr>
                <w:rFonts w:ascii="Arial"/>
                <w:sz w:val="21"/>
              </w:rPr>
            </w:pPr>
          </w:p>
        </w:tc>
      </w:tr>
    </w:tbl>
    <w:p w14:paraId="2AFE5984">
      <w:pPr>
        <w:rPr>
          <w:rFonts w:ascii="Arial"/>
          <w:sz w:val="21"/>
        </w:rPr>
      </w:pPr>
    </w:p>
    <w:p w14:paraId="0CF5D501">
      <w:pPr>
        <w:rPr>
          <w:rFonts w:ascii="Arial" w:hAnsi="Arial" w:eastAsia="Arial" w:cs="Arial"/>
          <w:sz w:val="21"/>
          <w:szCs w:val="21"/>
        </w:rPr>
        <w:sectPr>
          <w:pgSz w:w="16838" w:h="11906"/>
          <w:pgMar w:top="1011" w:right="645" w:bottom="400" w:left="366" w:header="567" w:footer="567" w:gutter="0"/>
          <w:pgNumType w:fmt="decimal"/>
          <w:cols w:space="720" w:num="1"/>
        </w:sectPr>
      </w:pPr>
    </w:p>
    <w:p w14:paraId="0804EF64">
      <w:pPr>
        <w:spacing w:before="18"/>
      </w:pPr>
    </w:p>
    <w:p w14:paraId="17688A66">
      <w:pPr>
        <w:spacing w:before="18"/>
      </w:pPr>
    </w:p>
    <w:tbl>
      <w:tblPr>
        <w:tblStyle w:val="50"/>
        <w:tblW w:w="15171" w:type="dxa"/>
        <w:tblInd w:w="65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19"/>
        <w:gridCol w:w="1050"/>
        <w:gridCol w:w="1080"/>
        <w:gridCol w:w="1633"/>
        <w:gridCol w:w="3510"/>
        <w:gridCol w:w="6118"/>
        <w:gridCol w:w="1161"/>
      </w:tblGrid>
      <w:tr w14:paraId="0BAE9C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619" w:type="dxa"/>
            <w:vAlign w:val="top"/>
          </w:tcPr>
          <w:p w14:paraId="717CE1F6">
            <w:pPr>
              <w:spacing w:before="241" w:line="234" w:lineRule="auto"/>
              <w:ind w:left="133"/>
              <w:rPr>
                <w:rFonts w:ascii="黑体" w:hAnsi="黑体" w:eastAsia="黑体" w:cs="黑体"/>
                <w:sz w:val="17"/>
                <w:szCs w:val="17"/>
              </w:rPr>
            </w:pPr>
            <w:r>
              <w:rPr>
                <w:rFonts w:ascii="黑体" w:hAnsi="黑体" w:eastAsia="黑体" w:cs="黑体"/>
                <w:spacing w:val="6"/>
                <w:sz w:val="17"/>
                <w:szCs w:val="17"/>
              </w:rPr>
              <w:t>序号</w:t>
            </w:r>
          </w:p>
        </w:tc>
        <w:tc>
          <w:tcPr>
            <w:tcW w:w="1050" w:type="dxa"/>
            <w:vAlign w:val="top"/>
          </w:tcPr>
          <w:p w14:paraId="56C2C1CE">
            <w:pPr>
              <w:spacing w:before="90" w:line="232" w:lineRule="auto"/>
              <w:ind w:left="166"/>
              <w:rPr>
                <w:rFonts w:ascii="黑体" w:hAnsi="黑体" w:eastAsia="黑体" w:cs="黑体"/>
                <w:sz w:val="17"/>
                <w:szCs w:val="17"/>
              </w:rPr>
            </w:pPr>
            <w:r>
              <w:rPr>
                <w:rFonts w:ascii="黑体" w:hAnsi="黑体" w:eastAsia="黑体" w:cs="黑体"/>
                <w:spacing w:val="8"/>
                <w:sz w:val="17"/>
                <w:szCs w:val="17"/>
              </w:rPr>
              <w:t>食品亚类</w:t>
            </w:r>
          </w:p>
          <w:p w14:paraId="053013E0">
            <w:pPr>
              <w:spacing w:before="86" w:line="227" w:lineRule="auto"/>
              <w:ind w:left="291"/>
              <w:rPr>
                <w:rFonts w:ascii="黑体" w:hAnsi="黑体" w:eastAsia="黑体" w:cs="黑体"/>
                <w:sz w:val="17"/>
                <w:szCs w:val="17"/>
              </w:rPr>
            </w:pPr>
            <w:r>
              <w:rPr>
                <w:rFonts w:ascii="黑体" w:hAnsi="黑体" w:eastAsia="黑体" w:cs="黑体"/>
                <w:spacing w:val="-4"/>
                <w:sz w:val="17"/>
                <w:szCs w:val="17"/>
              </w:rPr>
              <w:t>(二级)</w:t>
            </w:r>
          </w:p>
        </w:tc>
        <w:tc>
          <w:tcPr>
            <w:tcW w:w="1080" w:type="dxa"/>
            <w:vAlign w:val="top"/>
          </w:tcPr>
          <w:p w14:paraId="6012F76A">
            <w:pPr>
              <w:spacing w:before="90" w:line="232" w:lineRule="auto"/>
              <w:ind w:left="182"/>
              <w:rPr>
                <w:rFonts w:ascii="黑体" w:hAnsi="黑体" w:eastAsia="黑体" w:cs="黑体"/>
                <w:sz w:val="17"/>
                <w:szCs w:val="17"/>
              </w:rPr>
            </w:pPr>
            <w:r>
              <w:rPr>
                <w:rFonts w:ascii="黑体" w:hAnsi="黑体" w:eastAsia="黑体" w:cs="黑体"/>
                <w:spacing w:val="8"/>
                <w:sz w:val="17"/>
                <w:szCs w:val="17"/>
              </w:rPr>
              <w:t>食品品种</w:t>
            </w:r>
          </w:p>
          <w:p w14:paraId="5523714F">
            <w:pPr>
              <w:spacing w:before="86" w:line="227" w:lineRule="auto"/>
              <w:ind w:left="307"/>
              <w:rPr>
                <w:rFonts w:ascii="黑体" w:hAnsi="黑体" w:eastAsia="黑体" w:cs="黑体"/>
                <w:sz w:val="17"/>
                <w:szCs w:val="17"/>
              </w:rPr>
            </w:pPr>
            <w:r>
              <w:rPr>
                <w:rFonts w:ascii="黑体" w:hAnsi="黑体" w:eastAsia="黑体" w:cs="黑体"/>
                <w:spacing w:val="-4"/>
                <w:sz w:val="17"/>
                <w:szCs w:val="17"/>
              </w:rPr>
              <w:t>(三级)</w:t>
            </w:r>
          </w:p>
        </w:tc>
        <w:tc>
          <w:tcPr>
            <w:tcW w:w="1633" w:type="dxa"/>
            <w:vAlign w:val="top"/>
          </w:tcPr>
          <w:p w14:paraId="527C65C8">
            <w:pPr>
              <w:spacing w:before="241" w:line="232" w:lineRule="auto"/>
              <w:ind w:left="287"/>
              <w:rPr>
                <w:rFonts w:ascii="黑体" w:hAnsi="黑体" w:eastAsia="黑体" w:cs="黑体"/>
                <w:sz w:val="17"/>
                <w:szCs w:val="17"/>
              </w:rPr>
            </w:pPr>
            <w:r>
              <w:rPr>
                <w:rFonts w:ascii="黑体" w:hAnsi="黑体" w:eastAsia="黑体" w:cs="黑体"/>
                <w:spacing w:val="7"/>
                <w:sz w:val="17"/>
                <w:szCs w:val="17"/>
              </w:rPr>
              <w:t>食品细类(四级)</w:t>
            </w:r>
          </w:p>
        </w:tc>
        <w:tc>
          <w:tcPr>
            <w:tcW w:w="3510" w:type="dxa"/>
            <w:vAlign w:val="top"/>
          </w:tcPr>
          <w:p w14:paraId="5F825199">
            <w:pPr>
              <w:spacing w:before="240" w:line="233" w:lineRule="auto"/>
              <w:ind w:left="1300"/>
              <w:rPr>
                <w:rFonts w:ascii="黑体" w:hAnsi="黑体" w:eastAsia="黑体" w:cs="黑体"/>
                <w:sz w:val="17"/>
                <w:szCs w:val="17"/>
              </w:rPr>
            </w:pPr>
            <w:r>
              <w:rPr>
                <w:rFonts w:ascii="黑体" w:hAnsi="黑体" w:eastAsia="黑体" w:cs="黑体"/>
                <w:spacing w:val="8"/>
                <w:sz w:val="17"/>
                <w:szCs w:val="17"/>
              </w:rPr>
              <w:t>必检项目</w:t>
            </w:r>
          </w:p>
        </w:tc>
        <w:tc>
          <w:tcPr>
            <w:tcW w:w="6118" w:type="dxa"/>
            <w:vAlign w:val="top"/>
          </w:tcPr>
          <w:p w14:paraId="6D6F543F">
            <w:pPr>
              <w:spacing w:before="240" w:line="233" w:lineRule="auto"/>
              <w:ind w:left="2707"/>
              <w:rPr>
                <w:rFonts w:ascii="黑体" w:hAnsi="黑体" w:eastAsia="黑体" w:cs="黑体"/>
                <w:sz w:val="17"/>
                <w:szCs w:val="17"/>
              </w:rPr>
            </w:pPr>
            <w:r>
              <w:rPr>
                <w:rFonts w:ascii="黑体" w:hAnsi="黑体" w:eastAsia="黑体" w:cs="黑体"/>
                <w:spacing w:val="7"/>
                <w:sz w:val="17"/>
                <w:szCs w:val="17"/>
              </w:rPr>
              <w:t>可选项目</w:t>
            </w:r>
          </w:p>
        </w:tc>
        <w:tc>
          <w:tcPr>
            <w:tcW w:w="1161" w:type="dxa"/>
            <w:vAlign w:val="top"/>
          </w:tcPr>
          <w:p w14:paraId="389380B6">
            <w:pPr>
              <w:spacing w:before="240" w:line="233" w:lineRule="auto"/>
              <w:ind w:left="313"/>
              <w:rPr>
                <w:rFonts w:ascii="黑体" w:hAnsi="黑体" w:eastAsia="黑体" w:cs="黑体"/>
                <w:sz w:val="17"/>
                <w:szCs w:val="17"/>
              </w:rPr>
            </w:pPr>
            <w:r>
              <w:rPr>
                <w:rFonts w:ascii="黑体" w:hAnsi="黑体" w:eastAsia="黑体" w:cs="黑体"/>
                <w:spacing w:val="1"/>
                <w:sz w:val="17"/>
                <w:szCs w:val="17"/>
              </w:rPr>
              <w:t>备</w:t>
            </w:r>
            <w:r>
              <w:rPr>
                <w:rFonts w:ascii="黑体" w:hAnsi="黑体" w:eastAsia="黑体" w:cs="黑体"/>
                <w:spacing w:val="9"/>
                <w:sz w:val="17"/>
                <w:szCs w:val="17"/>
              </w:rPr>
              <w:t xml:space="preserve">  </w:t>
            </w:r>
            <w:r>
              <w:rPr>
                <w:rFonts w:ascii="黑体" w:hAnsi="黑体" w:eastAsia="黑体" w:cs="黑体"/>
                <w:spacing w:val="1"/>
                <w:sz w:val="17"/>
                <w:szCs w:val="17"/>
              </w:rPr>
              <w:t>注</w:t>
            </w:r>
          </w:p>
        </w:tc>
      </w:tr>
      <w:tr w14:paraId="0A306C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619" w:type="dxa"/>
            <w:vMerge w:val="restart"/>
            <w:tcBorders>
              <w:bottom w:val="nil"/>
            </w:tcBorders>
            <w:vAlign w:val="top"/>
          </w:tcPr>
          <w:p w14:paraId="71339AD7">
            <w:pPr>
              <w:spacing w:line="259" w:lineRule="auto"/>
              <w:rPr>
                <w:rFonts w:ascii="Arial"/>
                <w:sz w:val="21"/>
              </w:rPr>
            </w:pPr>
          </w:p>
          <w:p w14:paraId="06C5E84D">
            <w:pPr>
              <w:spacing w:line="259" w:lineRule="auto"/>
              <w:rPr>
                <w:rFonts w:ascii="Arial"/>
                <w:sz w:val="21"/>
              </w:rPr>
            </w:pPr>
          </w:p>
          <w:p w14:paraId="0C2AE43C">
            <w:pPr>
              <w:spacing w:line="259" w:lineRule="auto"/>
              <w:rPr>
                <w:rFonts w:ascii="Arial"/>
                <w:sz w:val="21"/>
              </w:rPr>
            </w:pPr>
          </w:p>
          <w:p w14:paraId="62972CB0">
            <w:pPr>
              <w:spacing w:line="259" w:lineRule="auto"/>
              <w:rPr>
                <w:rFonts w:ascii="Arial"/>
                <w:sz w:val="21"/>
              </w:rPr>
            </w:pPr>
          </w:p>
          <w:p w14:paraId="1EBB887D">
            <w:pPr>
              <w:spacing w:line="259" w:lineRule="auto"/>
              <w:rPr>
                <w:rFonts w:ascii="Arial"/>
                <w:sz w:val="21"/>
              </w:rPr>
            </w:pPr>
          </w:p>
          <w:p w14:paraId="2E094A14">
            <w:pPr>
              <w:spacing w:line="260" w:lineRule="auto"/>
              <w:rPr>
                <w:rFonts w:ascii="Arial"/>
                <w:sz w:val="21"/>
              </w:rPr>
            </w:pPr>
          </w:p>
          <w:p w14:paraId="7AE23579">
            <w:pPr>
              <w:pStyle w:val="51"/>
              <w:spacing w:before="55" w:line="228" w:lineRule="exact"/>
              <w:ind w:left="271"/>
              <w:rPr>
                <w:sz w:val="17"/>
                <w:szCs w:val="17"/>
              </w:rPr>
            </w:pPr>
            <w:r>
              <w:rPr>
                <w:position w:val="1"/>
                <w:sz w:val="17"/>
                <w:szCs w:val="17"/>
              </w:rPr>
              <w:t>2</w:t>
            </w:r>
          </w:p>
        </w:tc>
        <w:tc>
          <w:tcPr>
            <w:tcW w:w="1050" w:type="dxa"/>
            <w:vMerge w:val="restart"/>
            <w:tcBorders>
              <w:bottom w:val="nil"/>
            </w:tcBorders>
            <w:vAlign w:val="top"/>
          </w:tcPr>
          <w:p w14:paraId="3459AFB1">
            <w:pPr>
              <w:spacing w:line="259" w:lineRule="auto"/>
              <w:rPr>
                <w:rFonts w:ascii="Arial"/>
                <w:sz w:val="21"/>
              </w:rPr>
            </w:pPr>
          </w:p>
          <w:p w14:paraId="4974DEBF">
            <w:pPr>
              <w:spacing w:line="259" w:lineRule="auto"/>
              <w:rPr>
                <w:rFonts w:ascii="Arial"/>
                <w:sz w:val="21"/>
              </w:rPr>
            </w:pPr>
          </w:p>
          <w:p w14:paraId="71EB0C64">
            <w:pPr>
              <w:spacing w:line="259" w:lineRule="auto"/>
              <w:rPr>
                <w:rFonts w:ascii="Arial"/>
                <w:sz w:val="21"/>
              </w:rPr>
            </w:pPr>
          </w:p>
          <w:p w14:paraId="6191BFFA">
            <w:pPr>
              <w:spacing w:line="259" w:lineRule="auto"/>
              <w:rPr>
                <w:rFonts w:ascii="Arial"/>
                <w:sz w:val="21"/>
              </w:rPr>
            </w:pPr>
          </w:p>
          <w:p w14:paraId="386A9002">
            <w:pPr>
              <w:spacing w:line="259" w:lineRule="auto"/>
              <w:rPr>
                <w:rFonts w:ascii="Arial"/>
                <w:sz w:val="21"/>
              </w:rPr>
            </w:pPr>
          </w:p>
          <w:p w14:paraId="473A96B1">
            <w:pPr>
              <w:spacing w:line="259" w:lineRule="auto"/>
              <w:rPr>
                <w:rFonts w:ascii="Arial"/>
                <w:sz w:val="21"/>
              </w:rPr>
            </w:pPr>
          </w:p>
          <w:p w14:paraId="7FDB96E3">
            <w:pPr>
              <w:pStyle w:val="51"/>
              <w:spacing w:before="56" w:line="224" w:lineRule="auto"/>
              <w:ind w:left="353"/>
              <w:rPr>
                <w:sz w:val="17"/>
                <w:szCs w:val="17"/>
              </w:rPr>
            </w:pPr>
            <w:r>
              <w:rPr>
                <w:spacing w:val="2"/>
                <w:sz w:val="17"/>
                <w:szCs w:val="17"/>
              </w:rPr>
              <w:t>蔬菜</w:t>
            </w:r>
          </w:p>
        </w:tc>
        <w:tc>
          <w:tcPr>
            <w:tcW w:w="1080" w:type="dxa"/>
            <w:vMerge w:val="restart"/>
            <w:tcBorders>
              <w:bottom w:val="nil"/>
            </w:tcBorders>
            <w:vAlign w:val="top"/>
          </w:tcPr>
          <w:p w14:paraId="2D918E84">
            <w:pPr>
              <w:spacing w:line="248" w:lineRule="auto"/>
              <w:rPr>
                <w:rFonts w:ascii="Arial"/>
                <w:sz w:val="21"/>
              </w:rPr>
            </w:pPr>
          </w:p>
          <w:p w14:paraId="589A20ED">
            <w:pPr>
              <w:spacing w:line="248" w:lineRule="auto"/>
              <w:rPr>
                <w:rFonts w:ascii="Arial"/>
                <w:sz w:val="21"/>
              </w:rPr>
            </w:pPr>
          </w:p>
          <w:p w14:paraId="76BCC4E1">
            <w:pPr>
              <w:spacing w:line="248" w:lineRule="auto"/>
              <w:rPr>
                <w:rFonts w:ascii="Arial"/>
                <w:sz w:val="21"/>
              </w:rPr>
            </w:pPr>
          </w:p>
          <w:p w14:paraId="6CDBA4FA">
            <w:pPr>
              <w:spacing w:line="248" w:lineRule="auto"/>
              <w:rPr>
                <w:rFonts w:ascii="Arial"/>
                <w:sz w:val="21"/>
              </w:rPr>
            </w:pPr>
          </w:p>
          <w:p w14:paraId="24FAA3B6">
            <w:pPr>
              <w:spacing w:line="248" w:lineRule="auto"/>
              <w:rPr>
                <w:rFonts w:ascii="Arial"/>
                <w:sz w:val="21"/>
              </w:rPr>
            </w:pPr>
          </w:p>
          <w:p w14:paraId="3BA71FC0">
            <w:pPr>
              <w:pStyle w:val="51"/>
              <w:spacing w:before="55" w:line="224" w:lineRule="auto"/>
              <w:ind w:left="108"/>
              <w:rPr>
                <w:sz w:val="17"/>
                <w:szCs w:val="17"/>
              </w:rPr>
            </w:pPr>
            <w:r>
              <w:rPr>
                <w:spacing w:val="5"/>
                <w:sz w:val="17"/>
                <w:szCs w:val="17"/>
              </w:rPr>
              <w:t>叶菜类蔬菜</w:t>
            </w:r>
          </w:p>
        </w:tc>
        <w:tc>
          <w:tcPr>
            <w:tcW w:w="1633" w:type="dxa"/>
            <w:vAlign w:val="top"/>
          </w:tcPr>
          <w:p w14:paraId="699B25E3">
            <w:pPr>
              <w:pStyle w:val="51"/>
              <w:spacing w:before="196" w:line="224" w:lineRule="auto"/>
              <w:ind w:left="748"/>
              <w:rPr>
                <w:sz w:val="17"/>
                <w:szCs w:val="17"/>
              </w:rPr>
            </w:pPr>
            <w:r>
              <w:rPr>
                <w:sz w:val="17"/>
                <w:szCs w:val="17"/>
              </w:rPr>
              <w:t>菠菜</w:t>
            </w:r>
          </w:p>
        </w:tc>
        <w:tc>
          <w:tcPr>
            <w:tcW w:w="3510" w:type="dxa"/>
            <w:vAlign w:val="top"/>
          </w:tcPr>
          <w:p w14:paraId="7D890042">
            <w:pPr>
              <w:pStyle w:val="51"/>
              <w:spacing w:before="54" w:line="250" w:lineRule="auto"/>
              <w:ind w:left="34" w:right="34" w:hanging="1"/>
              <w:rPr>
                <w:sz w:val="17"/>
                <w:szCs w:val="17"/>
              </w:rPr>
            </w:pPr>
            <w:r>
              <w:rPr>
                <w:spacing w:val="10"/>
                <w:sz w:val="17"/>
                <w:szCs w:val="17"/>
              </w:rPr>
              <w:t>毒死蜱、铬(以</w:t>
            </w:r>
            <w:r>
              <w:rPr>
                <w:sz w:val="17"/>
                <w:szCs w:val="17"/>
              </w:rPr>
              <w:t>Cr</w:t>
            </w:r>
            <w:r>
              <w:rPr>
                <w:spacing w:val="10"/>
                <w:sz w:val="17"/>
                <w:szCs w:val="17"/>
              </w:rPr>
              <w:t>计)、镉(以</w:t>
            </w:r>
            <w:r>
              <w:rPr>
                <w:sz w:val="17"/>
                <w:szCs w:val="17"/>
              </w:rPr>
              <w:t>Cd</w:t>
            </w:r>
            <w:r>
              <w:rPr>
                <w:spacing w:val="10"/>
                <w:sz w:val="17"/>
                <w:szCs w:val="17"/>
              </w:rPr>
              <w:t>计)、阿维</w:t>
            </w:r>
            <w:r>
              <w:rPr>
                <w:spacing w:val="2"/>
                <w:sz w:val="17"/>
                <w:szCs w:val="17"/>
              </w:rPr>
              <w:t>菌素</w:t>
            </w:r>
          </w:p>
        </w:tc>
        <w:tc>
          <w:tcPr>
            <w:tcW w:w="6118" w:type="dxa"/>
            <w:vAlign w:val="top"/>
          </w:tcPr>
          <w:p w14:paraId="62E9A927">
            <w:pPr>
              <w:pStyle w:val="51"/>
              <w:spacing w:before="54" w:line="250" w:lineRule="auto"/>
              <w:ind w:left="37" w:right="18" w:hanging="7"/>
              <w:rPr>
                <w:sz w:val="17"/>
                <w:szCs w:val="17"/>
              </w:rPr>
            </w:pPr>
            <w:r>
              <w:rPr>
                <w:spacing w:val="11"/>
                <w:sz w:val="17"/>
                <w:szCs w:val="17"/>
              </w:rPr>
              <w:t>铅(以</w:t>
            </w:r>
            <w:r>
              <w:rPr>
                <w:sz w:val="17"/>
                <w:szCs w:val="17"/>
              </w:rPr>
              <w:t>Pb</w:t>
            </w:r>
            <w:r>
              <w:rPr>
                <w:spacing w:val="11"/>
                <w:sz w:val="17"/>
                <w:szCs w:val="17"/>
              </w:rPr>
              <w:t>计)、氟虫腈、腐霉利、甲拌磷、克百威、氯氟氰菊酯</w:t>
            </w:r>
            <w:r>
              <w:rPr>
                <w:spacing w:val="10"/>
                <w:sz w:val="17"/>
                <w:szCs w:val="17"/>
              </w:rPr>
              <w:t xml:space="preserve"> 和高效氯氟氰</w:t>
            </w:r>
            <w:r>
              <w:rPr>
                <w:spacing w:val="6"/>
                <w:sz w:val="17"/>
                <w:szCs w:val="17"/>
              </w:rPr>
              <w:t>菊酯、氧乐果</w:t>
            </w:r>
          </w:p>
        </w:tc>
        <w:tc>
          <w:tcPr>
            <w:tcW w:w="1161" w:type="dxa"/>
            <w:vAlign w:val="top"/>
          </w:tcPr>
          <w:p w14:paraId="2A7D88D8">
            <w:pPr>
              <w:rPr>
                <w:rFonts w:ascii="Arial"/>
                <w:sz w:val="21"/>
              </w:rPr>
            </w:pPr>
          </w:p>
        </w:tc>
      </w:tr>
      <w:tr w14:paraId="38013B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619" w:type="dxa"/>
            <w:vMerge w:val="continue"/>
            <w:tcBorders>
              <w:top w:val="nil"/>
              <w:bottom w:val="nil"/>
            </w:tcBorders>
            <w:vAlign w:val="top"/>
          </w:tcPr>
          <w:p w14:paraId="53559B39">
            <w:pPr>
              <w:rPr>
                <w:rFonts w:ascii="Arial"/>
                <w:sz w:val="21"/>
              </w:rPr>
            </w:pPr>
          </w:p>
        </w:tc>
        <w:tc>
          <w:tcPr>
            <w:tcW w:w="1050" w:type="dxa"/>
            <w:vMerge w:val="continue"/>
            <w:tcBorders>
              <w:top w:val="nil"/>
              <w:bottom w:val="nil"/>
            </w:tcBorders>
            <w:vAlign w:val="top"/>
          </w:tcPr>
          <w:p w14:paraId="75EC7480">
            <w:pPr>
              <w:rPr>
                <w:rFonts w:ascii="Arial"/>
                <w:sz w:val="21"/>
              </w:rPr>
            </w:pPr>
          </w:p>
        </w:tc>
        <w:tc>
          <w:tcPr>
            <w:tcW w:w="1080" w:type="dxa"/>
            <w:vMerge w:val="continue"/>
            <w:tcBorders>
              <w:top w:val="nil"/>
              <w:bottom w:val="nil"/>
            </w:tcBorders>
            <w:vAlign w:val="top"/>
          </w:tcPr>
          <w:p w14:paraId="11AB2AE2">
            <w:pPr>
              <w:rPr>
                <w:rFonts w:ascii="Arial"/>
                <w:sz w:val="21"/>
              </w:rPr>
            </w:pPr>
          </w:p>
        </w:tc>
        <w:tc>
          <w:tcPr>
            <w:tcW w:w="1633" w:type="dxa"/>
            <w:vAlign w:val="top"/>
          </w:tcPr>
          <w:p w14:paraId="26800AC7">
            <w:pPr>
              <w:spacing w:line="269" w:lineRule="auto"/>
              <w:rPr>
                <w:rFonts w:ascii="Arial"/>
                <w:sz w:val="21"/>
              </w:rPr>
            </w:pPr>
          </w:p>
          <w:p w14:paraId="0E2B47E4">
            <w:pPr>
              <w:pStyle w:val="51"/>
              <w:spacing w:before="55" w:line="224" w:lineRule="auto"/>
              <w:ind w:left="563"/>
              <w:rPr>
                <w:sz w:val="17"/>
                <w:szCs w:val="17"/>
              </w:rPr>
            </w:pPr>
            <w:r>
              <w:rPr>
                <w:spacing w:val="6"/>
                <w:sz w:val="17"/>
                <w:szCs w:val="17"/>
              </w:rPr>
              <w:t>普通白菜</w:t>
            </w:r>
          </w:p>
        </w:tc>
        <w:tc>
          <w:tcPr>
            <w:tcW w:w="3510" w:type="dxa"/>
            <w:vAlign w:val="top"/>
          </w:tcPr>
          <w:p w14:paraId="6D0E99B6">
            <w:pPr>
              <w:pStyle w:val="51"/>
              <w:spacing w:before="184" w:line="283" w:lineRule="auto"/>
              <w:ind w:left="36" w:right="19" w:hanging="3"/>
              <w:rPr>
                <w:sz w:val="17"/>
                <w:szCs w:val="17"/>
              </w:rPr>
            </w:pPr>
            <w:r>
              <w:rPr>
                <w:spacing w:val="10"/>
                <w:sz w:val="17"/>
                <w:szCs w:val="17"/>
              </w:rPr>
              <w:t>毒死蜱、啶虫脒、氟虫腈、阿维菌素、吡</w:t>
            </w:r>
            <w:r>
              <w:rPr>
                <w:spacing w:val="1"/>
                <w:sz w:val="17"/>
                <w:szCs w:val="17"/>
              </w:rPr>
              <w:t>虫啉</w:t>
            </w:r>
          </w:p>
        </w:tc>
        <w:tc>
          <w:tcPr>
            <w:tcW w:w="6118" w:type="dxa"/>
            <w:vAlign w:val="top"/>
          </w:tcPr>
          <w:p w14:paraId="6D11FFCB">
            <w:pPr>
              <w:pStyle w:val="51"/>
              <w:spacing w:before="55" w:line="260" w:lineRule="auto"/>
              <w:ind w:left="31" w:right="16"/>
              <w:jc w:val="both"/>
              <w:rPr>
                <w:sz w:val="17"/>
                <w:szCs w:val="17"/>
              </w:rPr>
            </w:pPr>
            <w:r>
              <w:rPr>
                <w:spacing w:val="8"/>
                <w:sz w:val="17"/>
                <w:szCs w:val="17"/>
              </w:rPr>
              <w:t>镉(以</w:t>
            </w:r>
            <w:r>
              <w:rPr>
                <w:sz w:val="17"/>
                <w:szCs w:val="17"/>
              </w:rPr>
              <w:t>Cd</w:t>
            </w:r>
            <w:r>
              <w:rPr>
                <w:spacing w:val="8"/>
                <w:sz w:val="17"/>
                <w:szCs w:val="17"/>
              </w:rPr>
              <w:t>计)、敌敌畏、氟氯氰菊酯和高效氟氯氰菊酯、甲氨基  阿维菌素苯甲</w:t>
            </w:r>
            <w:r>
              <w:rPr>
                <w:spacing w:val="11"/>
                <w:sz w:val="17"/>
                <w:szCs w:val="17"/>
              </w:rPr>
              <w:t>酸盐、甲拌磷、甲基异柳磷、克百威、氯氟氰菊酯 和高效氯</w:t>
            </w:r>
            <w:r>
              <w:rPr>
                <w:spacing w:val="10"/>
                <w:sz w:val="17"/>
                <w:szCs w:val="17"/>
              </w:rPr>
              <w:t>氟氰菊酯、氯氰</w:t>
            </w:r>
            <w:r>
              <w:rPr>
                <w:spacing w:val="9"/>
                <w:sz w:val="17"/>
                <w:szCs w:val="17"/>
              </w:rPr>
              <w:t>菊酯和高效氯氰菊酯、噻虫胺、氧乐果、乙酰甲胺磷</w:t>
            </w:r>
          </w:p>
        </w:tc>
        <w:tc>
          <w:tcPr>
            <w:tcW w:w="1161" w:type="dxa"/>
            <w:vAlign w:val="top"/>
          </w:tcPr>
          <w:p w14:paraId="3D27A7B4">
            <w:pPr>
              <w:rPr>
                <w:rFonts w:ascii="Arial"/>
                <w:sz w:val="21"/>
              </w:rPr>
            </w:pPr>
          </w:p>
        </w:tc>
      </w:tr>
      <w:tr w14:paraId="5C4223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5" w:hRule="atLeast"/>
        </w:trPr>
        <w:tc>
          <w:tcPr>
            <w:tcW w:w="619" w:type="dxa"/>
            <w:vMerge w:val="continue"/>
            <w:tcBorders>
              <w:top w:val="nil"/>
              <w:bottom w:val="nil"/>
            </w:tcBorders>
            <w:vAlign w:val="top"/>
          </w:tcPr>
          <w:p w14:paraId="212A352E">
            <w:pPr>
              <w:rPr>
                <w:rFonts w:ascii="Arial"/>
                <w:sz w:val="21"/>
              </w:rPr>
            </w:pPr>
          </w:p>
        </w:tc>
        <w:tc>
          <w:tcPr>
            <w:tcW w:w="1050" w:type="dxa"/>
            <w:vMerge w:val="continue"/>
            <w:tcBorders>
              <w:top w:val="nil"/>
              <w:bottom w:val="nil"/>
            </w:tcBorders>
            <w:vAlign w:val="top"/>
          </w:tcPr>
          <w:p w14:paraId="6F7A159F">
            <w:pPr>
              <w:rPr>
                <w:rFonts w:ascii="Arial"/>
                <w:sz w:val="21"/>
              </w:rPr>
            </w:pPr>
          </w:p>
        </w:tc>
        <w:tc>
          <w:tcPr>
            <w:tcW w:w="1080" w:type="dxa"/>
            <w:vMerge w:val="continue"/>
            <w:tcBorders>
              <w:top w:val="nil"/>
              <w:bottom w:val="nil"/>
            </w:tcBorders>
            <w:vAlign w:val="top"/>
          </w:tcPr>
          <w:p w14:paraId="7234B243">
            <w:pPr>
              <w:rPr>
                <w:rFonts w:ascii="Arial"/>
                <w:sz w:val="21"/>
              </w:rPr>
            </w:pPr>
          </w:p>
        </w:tc>
        <w:tc>
          <w:tcPr>
            <w:tcW w:w="1633" w:type="dxa"/>
            <w:vAlign w:val="top"/>
          </w:tcPr>
          <w:p w14:paraId="27D4904B">
            <w:pPr>
              <w:spacing w:line="270" w:lineRule="auto"/>
              <w:rPr>
                <w:rFonts w:ascii="Arial"/>
                <w:sz w:val="21"/>
              </w:rPr>
            </w:pPr>
          </w:p>
          <w:p w14:paraId="2CA1CB73">
            <w:pPr>
              <w:pStyle w:val="51"/>
              <w:spacing w:before="55" w:line="224" w:lineRule="auto"/>
              <w:ind w:left="743"/>
              <w:rPr>
                <w:sz w:val="17"/>
                <w:szCs w:val="17"/>
              </w:rPr>
            </w:pPr>
            <w:r>
              <w:rPr>
                <w:spacing w:val="3"/>
                <w:sz w:val="17"/>
                <w:szCs w:val="17"/>
              </w:rPr>
              <w:t>芹菜</w:t>
            </w:r>
          </w:p>
        </w:tc>
        <w:tc>
          <w:tcPr>
            <w:tcW w:w="3510" w:type="dxa"/>
            <w:vAlign w:val="top"/>
          </w:tcPr>
          <w:p w14:paraId="39951DD2">
            <w:pPr>
              <w:pStyle w:val="51"/>
              <w:spacing w:before="56" w:line="260" w:lineRule="auto"/>
              <w:ind w:left="30" w:right="19" w:firstLine="9"/>
              <w:jc w:val="both"/>
              <w:rPr>
                <w:sz w:val="17"/>
                <w:szCs w:val="17"/>
              </w:rPr>
            </w:pPr>
            <w:r>
              <w:rPr>
                <w:spacing w:val="10"/>
                <w:sz w:val="17"/>
                <w:szCs w:val="17"/>
              </w:rPr>
              <w:t>噻虫胺、毒死蜱、氧乐果、甲拌磷、噻虫</w:t>
            </w:r>
            <w:r>
              <w:rPr>
                <w:spacing w:val="11"/>
                <w:sz w:val="17"/>
                <w:szCs w:val="17"/>
              </w:rPr>
              <w:t>嗪、氯氟氰菊酯和高效氯氟氰菊酯、辛硫</w:t>
            </w:r>
            <w:r>
              <w:rPr>
                <w:sz w:val="17"/>
                <w:szCs w:val="17"/>
              </w:rPr>
              <w:t>磷</w:t>
            </w:r>
          </w:p>
        </w:tc>
        <w:tc>
          <w:tcPr>
            <w:tcW w:w="6118" w:type="dxa"/>
            <w:vAlign w:val="top"/>
          </w:tcPr>
          <w:p w14:paraId="034F4671">
            <w:pPr>
              <w:pStyle w:val="51"/>
              <w:spacing w:before="56" w:line="260" w:lineRule="auto"/>
              <w:ind w:left="36" w:hanging="6"/>
              <w:jc w:val="both"/>
              <w:rPr>
                <w:sz w:val="17"/>
                <w:szCs w:val="17"/>
              </w:rPr>
            </w:pPr>
            <w:r>
              <w:rPr>
                <w:spacing w:val="4"/>
                <w:sz w:val="17"/>
                <w:szCs w:val="17"/>
              </w:rPr>
              <w:t>铅(以</w:t>
            </w:r>
            <w:r>
              <w:rPr>
                <w:sz w:val="17"/>
                <w:szCs w:val="17"/>
              </w:rPr>
              <w:t>Pb</w:t>
            </w:r>
            <w:r>
              <w:rPr>
                <w:spacing w:val="4"/>
                <w:sz w:val="17"/>
                <w:szCs w:val="17"/>
              </w:rPr>
              <w:t>计)、镉(以</w:t>
            </w:r>
            <w:r>
              <w:rPr>
                <w:sz w:val="17"/>
                <w:szCs w:val="17"/>
              </w:rPr>
              <w:t>Cd</w:t>
            </w:r>
            <w:r>
              <w:rPr>
                <w:spacing w:val="4"/>
                <w:sz w:val="17"/>
                <w:szCs w:val="17"/>
              </w:rPr>
              <w:t>计)、阿维菌素、百菌清、苯醚甲环唑</w:t>
            </w:r>
            <w:r>
              <w:rPr>
                <w:spacing w:val="3"/>
                <w:sz w:val="17"/>
                <w:szCs w:val="17"/>
              </w:rPr>
              <w:t>、敌敌畏、啶虫脒、</w:t>
            </w:r>
            <w:r>
              <w:rPr>
                <w:spacing w:val="6"/>
                <w:sz w:val="17"/>
                <w:szCs w:val="17"/>
              </w:rPr>
              <w:t>二甲戊灵、氟虫腈、</w:t>
            </w:r>
            <w:r>
              <w:rPr>
                <w:spacing w:val="-51"/>
                <w:sz w:val="17"/>
                <w:szCs w:val="17"/>
              </w:rPr>
              <w:t xml:space="preserve"> </w:t>
            </w:r>
            <w:r>
              <w:rPr>
                <w:spacing w:val="6"/>
                <w:sz w:val="17"/>
                <w:szCs w:val="17"/>
              </w:rPr>
              <w:t>甲基异柳磷、腈菌唑、克百威、乐果、氯氰菊酯和高效氯</w:t>
            </w:r>
            <w:r>
              <w:rPr>
                <w:spacing w:val="7"/>
                <w:sz w:val="17"/>
                <w:szCs w:val="17"/>
              </w:rPr>
              <w:t>氰菊酯、三氯杀螨醇、水胺硫磷、乙酰甲胺磷</w:t>
            </w:r>
          </w:p>
        </w:tc>
        <w:tc>
          <w:tcPr>
            <w:tcW w:w="1161" w:type="dxa"/>
            <w:vAlign w:val="top"/>
          </w:tcPr>
          <w:p w14:paraId="3B41B744">
            <w:pPr>
              <w:rPr>
                <w:rFonts w:ascii="Arial"/>
                <w:sz w:val="21"/>
              </w:rPr>
            </w:pPr>
          </w:p>
        </w:tc>
      </w:tr>
      <w:tr w14:paraId="6A9416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19" w:type="dxa"/>
            <w:vMerge w:val="continue"/>
            <w:tcBorders>
              <w:top w:val="nil"/>
              <w:bottom w:val="nil"/>
            </w:tcBorders>
            <w:vAlign w:val="top"/>
          </w:tcPr>
          <w:p w14:paraId="369A75C0">
            <w:pPr>
              <w:rPr>
                <w:rFonts w:ascii="Arial"/>
                <w:sz w:val="21"/>
              </w:rPr>
            </w:pPr>
          </w:p>
        </w:tc>
        <w:tc>
          <w:tcPr>
            <w:tcW w:w="1050" w:type="dxa"/>
            <w:vMerge w:val="continue"/>
            <w:tcBorders>
              <w:top w:val="nil"/>
              <w:bottom w:val="nil"/>
            </w:tcBorders>
            <w:vAlign w:val="top"/>
          </w:tcPr>
          <w:p w14:paraId="7B38B738">
            <w:pPr>
              <w:rPr>
                <w:rFonts w:ascii="Arial"/>
                <w:sz w:val="21"/>
              </w:rPr>
            </w:pPr>
          </w:p>
        </w:tc>
        <w:tc>
          <w:tcPr>
            <w:tcW w:w="1080" w:type="dxa"/>
            <w:vMerge w:val="continue"/>
            <w:tcBorders>
              <w:top w:val="nil"/>
            </w:tcBorders>
            <w:vAlign w:val="top"/>
          </w:tcPr>
          <w:p w14:paraId="12D459AE">
            <w:pPr>
              <w:rPr>
                <w:rFonts w:ascii="Arial"/>
                <w:sz w:val="21"/>
              </w:rPr>
            </w:pPr>
          </w:p>
        </w:tc>
        <w:tc>
          <w:tcPr>
            <w:tcW w:w="1633" w:type="dxa"/>
            <w:vAlign w:val="top"/>
          </w:tcPr>
          <w:p w14:paraId="15891C63">
            <w:pPr>
              <w:pStyle w:val="51"/>
              <w:spacing w:before="249" w:line="224" w:lineRule="auto"/>
              <w:ind w:left="657"/>
              <w:rPr>
                <w:sz w:val="17"/>
                <w:szCs w:val="17"/>
              </w:rPr>
            </w:pPr>
            <w:r>
              <w:rPr>
                <w:spacing w:val="4"/>
                <w:sz w:val="17"/>
                <w:szCs w:val="17"/>
              </w:rPr>
              <w:t>油麦菜</w:t>
            </w:r>
          </w:p>
        </w:tc>
        <w:tc>
          <w:tcPr>
            <w:tcW w:w="3510" w:type="dxa"/>
            <w:vAlign w:val="top"/>
          </w:tcPr>
          <w:p w14:paraId="69616B1E">
            <w:pPr>
              <w:pStyle w:val="51"/>
              <w:spacing w:before="108" w:line="277" w:lineRule="auto"/>
              <w:ind w:left="34" w:right="19" w:firstLine="7"/>
              <w:rPr>
                <w:sz w:val="17"/>
                <w:szCs w:val="17"/>
              </w:rPr>
            </w:pPr>
            <w:r>
              <w:rPr>
                <w:spacing w:val="10"/>
                <w:sz w:val="17"/>
                <w:szCs w:val="17"/>
              </w:rPr>
              <w:t>阿维菌素、甲氨基阿维菌素苯甲酸盐、腈</w:t>
            </w:r>
            <w:r>
              <w:rPr>
                <w:spacing w:val="7"/>
                <w:sz w:val="17"/>
                <w:szCs w:val="17"/>
              </w:rPr>
              <w:t>菌唑、毒死蜱</w:t>
            </w:r>
          </w:p>
        </w:tc>
        <w:tc>
          <w:tcPr>
            <w:tcW w:w="6118" w:type="dxa"/>
            <w:vAlign w:val="top"/>
          </w:tcPr>
          <w:p w14:paraId="2C9CDB0E">
            <w:pPr>
              <w:pStyle w:val="51"/>
              <w:spacing w:before="108" w:line="277" w:lineRule="auto"/>
              <w:ind w:left="39" w:right="7"/>
              <w:rPr>
                <w:sz w:val="17"/>
                <w:szCs w:val="17"/>
              </w:rPr>
            </w:pPr>
            <w:r>
              <w:rPr>
                <w:spacing w:val="8"/>
                <w:sz w:val="17"/>
                <w:szCs w:val="17"/>
              </w:rPr>
              <w:t>吡虫啉、啶虫脒、氟虫腈、甲拌磷、氯氟氰菊酯和高效氯氟氰菊酯、灭多威、噻虫嗪、氧乐果、乙酰甲胺磷</w:t>
            </w:r>
          </w:p>
        </w:tc>
        <w:tc>
          <w:tcPr>
            <w:tcW w:w="1161" w:type="dxa"/>
            <w:vAlign w:val="top"/>
          </w:tcPr>
          <w:p w14:paraId="2F6D5A8C">
            <w:pPr>
              <w:rPr>
                <w:rFonts w:ascii="Arial"/>
                <w:sz w:val="21"/>
              </w:rPr>
            </w:pPr>
          </w:p>
        </w:tc>
      </w:tr>
      <w:tr w14:paraId="09AE64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19" w:type="dxa"/>
            <w:vMerge w:val="continue"/>
            <w:tcBorders>
              <w:top w:val="nil"/>
            </w:tcBorders>
            <w:vAlign w:val="top"/>
          </w:tcPr>
          <w:p w14:paraId="57D2844B">
            <w:pPr>
              <w:rPr>
                <w:rFonts w:ascii="Arial"/>
                <w:sz w:val="21"/>
              </w:rPr>
            </w:pPr>
          </w:p>
        </w:tc>
        <w:tc>
          <w:tcPr>
            <w:tcW w:w="1050" w:type="dxa"/>
            <w:vMerge w:val="continue"/>
            <w:tcBorders>
              <w:top w:val="nil"/>
            </w:tcBorders>
            <w:vAlign w:val="top"/>
          </w:tcPr>
          <w:p w14:paraId="6B5AA07F">
            <w:pPr>
              <w:rPr>
                <w:rFonts w:ascii="Arial"/>
                <w:sz w:val="21"/>
              </w:rPr>
            </w:pPr>
          </w:p>
        </w:tc>
        <w:tc>
          <w:tcPr>
            <w:tcW w:w="1080" w:type="dxa"/>
            <w:vAlign w:val="top"/>
          </w:tcPr>
          <w:p w14:paraId="73D5FC24">
            <w:pPr>
              <w:pStyle w:val="51"/>
              <w:spacing w:before="249" w:line="224" w:lineRule="auto"/>
              <w:ind w:left="188"/>
              <w:rPr>
                <w:sz w:val="17"/>
                <w:szCs w:val="17"/>
              </w:rPr>
            </w:pPr>
            <w:r>
              <w:rPr>
                <w:spacing w:val="6"/>
                <w:sz w:val="17"/>
                <w:szCs w:val="17"/>
              </w:rPr>
              <w:t>瓜类蔬菜</w:t>
            </w:r>
          </w:p>
        </w:tc>
        <w:tc>
          <w:tcPr>
            <w:tcW w:w="1633" w:type="dxa"/>
            <w:vAlign w:val="top"/>
          </w:tcPr>
          <w:p w14:paraId="2315FFD5">
            <w:pPr>
              <w:pStyle w:val="51"/>
              <w:spacing w:before="250" w:line="229" w:lineRule="auto"/>
              <w:ind w:left="741"/>
              <w:rPr>
                <w:sz w:val="17"/>
                <w:szCs w:val="17"/>
              </w:rPr>
            </w:pPr>
            <w:r>
              <w:rPr>
                <w:spacing w:val="4"/>
                <w:sz w:val="17"/>
                <w:szCs w:val="17"/>
              </w:rPr>
              <w:t>黄瓜</w:t>
            </w:r>
          </w:p>
        </w:tc>
        <w:tc>
          <w:tcPr>
            <w:tcW w:w="3510" w:type="dxa"/>
            <w:vAlign w:val="top"/>
          </w:tcPr>
          <w:p w14:paraId="2E256403">
            <w:pPr>
              <w:pStyle w:val="51"/>
              <w:spacing w:before="108" w:line="277" w:lineRule="auto"/>
              <w:ind w:left="30" w:right="19" w:firstLine="9"/>
              <w:rPr>
                <w:sz w:val="17"/>
                <w:szCs w:val="17"/>
              </w:rPr>
            </w:pPr>
            <w:r>
              <w:rPr>
                <w:spacing w:val="10"/>
                <w:sz w:val="17"/>
                <w:szCs w:val="17"/>
              </w:rPr>
              <w:t>噻虫嗪、乙螨唑、阿维菌素、毒死蜱、哒</w:t>
            </w:r>
            <w:r>
              <w:rPr>
                <w:spacing w:val="4"/>
                <w:sz w:val="17"/>
                <w:szCs w:val="17"/>
              </w:rPr>
              <w:t>螨灵</w:t>
            </w:r>
          </w:p>
        </w:tc>
        <w:tc>
          <w:tcPr>
            <w:tcW w:w="6118" w:type="dxa"/>
            <w:vAlign w:val="top"/>
          </w:tcPr>
          <w:p w14:paraId="308ACDB7">
            <w:pPr>
              <w:pStyle w:val="51"/>
              <w:spacing w:before="108" w:line="277" w:lineRule="auto"/>
              <w:ind w:left="31" w:right="18" w:hanging="1"/>
              <w:rPr>
                <w:sz w:val="17"/>
                <w:szCs w:val="17"/>
              </w:rPr>
            </w:pPr>
            <w:r>
              <w:rPr>
                <w:spacing w:val="10"/>
                <w:sz w:val="17"/>
                <w:szCs w:val="17"/>
              </w:rPr>
              <w:t>敌敌畏、腐霉利、甲氨基阿维菌素苯甲酸盐、甲拌磷、克百威、</w:t>
            </w:r>
            <w:r>
              <w:rPr>
                <w:spacing w:val="37"/>
                <w:sz w:val="17"/>
                <w:szCs w:val="17"/>
              </w:rPr>
              <w:t xml:space="preserve"> </w:t>
            </w:r>
            <w:r>
              <w:rPr>
                <w:spacing w:val="10"/>
                <w:sz w:val="17"/>
                <w:szCs w:val="17"/>
              </w:rPr>
              <w:t>乐果、氧乐</w:t>
            </w:r>
            <w:r>
              <w:rPr>
                <w:spacing w:val="8"/>
                <w:sz w:val="17"/>
                <w:szCs w:val="17"/>
              </w:rPr>
              <w:t>果、乙酰甲胺磷、异丙威</w:t>
            </w:r>
          </w:p>
        </w:tc>
        <w:tc>
          <w:tcPr>
            <w:tcW w:w="1161" w:type="dxa"/>
            <w:vAlign w:val="top"/>
          </w:tcPr>
          <w:p w14:paraId="2AEEB6F3">
            <w:pPr>
              <w:rPr>
                <w:rFonts w:ascii="Arial"/>
                <w:sz w:val="21"/>
              </w:rPr>
            </w:pPr>
          </w:p>
        </w:tc>
      </w:tr>
      <w:tr w14:paraId="4E55AC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4" w:hRule="atLeast"/>
        </w:trPr>
        <w:tc>
          <w:tcPr>
            <w:tcW w:w="619" w:type="dxa"/>
            <w:vMerge w:val="restart"/>
            <w:tcBorders>
              <w:bottom w:val="nil"/>
            </w:tcBorders>
            <w:vAlign w:val="top"/>
          </w:tcPr>
          <w:p w14:paraId="231ED326">
            <w:pPr>
              <w:spacing w:line="250" w:lineRule="auto"/>
              <w:rPr>
                <w:rFonts w:ascii="Arial"/>
                <w:sz w:val="21"/>
              </w:rPr>
            </w:pPr>
          </w:p>
          <w:p w14:paraId="2AFA435C">
            <w:pPr>
              <w:spacing w:line="250" w:lineRule="auto"/>
              <w:rPr>
                <w:rFonts w:ascii="Arial"/>
                <w:sz w:val="21"/>
              </w:rPr>
            </w:pPr>
          </w:p>
          <w:p w14:paraId="306F5412">
            <w:pPr>
              <w:spacing w:line="250" w:lineRule="auto"/>
              <w:rPr>
                <w:rFonts w:ascii="Arial"/>
                <w:sz w:val="21"/>
              </w:rPr>
            </w:pPr>
          </w:p>
          <w:p w14:paraId="49BE4D14">
            <w:pPr>
              <w:spacing w:line="250" w:lineRule="auto"/>
              <w:rPr>
                <w:rFonts w:ascii="Arial"/>
                <w:sz w:val="21"/>
              </w:rPr>
            </w:pPr>
          </w:p>
          <w:p w14:paraId="0B7EE932">
            <w:pPr>
              <w:spacing w:line="250" w:lineRule="auto"/>
              <w:rPr>
                <w:rFonts w:ascii="Arial"/>
                <w:sz w:val="21"/>
              </w:rPr>
            </w:pPr>
          </w:p>
          <w:p w14:paraId="57714FA9">
            <w:pPr>
              <w:spacing w:line="250" w:lineRule="auto"/>
              <w:rPr>
                <w:rFonts w:ascii="Arial"/>
                <w:sz w:val="21"/>
              </w:rPr>
            </w:pPr>
          </w:p>
          <w:p w14:paraId="44478633">
            <w:pPr>
              <w:spacing w:line="250" w:lineRule="auto"/>
              <w:rPr>
                <w:rFonts w:ascii="Arial"/>
                <w:sz w:val="21"/>
              </w:rPr>
            </w:pPr>
          </w:p>
          <w:p w14:paraId="25728E82">
            <w:pPr>
              <w:spacing w:line="250" w:lineRule="auto"/>
              <w:rPr>
                <w:rFonts w:ascii="Arial"/>
                <w:sz w:val="21"/>
              </w:rPr>
            </w:pPr>
          </w:p>
          <w:p w14:paraId="2AFBA91E">
            <w:pPr>
              <w:spacing w:line="251" w:lineRule="auto"/>
              <w:rPr>
                <w:rFonts w:ascii="Arial"/>
                <w:sz w:val="21"/>
              </w:rPr>
            </w:pPr>
          </w:p>
          <w:p w14:paraId="4DA610FC">
            <w:pPr>
              <w:pStyle w:val="51"/>
              <w:spacing w:before="55" w:line="227" w:lineRule="exact"/>
              <w:ind w:left="272"/>
              <w:rPr>
                <w:sz w:val="17"/>
                <w:szCs w:val="17"/>
              </w:rPr>
            </w:pPr>
            <w:r>
              <w:rPr>
                <w:position w:val="1"/>
                <w:sz w:val="17"/>
                <w:szCs w:val="17"/>
              </w:rPr>
              <w:t>3</w:t>
            </w:r>
          </w:p>
        </w:tc>
        <w:tc>
          <w:tcPr>
            <w:tcW w:w="1050" w:type="dxa"/>
            <w:vMerge w:val="restart"/>
            <w:tcBorders>
              <w:bottom w:val="nil"/>
            </w:tcBorders>
            <w:vAlign w:val="top"/>
          </w:tcPr>
          <w:p w14:paraId="0C6C3734">
            <w:pPr>
              <w:spacing w:line="250" w:lineRule="auto"/>
              <w:rPr>
                <w:rFonts w:ascii="Arial"/>
                <w:sz w:val="21"/>
              </w:rPr>
            </w:pPr>
          </w:p>
          <w:p w14:paraId="4B7145C6">
            <w:pPr>
              <w:spacing w:line="250" w:lineRule="auto"/>
              <w:rPr>
                <w:rFonts w:ascii="Arial"/>
                <w:sz w:val="21"/>
              </w:rPr>
            </w:pPr>
          </w:p>
          <w:p w14:paraId="4BBEC1D9">
            <w:pPr>
              <w:spacing w:line="250" w:lineRule="auto"/>
              <w:rPr>
                <w:rFonts w:ascii="Arial"/>
                <w:sz w:val="21"/>
              </w:rPr>
            </w:pPr>
          </w:p>
          <w:p w14:paraId="5F9967ED">
            <w:pPr>
              <w:spacing w:line="250" w:lineRule="auto"/>
              <w:rPr>
                <w:rFonts w:ascii="Arial"/>
                <w:sz w:val="21"/>
              </w:rPr>
            </w:pPr>
          </w:p>
          <w:p w14:paraId="27DBBB1C">
            <w:pPr>
              <w:spacing w:line="250" w:lineRule="auto"/>
              <w:rPr>
                <w:rFonts w:ascii="Arial"/>
                <w:sz w:val="21"/>
              </w:rPr>
            </w:pPr>
          </w:p>
          <w:p w14:paraId="08077862">
            <w:pPr>
              <w:spacing w:line="250" w:lineRule="auto"/>
              <w:rPr>
                <w:rFonts w:ascii="Arial"/>
                <w:sz w:val="21"/>
              </w:rPr>
            </w:pPr>
          </w:p>
          <w:p w14:paraId="5D30E5F9">
            <w:pPr>
              <w:spacing w:line="250" w:lineRule="auto"/>
              <w:rPr>
                <w:rFonts w:ascii="Arial"/>
                <w:sz w:val="21"/>
              </w:rPr>
            </w:pPr>
          </w:p>
          <w:p w14:paraId="00A8B256">
            <w:pPr>
              <w:spacing w:line="250" w:lineRule="auto"/>
              <w:rPr>
                <w:rFonts w:ascii="Arial"/>
                <w:sz w:val="21"/>
              </w:rPr>
            </w:pPr>
          </w:p>
          <w:p w14:paraId="6EF10DDC">
            <w:pPr>
              <w:spacing w:line="251" w:lineRule="auto"/>
              <w:rPr>
                <w:rFonts w:ascii="Arial"/>
                <w:sz w:val="21"/>
              </w:rPr>
            </w:pPr>
          </w:p>
          <w:p w14:paraId="67534437">
            <w:pPr>
              <w:pStyle w:val="51"/>
              <w:spacing w:before="55" w:line="229" w:lineRule="auto"/>
              <w:ind w:left="262"/>
              <w:rPr>
                <w:sz w:val="17"/>
                <w:szCs w:val="17"/>
              </w:rPr>
            </w:pPr>
            <w:r>
              <w:rPr>
                <w:spacing w:val="6"/>
                <w:sz w:val="17"/>
                <w:szCs w:val="17"/>
              </w:rPr>
              <w:t>水产品</w:t>
            </w:r>
          </w:p>
        </w:tc>
        <w:tc>
          <w:tcPr>
            <w:tcW w:w="1080" w:type="dxa"/>
            <w:vAlign w:val="top"/>
          </w:tcPr>
          <w:p w14:paraId="7DC65ED7">
            <w:pPr>
              <w:spacing w:line="305" w:lineRule="auto"/>
              <w:rPr>
                <w:rFonts w:ascii="Arial"/>
                <w:sz w:val="21"/>
              </w:rPr>
            </w:pPr>
          </w:p>
          <w:p w14:paraId="7DD29B5E">
            <w:pPr>
              <w:pStyle w:val="51"/>
              <w:spacing w:before="55" w:line="229" w:lineRule="auto"/>
              <w:ind w:left="369"/>
              <w:rPr>
                <w:sz w:val="17"/>
                <w:szCs w:val="17"/>
              </w:rPr>
            </w:pPr>
            <w:r>
              <w:rPr>
                <w:spacing w:val="2"/>
                <w:sz w:val="17"/>
                <w:szCs w:val="17"/>
              </w:rPr>
              <w:t>贝类</w:t>
            </w:r>
          </w:p>
        </w:tc>
        <w:tc>
          <w:tcPr>
            <w:tcW w:w="1633" w:type="dxa"/>
            <w:vAlign w:val="top"/>
          </w:tcPr>
          <w:p w14:paraId="1AB4C7D1">
            <w:pPr>
              <w:spacing w:line="305" w:lineRule="auto"/>
              <w:rPr>
                <w:rFonts w:ascii="Arial"/>
                <w:sz w:val="21"/>
              </w:rPr>
            </w:pPr>
          </w:p>
          <w:p w14:paraId="08914722">
            <w:pPr>
              <w:pStyle w:val="51"/>
              <w:spacing w:before="55" w:line="229" w:lineRule="auto"/>
              <w:ind w:left="743"/>
              <w:rPr>
                <w:sz w:val="17"/>
                <w:szCs w:val="17"/>
              </w:rPr>
            </w:pPr>
            <w:r>
              <w:rPr>
                <w:spacing w:val="2"/>
                <w:sz w:val="17"/>
                <w:szCs w:val="17"/>
              </w:rPr>
              <w:t>贝类</w:t>
            </w:r>
          </w:p>
        </w:tc>
        <w:tc>
          <w:tcPr>
            <w:tcW w:w="3510" w:type="dxa"/>
            <w:vAlign w:val="top"/>
          </w:tcPr>
          <w:p w14:paraId="5E8B667F">
            <w:pPr>
              <w:spacing w:line="293" w:lineRule="auto"/>
              <w:rPr>
                <w:rFonts w:ascii="Arial"/>
                <w:sz w:val="21"/>
              </w:rPr>
            </w:pPr>
          </w:p>
          <w:p w14:paraId="6644E202">
            <w:pPr>
              <w:pStyle w:val="51"/>
              <w:spacing w:before="55" w:line="228" w:lineRule="auto"/>
              <w:ind w:left="31"/>
              <w:rPr>
                <w:sz w:val="17"/>
                <w:szCs w:val="17"/>
              </w:rPr>
            </w:pPr>
            <w:r>
              <w:rPr>
                <w:spacing w:val="6"/>
                <w:sz w:val="17"/>
                <w:szCs w:val="17"/>
              </w:rPr>
              <w:t>镉(以</w:t>
            </w:r>
            <w:r>
              <w:rPr>
                <w:sz w:val="17"/>
                <w:szCs w:val="17"/>
              </w:rPr>
              <w:t>Cd</w:t>
            </w:r>
            <w:r>
              <w:rPr>
                <w:spacing w:val="6"/>
                <w:sz w:val="17"/>
                <w:szCs w:val="17"/>
              </w:rPr>
              <w:t>计)、氯霉素</w:t>
            </w:r>
          </w:p>
        </w:tc>
        <w:tc>
          <w:tcPr>
            <w:tcW w:w="6118" w:type="dxa"/>
            <w:vAlign w:val="top"/>
          </w:tcPr>
          <w:p w14:paraId="79BECA43">
            <w:pPr>
              <w:pStyle w:val="51"/>
              <w:spacing w:before="221" w:line="279" w:lineRule="auto"/>
              <w:ind w:left="34" w:right="16" w:hanging="1"/>
              <w:rPr>
                <w:sz w:val="17"/>
                <w:szCs w:val="17"/>
              </w:rPr>
            </w:pPr>
            <w:r>
              <w:rPr>
                <w:spacing w:val="8"/>
                <w:sz w:val="17"/>
                <w:szCs w:val="17"/>
              </w:rPr>
              <w:t>无机砷(以</w:t>
            </w:r>
            <w:r>
              <w:rPr>
                <w:sz w:val="17"/>
                <w:szCs w:val="17"/>
              </w:rPr>
              <w:t>As</w:t>
            </w:r>
            <w:r>
              <w:rPr>
                <w:spacing w:val="8"/>
                <w:sz w:val="17"/>
                <w:szCs w:val="17"/>
              </w:rPr>
              <w:t>计)、孔雀石绿、呋喃唑酮代谢物、呋喃西林代谢  物、呋喃妥因</w:t>
            </w:r>
            <w:r>
              <w:rPr>
                <w:spacing w:val="9"/>
                <w:sz w:val="17"/>
                <w:szCs w:val="17"/>
              </w:rPr>
              <w:t>代谢物、五氯酚酸钠(以五氯酚计)、恩诺沙星、氟苯尼考、磺胺类(总</w:t>
            </w:r>
            <w:r>
              <w:rPr>
                <w:spacing w:val="8"/>
                <w:sz w:val="17"/>
                <w:szCs w:val="17"/>
              </w:rPr>
              <w:t>量)</w:t>
            </w:r>
          </w:p>
        </w:tc>
        <w:tc>
          <w:tcPr>
            <w:tcW w:w="1161" w:type="dxa"/>
            <w:vAlign w:val="top"/>
          </w:tcPr>
          <w:p w14:paraId="1B9A5CDC">
            <w:pPr>
              <w:rPr>
                <w:rFonts w:ascii="Arial"/>
                <w:sz w:val="21"/>
              </w:rPr>
            </w:pPr>
          </w:p>
        </w:tc>
      </w:tr>
      <w:tr w14:paraId="3F7F51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4" w:hRule="atLeast"/>
        </w:trPr>
        <w:tc>
          <w:tcPr>
            <w:tcW w:w="619" w:type="dxa"/>
            <w:vMerge w:val="continue"/>
            <w:tcBorders>
              <w:top w:val="nil"/>
              <w:bottom w:val="nil"/>
            </w:tcBorders>
            <w:vAlign w:val="top"/>
          </w:tcPr>
          <w:p w14:paraId="010FBD38">
            <w:pPr>
              <w:rPr>
                <w:rFonts w:ascii="Arial"/>
                <w:sz w:val="21"/>
              </w:rPr>
            </w:pPr>
          </w:p>
        </w:tc>
        <w:tc>
          <w:tcPr>
            <w:tcW w:w="1050" w:type="dxa"/>
            <w:vMerge w:val="continue"/>
            <w:tcBorders>
              <w:top w:val="nil"/>
              <w:bottom w:val="nil"/>
            </w:tcBorders>
            <w:vAlign w:val="top"/>
          </w:tcPr>
          <w:p w14:paraId="7D89A277">
            <w:pPr>
              <w:rPr>
                <w:rFonts w:ascii="Arial"/>
                <w:sz w:val="21"/>
              </w:rPr>
            </w:pPr>
          </w:p>
        </w:tc>
        <w:tc>
          <w:tcPr>
            <w:tcW w:w="1080" w:type="dxa"/>
            <w:vMerge w:val="restart"/>
            <w:tcBorders>
              <w:bottom w:val="nil"/>
            </w:tcBorders>
            <w:vAlign w:val="top"/>
          </w:tcPr>
          <w:p w14:paraId="35AE1F86">
            <w:pPr>
              <w:spacing w:line="342" w:lineRule="auto"/>
              <w:rPr>
                <w:rFonts w:ascii="Arial"/>
                <w:sz w:val="21"/>
              </w:rPr>
            </w:pPr>
          </w:p>
          <w:p w14:paraId="44DC30E7">
            <w:pPr>
              <w:spacing w:line="342" w:lineRule="auto"/>
              <w:rPr>
                <w:rFonts w:ascii="Arial"/>
                <w:sz w:val="21"/>
              </w:rPr>
            </w:pPr>
          </w:p>
          <w:p w14:paraId="14D9D2C5">
            <w:pPr>
              <w:pStyle w:val="51"/>
              <w:spacing w:before="55" w:line="229" w:lineRule="auto"/>
              <w:ind w:left="190"/>
              <w:rPr>
                <w:sz w:val="17"/>
                <w:szCs w:val="17"/>
              </w:rPr>
            </w:pPr>
            <w:r>
              <w:rPr>
                <w:spacing w:val="6"/>
                <w:sz w:val="17"/>
                <w:szCs w:val="17"/>
              </w:rPr>
              <w:t>淡水产品</w:t>
            </w:r>
          </w:p>
        </w:tc>
        <w:tc>
          <w:tcPr>
            <w:tcW w:w="1633" w:type="dxa"/>
            <w:vAlign w:val="top"/>
          </w:tcPr>
          <w:p w14:paraId="7D80840A">
            <w:pPr>
              <w:spacing w:line="307" w:lineRule="auto"/>
              <w:rPr>
                <w:rFonts w:ascii="Arial"/>
                <w:sz w:val="21"/>
              </w:rPr>
            </w:pPr>
          </w:p>
          <w:p w14:paraId="775BBA82">
            <w:pPr>
              <w:pStyle w:val="51"/>
              <w:spacing w:before="55" w:line="229" w:lineRule="auto"/>
              <w:ind w:left="655"/>
              <w:rPr>
                <w:sz w:val="17"/>
                <w:szCs w:val="17"/>
              </w:rPr>
            </w:pPr>
            <w:r>
              <w:rPr>
                <w:spacing w:val="5"/>
                <w:sz w:val="17"/>
                <w:szCs w:val="17"/>
              </w:rPr>
              <w:t>淡水鱼</w:t>
            </w:r>
          </w:p>
        </w:tc>
        <w:tc>
          <w:tcPr>
            <w:tcW w:w="3510" w:type="dxa"/>
            <w:vAlign w:val="top"/>
          </w:tcPr>
          <w:p w14:paraId="7B84A5B9">
            <w:pPr>
              <w:pStyle w:val="51"/>
              <w:spacing w:before="220" w:line="284" w:lineRule="auto"/>
              <w:ind w:left="36" w:right="32" w:firstLine="2"/>
              <w:rPr>
                <w:sz w:val="17"/>
                <w:szCs w:val="17"/>
              </w:rPr>
            </w:pPr>
            <w:r>
              <w:rPr>
                <w:spacing w:val="9"/>
                <w:sz w:val="17"/>
                <w:szCs w:val="17"/>
              </w:rPr>
              <w:t>恩诺沙星、孔雀石绿、磺胺类(总量)、氧</w:t>
            </w:r>
            <w:r>
              <w:rPr>
                <w:spacing w:val="8"/>
                <w:sz w:val="17"/>
                <w:szCs w:val="17"/>
              </w:rPr>
              <w:t>氟沙星、呋喃唑酮代谢物</w:t>
            </w:r>
          </w:p>
        </w:tc>
        <w:tc>
          <w:tcPr>
            <w:tcW w:w="6118" w:type="dxa"/>
            <w:vAlign w:val="top"/>
          </w:tcPr>
          <w:p w14:paraId="1CC073DB">
            <w:pPr>
              <w:pStyle w:val="51"/>
              <w:spacing w:before="89" w:line="273" w:lineRule="auto"/>
              <w:ind w:left="32" w:right="7"/>
              <w:jc w:val="both"/>
              <w:rPr>
                <w:sz w:val="17"/>
                <w:szCs w:val="17"/>
              </w:rPr>
            </w:pPr>
            <w:r>
              <w:rPr>
                <w:spacing w:val="8"/>
                <w:sz w:val="17"/>
                <w:szCs w:val="17"/>
              </w:rPr>
              <w:t>挥发性盐基氮、镉(以</w:t>
            </w:r>
            <w:r>
              <w:rPr>
                <w:sz w:val="17"/>
                <w:szCs w:val="17"/>
              </w:rPr>
              <w:t>Cd</w:t>
            </w:r>
            <w:r>
              <w:rPr>
                <w:spacing w:val="8"/>
                <w:sz w:val="17"/>
                <w:szCs w:val="17"/>
              </w:rPr>
              <w:t>计)、氯霉素、呋喃西林代谢物、呋喃妥因代谢物、五氯酚酸钠(以五氯酚计)、沙拉沙星、甲氧苄啶、氟苯尼考、甲硝唑、地西泮、培氟沙星、诺氟沙星</w:t>
            </w:r>
          </w:p>
        </w:tc>
        <w:tc>
          <w:tcPr>
            <w:tcW w:w="1161" w:type="dxa"/>
            <w:vAlign w:val="top"/>
          </w:tcPr>
          <w:p w14:paraId="7227D38F">
            <w:pPr>
              <w:rPr>
                <w:rFonts w:ascii="Arial"/>
                <w:sz w:val="21"/>
              </w:rPr>
            </w:pPr>
          </w:p>
        </w:tc>
      </w:tr>
      <w:tr w14:paraId="3F5BBE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8" w:hRule="atLeast"/>
        </w:trPr>
        <w:tc>
          <w:tcPr>
            <w:tcW w:w="619" w:type="dxa"/>
            <w:vMerge w:val="continue"/>
            <w:tcBorders>
              <w:top w:val="nil"/>
              <w:bottom w:val="nil"/>
            </w:tcBorders>
            <w:vAlign w:val="top"/>
          </w:tcPr>
          <w:p w14:paraId="50EAB9FC">
            <w:pPr>
              <w:rPr>
                <w:rFonts w:ascii="Arial"/>
                <w:sz w:val="21"/>
              </w:rPr>
            </w:pPr>
          </w:p>
        </w:tc>
        <w:tc>
          <w:tcPr>
            <w:tcW w:w="1050" w:type="dxa"/>
            <w:vMerge w:val="continue"/>
            <w:tcBorders>
              <w:top w:val="nil"/>
              <w:bottom w:val="nil"/>
            </w:tcBorders>
            <w:vAlign w:val="top"/>
          </w:tcPr>
          <w:p w14:paraId="68896E98">
            <w:pPr>
              <w:rPr>
                <w:rFonts w:ascii="Arial"/>
                <w:sz w:val="21"/>
              </w:rPr>
            </w:pPr>
          </w:p>
        </w:tc>
        <w:tc>
          <w:tcPr>
            <w:tcW w:w="1080" w:type="dxa"/>
            <w:vMerge w:val="continue"/>
            <w:tcBorders>
              <w:top w:val="nil"/>
            </w:tcBorders>
            <w:vAlign w:val="top"/>
          </w:tcPr>
          <w:p w14:paraId="1B0334EB">
            <w:pPr>
              <w:rPr>
                <w:rFonts w:ascii="Arial"/>
                <w:sz w:val="21"/>
              </w:rPr>
            </w:pPr>
          </w:p>
        </w:tc>
        <w:tc>
          <w:tcPr>
            <w:tcW w:w="1633" w:type="dxa"/>
            <w:vAlign w:val="top"/>
          </w:tcPr>
          <w:p w14:paraId="571CAFD9">
            <w:pPr>
              <w:pStyle w:val="51"/>
              <w:spacing w:before="165" w:line="227" w:lineRule="auto"/>
              <w:ind w:left="70"/>
              <w:rPr>
                <w:sz w:val="17"/>
                <w:szCs w:val="17"/>
              </w:rPr>
            </w:pPr>
            <w:r>
              <w:rPr>
                <w:spacing w:val="8"/>
                <w:sz w:val="17"/>
                <w:szCs w:val="17"/>
              </w:rPr>
              <w:t>淡水虾(重点品种：罗</w:t>
            </w:r>
            <w:r>
              <w:rPr>
                <w:spacing w:val="-1"/>
                <w:sz w:val="17"/>
                <w:szCs w:val="17"/>
              </w:rPr>
              <w:t>氏沼虾)</w:t>
            </w:r>
          </w:p>
        </w:tc>
        <w:tc>
          <w:tcPr>
            <w:tcW w:w="3510" w:type="dxa"/>
            <w:vAlign w:val="top"/>
          </w:tcPr>
          <w:p w14:paraId="200022DD">
            <w:pPr>
              <w:spacing w:line="247" w:lineRule="auto"/>
              <w:rPr>
                <w:rFonts w:ascii="Arial"/>
                <w:sz w:val="21"/>
              </w:rPr>
            </w:pPr>
          </w:p>
          <w:p w14:paraId="42F1A025">
            <w:pPr>
              <w:pStyle w:val="51"/>
              <w:spacing w:before="56" w:line="227" w:lineRule="auto"/>
              <w:ind w:left="38"/>
              <w:rPr>
                <w:sz w:val="17"/>
                <w:szCs w:val="17"/>
              </w:rPr>
            </w:pPr>
            <w:r>
              <w:rPr>
                <w:spacing w:val="8"/>
                <w:sz w:val="17"/>
                <w:szCs w:val="17"/>
              </w:rPr>
              <w:t>恩诺沙星、呋喃唑酮代谢物</w:t>
            </w:r>
          </w:p>
        </w:tc>
        <w:tc>
          <w:tcPr>
            <w:tcW w:w="6118" w:type="dxa"/>
            <w:vAlign w:val="top"/>
          </w:tcPr>
          <w:p w14:paraId="734BBD6C">
            <w:pPr>
              <w:pStyle w:val="51"/>
              <w:spacing w:before="172" w:line="285" w:lineRule="auto"/>
              <w:ind w:left="34" w:hanging="2"/>
              <w:rPr>
                <w:sz w:val="17"/>
                <w:szCs w:val="17"/>
              </w:rPr>
            </w:pPr>
            <w:r>
              <w:rPr>
                <w:spacing w:val="4"/>
                <w:sz w:val="17"/>
                <w:szCs w:val="17"/>
              </w:rPr>
              <w:t>镉(以</w:t>
            </w:r>
            <w:r>
              <w:rPr>
                <w:sz w:val="17"/>
                <w:szCs w:val="17"/>
              </w:rPr>
              <w:t>Cd</w:t>
            </w:r>
            <w:r>
              <w:rPr>
                <w:spacing w:val="4"/>
                <w:sz w:val="17"/>
                <w:szCs w:val="17"/>
              </w:rPr>
              <w:t>计)、孔雀石绿、氯霉素、呋喃妥因代谢</w:t>
            </w:r>
            <w:r>
              <w:rPr>
                <w:spacing w:val="3"/>
                <w:sz w:val="17"/>
                <w:szCs w:val="17"/>
              </w:rPr>
              <w:t>物、五氯酚酸钠(以五氯酚计)、</w:t>
            </w:r>
            <w:r>
              <w:rPr>
                <w:spacing w:val="7"/>
                <w:sz w:val="17"/>
                <w:szCs w:val="17"/>
              </w:rPr>
              <w:t>磺胺类(总量)、土霉素/金霉素/四环素(组合含量)、氧氟沙星、诺氟沙星</w:t>
            </w:r>
          </w:p>
        </w:tc>
        <w:tc>
          <w:tcPr>
            <w:tcW w:w="1161" w:type="dxa"/>
            <w:vAlign w:val="top"/>
          </w:tcPr>
          <w:p w14:paraId="6BCF342C">
            <w:pPr>
              <w:rPr>
                <w:rFonts w:ascii="Arial"/>
                <w:sz w:val="21"/>
              </w:rPr>
            </w:pPr>
          </w:p>
        </w:tc>
      </w:tr>
      <w:tr w14:paraId="6A0F0D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6" w:hRule="atLeast"/>
        </w:trPr>
        <w:tc>
          <w:tcPr>
            <w:tcW w:w="619" w:type="dxa"/>
            <w:vMerge w:val="continue"/>
            <w:tcBorders>
              <w:top w:val="nil"/>
              <w:bottom w:val="nil"/>
            </w:tcBorders>
            <w:vAlign w:val="top"/>
          </w:tcPr>
          <w:p w14:paraId="239451E6">
            <w:pPr>
              <w:rPr>
                <w:rFonts w:ascii="Arial"/>
                <w:sz w:val="21"/>
              </w:rPr>
            </w:pPr>
          </w:p>
        </w:tc>
        <w:tc>
          <w:tcPr>
            <w:tcW w:w="1050" w:type="dxa"/>
            <w:vMerge w:val="continue"/>
            <w:tcBorders>
              <w:top w:val="nil"/>
              <w:bottom w:val="nil"/>
            </w:tcBorders>
            <w:vAlign w:val="top"/>
          </w:tcPr>
          <w:p w14:paraId="5812DBFC">
            <w:pPr>
              <w:rPr>
                <w:rFonts w:ascii="Arial"/>
                <w:sz w:val="21"/>
              </w:rPr>
            </w:pPr>
          </w:p>
        </w:tc>
        <w:tc>
          <w:tcPr>
            <w:tcW w:w="1080" w:type="dxa"/>
            <w:vAlign w:val="top"/>
          </w:tcPr>
          <w:p w14:paraId="2C9FB1A5">
            <w:pPr>
              <w:spacing w:line="329" w:lineRule="auto"/>
              <w:rPr>
                <w:rFonts w:ascii="Arial"/>
                <w:sz w:val="21"/>
              </w:rPr>
            </w:pPr>
          </w:p>
          <w:p w14:paraId="02660451">
            <w:pPr>
              <w:pStyle w:val="51"/>
              <w:spacing w:before="55" w:line="229" w:lineRule="auto"/>
              <w:ind w:left="188"/>
              <w:rPr>
                <w:sz w:val="17"/>
                <w:szCs w:val="17"/>
              </w:rPr>
            </w:pPr>
            <w:r>
              <w:rPr>
                <w:spacing w:val="6"/>
                <w:sz w:val="17"/>
                <w:szCs w:val="17"/>
              </w:rPr>
              <w:t>海水产品</w:t>
            </w:r>
          </w:p>
        </w:tc>
        <w:tc>
          <w:tcPr>
            <w:tcW w:w="1633" w:type="dxa"/>
            <w:vAlign w:val="top"/>
          </w:tcPr>
          <w:p w14:paraId="69C6E214">
            <w:pPr>
              <w:spacing w:line="329" w:lineRule="auto"/>
              <w:rPr>
                <w:rFonts w:ascii="Arial"/>
                <w:sz w:val="21"/>
              </w:rPr>
            </w:pPr>
          </w:p>
          <w:p w14:paraId="1D26A0AF">
            <w:pPr>
              <w:pStyle w:val="51"/>
              <w:spacing w:before="55" w:line="227" w:lineRule="auto"/>
              <w:ind w:left="654"/>
              <w:rPr>
                <w:sz w:val="17"/>
                <w:szCs w:val="17"/>
              </w:rPr>
            </w:pPr>
            <w:r>
              <w:rPr>
                <w:spacing w:val="5"/>
                <w:sz w:val="17"/>
                <w:szCs w:val="17"/>
              </w:rPr>
              <w:t>海水虾</w:t>
            </w:r>
          </w:p>
        </w:tc>
        <w:tc>
          <w:tcPr>
            <w:tcW w:w="3510" w:type="dxa"/>
            <w:vAlign w:val="top"/>
          </w:tcPr>
          <w:p w14:paraId="597C7C77">
            <w:pPr>
              <w:pStyle w:val="51"/>
              <w:spacing w:before="112" w:line="280" w:lineRule="auto"/>
              <w:ind w:left="37" w:hanging="6"/>
              <w:jc w:val="both"/>
              <w:rPr>
                <w:sz w:val="17"/>
                <w:szCs w:val="17"/>
              </w:rPr>
            </w:pPr>
            <w:r>
              <w:rPr>
                <w:spacing w:val="8"/>
                <w:sz w:val="17"/>
                <w:szCs w:val="17"/>
              </w:rPr>
              <w:t>镉(以</w:t>
            </w:r>
            <w:r>
              <w:rPr>
                <w:sz w:val="17"/>
                <w:szCs w:val="17"/>
              </w:rPr>
              <w:t>Cd</w:t>
            </w:r>
            <w:r>
              <w:rPr>
                <w:spacing w:val="8"/>
                <w:sz w:val="17"/>
                <w:szCs w:val="17"/>
              </w:rPr>
              <w:t>计)、恩诺沙星、土霉素/金霉素/</w:t>
            </w:r>
            <w:r>
              <w:rPr>
                <w:spacing w:val="2"/>
                <w:sz w:val="17"/>
                <w:szCs w:val="17"/>
              </w:rPr>
              <w:t>四环素</w:t>
            </w:r>
            <w:r>
              <w:rPr>
                <w:spacing w:val="29"/>
                <w:sz w:val="17"/>
                <w:szCs w:val="17"/>
              </w:rPr>
              <w:t xml:space="preserve">   </w:t>
            </w:r>
            <w:r>
              <w:rPr>
                <w:spacing w:val="2"/>
                <w:sz w:val="17"/>
                <w:szCs w:val="17"/>
              </w:rPr>
              <w:t>(组合含量)、二氧化硫残留量、</w:t>
            </w:r>
            <w:r>
              <w:rPr>
                <w:spacing w:val="5"/>
                <w:sz w:val="17"/>
                <w:szCs w:val="17"/>
              </w:rPr>
              <w:t>呋喃唑酮代谢物</w:t>
            </w:r>
          </w:p>
        </w:tc>
        <w:tc>
          <w:tcPr>
            <w:tcW w:w="6118" w:type="dxa"/>
            <w:vAlign w:val="top"/>
          </w:tcPr>
          <w:p w14:paraId="0BB7CB88">
            <w:pPr>
              <w:spacing w:line="317" w:lineRule="auto"/>
              <w:rPr>
                <w:rFonts w:ascii="Arial"/>
                <w:sz w:val="21"/>
              </w:rPr>
            </w:pPr>
          </w:p>
          <w:p w14:paraId="02B7F2BD">
            <w:pPr>
              <w:pStyle w:val="51"/>
              <w:spacing w:before="55" w:line="226" w:lineRule="auto"/>
              <w:ind w:left="32"/>
              <w:rPr>
                <w:sz w:val="17"/>
                <w:szCs w:val="17"/>
              </w:rPr>
            </w:pPr>
            <w:r>
              <w:rPr>
                <w:spacing w:val="8"/>
                <w:sz w:val="17"/>
                <w:szCs w:val="17"/>
              </w:rPr>
              <w:t>挥发性盐基氮、孔雀石绿、氯霉素、磺胺类(总量)、诺氟沙星</w:t>
            </w:r>
          </w:p>
        </w:tc>
        <w:tc>
          <w:tcPr>
            <w:tcW w:w="1161" w:type="dxa"/>
            <w:vAlign w:val="top"/>
          </w:tcPr>
          <w:p w14:paraId="3B1F489F">
            <w:pPr>
              <w:rPr>
                <w:rFonts w:ascii="Arial"/>
                <w:sz w:val="21"/>
              </w:rPr>
            </w:pPr>
          </w:p>
        </w:tc>
      </w:tr>
      <w:tr w14:paraId="70131C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87" w:hRule="atLeast"/>
        </w:trPr>
        <w:tc>
          <w:tcPr>
            <w:tcW w:w="619" w:type="dxa"/>
            <w:vMerge w:val="continue"/>
            <w:tcBorders>
              <w:top w:val="nil"/>
            </w:tcBorders>
            <w:vAlign w:val="top"/>
          </w:tcPr>
          <w:p w14:paraId="633ABAE2">
            <w:pPr>
              <w:rPr>
                <w:rFonts w:ascii="Arial"/>
                <w:sz w:val="21"/>
              </w:rPr>
            </w:pPr>
          </w:p>
        </w:tc>
        <w:tc>
          <w:tcPr>
            <w:tcW w:w="1050" w:type="dxa"/>
            <w:vMerge w:val="continue"/>
            <w:tcBorders>
              <w:top w:val="nil"/>
            </w:tcBorders>
            <w:vAlign w:val="top"/>
          </w:tcPr>
          <w:p w14:paraId="67ABD3DC">
            <w:pPr>
              <w:rPr>
                <w:rFonts w:ascii="Arial"/>
                <w:sz w:val="21"/>
              </w:rPr>
            </w:pPr>
          </w:p>
        </w:tc>
        <w:tc>
          <w:tcPr>
            <w:tcW w:w="1080" w:type="dxa"/>
            <w:vAlign w:val="top"/>
          </w:tcPr>
          <w:p w14:paraId="76F7C82D">
            <w:pPr>
              <w:spacing w:line="285" w:lineRule="auto"/>
              <w:rPr>
                <w:rFonts w:ascii="Arial"/>
                <w:sz w:val="21"/>
              </w:rPr>
            </w:pPr>
          </w:p>
          <w:p w14:paraId="6DA4E6EC">
            <w:pPr>
              <w:spacing w:line="286" w:lineRule="auto"/>
              <w:rPr>
                <w:rFonts w:ascii="Arial"/>
                <w:sz w:val="21"/>
              </w:rPr>
            </w:pPr>
          </w:p>
          <w:p w14:paraId="05283871">
            <w:pPr>
              <w:pStyle w:val="51"/>
              <w:spacing w:before="55" w:line="229" w:lineRule="auto"/>
              <w:ind w:left="188"/>
              <w:rPr>
                <w:sz w:val="17"/>
                <w:szCs w:val="17"/>
              </w:rPr>
            </w:pPr>
            <w:r>
              <w:rPr>
                <w:spacing w:val="6"/>
                <w:sz w:val="17"/>
                <w:szCs w:val="17"/>
              </w:rPr>
              <w:t>海水产品</w:t>
            </w:r>
          </w:p>
        </w:tc>
        <w:tc>
          <w:tcPr>
            <w:tcW w:w="1633" w:type="dxa"/>
            <w:vAlign w:val="top"/>
          </w:tcPr>
          <w:p w14:paraId="43621466">
            <w:pPr>
              <w:spacing w:line="285" w:lineRule="auto"/>
              <w:rPr>
                <w:rFonts w:ascii="Arial"/>
                <w:sz w:val="21"/>
              </w:rPr>
            </w:pPr>
          </w:p>
          <w:p w14:paraId="5FE9D88B">
            <w:pPr>
              <w:spacing w:line="286" w:lineRule="auto"/>
              <w:rPr>
                <w:rFonts w:ascii="Arial"/>
                <w:sz w:val="21"/>
              </w:rPr>
            </w:pPr>
          </w:p>
          <w:p w14:paraId="3466B904">
            <w:pPr>
              <w:pStyle w:val="51"/>
              <w:spacing w:before="55" w:line="229" w:lineRule="auto"/>
              <w:ind w:left="654"/>
              <w:rPr>
                <w:sz w:val="17"/>
                <w:szCs w:val="17"/>
              </w:rPr>
            </w:pPr>
            <w:r>
              <w:rPr>
                <w:spacing w:val="5"/>
                <w:sz w:val="17"/>
                <w:szCs w:val="17"/>
              </w:rPr>
              <w:t>海水鱼</w:t>
            </w:r>
          </w:p>
        </w:tc>
        <w:tc>
          <w:tcPr>
            <w:tcW w:w="3510" w:type="dxa"/>
            <w:vAlign w:val="top"/>
          </w:tcPr>
          <w:p w14:paraId="6DEB52C7">
            <w:pPr>
              <w:spacing w:line="285" w:lineRule="auto"/>
              <w:rPr>
                <w:rFonts w:ascii="Arial"/>
                <w:sz w:val="21"/>
              </w:rPr>
            </w:pPr>
          </w:p>
          <w:p w14:paraId="483AC1BA">
            <w:pPr>
              <w:spacing w:line="286" w:lineRule="auto"/>
              <w:rPr>
                <w:rFonts w:ascii="Arial"/>
                <w:sz w:val="21"/>
              </w:rPr>
            </w:pPr>
          </w:p>
          <w:p w14:paraId="208E1B25">
            <w:pPr>
              <w:pStyle w:val="51"/>
              <w:spacing w:before="56" w:line="225" w:lineRule="auto"/>
              <w:ind w:left="38"/>
              <w:rPr>
                <w:sz w:val="17"/>
                <w:szCs w:val="17"/>
              </w:rPr>
            </w:pPr>
            <w:r>
              <w:rPr>
                <w:spacing w:val="8"/>
                <w:sz w:val="17"/>
                <w:szCs w:val="17"/>
              </w:rPr>
              <w:t>恩诺沙星、呋喃唑酮代谢物、甲硝唑</w:t>
            </w:r>
          </w:p>
        </w:tc>
        <w:tc>
          <w:tcPr>
            <w:tcW w:w="6118" w:type="dxa"/>
            <w:vAlign w:val="top"/>
          </w:tcPr>
          <w:p w14:paraId="105A9B59">
            <w:pPr>
              <w:pStyle w:val="51"/>
              <w:spacing w:before="183" w:line="324" w:lineRule="auto"/>
              <w:ind w:left="31" w:right="16" w:firstLine="1"/>
              <w:jc w:val="both"/>
              <w:rPr>
                <w:sz w:val="17"/>
                <w:szCs w:val="17"/>
              </w:rPr>
            </w:pPr>
            <w:r>
              <w:rPr>
                <w:spacing w:val="8"/>
                <w:sz w:val="17"/>
                <w:szCs w:val="17"/>
              </w:rPr>
              <w:t>挥发性盐基氮、组胺、镉(以</w:t>
            </w:r>
            <w:r>
              <w:rPr>
                <w:sz w:val="17"/>
                <w:szCs w:val="17"/>
              </w:rPr>
              <w:t>Cd</w:t>
            </w:r>
            <w:r>
              <w:rPr>
                <w:spacing w:val="8"/>
                <w:sz w:val="17"/>
                <w:szCs w:val="17"/>
              </w:rPr>
              <w:t>计)、柠檬黄、孔雀石绿、氯霉  素、呋喃它酮</w:t>
            </w:r>
            <w:r>
              <w:rPr>
                <w:spacing w:val="10"/>
                <w:sz w:val="17"/>
                <w:szCs w:val="17"/>
              </w:rPr>
              <w:t>代谢物、呋喃西林代谢物、呋喃妥因代谢物、五氯 酚酸钠(以五氯酚计)、磺</w:t>
            </w:r>
            <w:r>
              <w:rPr>
                <w:spacing w:val="8"/>
                <w:sz w:val="17"/>
                <w:szCs w:val="17"/>
              </w:rPr>
              <w:t>胺类(总量)、土霉素/金霉素/四环素(组合含量)</w:t>
            </w:r>
            <w:r>
              <w:rPr>
                <w:spacing w:val="7"/>
                <w:sz w:val="17"/>
                <w:szCs w:val="17"/>
              </w:rPr>
              <w:t>、甲氧苄啶、氧氟沙星、培氟</w:t>
            </w:r>
            <w:r>
              <w:rPr>
                <w:spacing w:val="8"/>
                <w:sz w:val="17"/>
                <w:szCs w:val="17"/>
              </w:rPr>
              <w:t>沙星、诺氟沙星</w:t>
            </w:r>
          </w:p>
        </w:tc>
        <w:tc>
          <w:tcPr>
            <w:tcW w:w="1161" w:type="dxa"/>
            <w:vAlign w:val="top"/>
          </w:tcPr>
          <w:p w14:paraId="7102A075">
            <w:pPr>
              <w:rPr>
                <w:rFonts w:ascii="Arial"/>
                <w:sz w:val="21"/>
              </w:rPr>
            </w:pPr>
          </w:p>
        </w:tc>
      </w:tr>
    </w:tbl>
    <w:p w14:paraId="2A6B1131">
      <w:pPr>
        <w:rPr>
          <w:rFonts w:ascii="Arial"/>
          <w:sz w:val="21"/>
        </w:rPr>
      </w:pPr>
    </w:p>
    <w:p w14:paraId="376881FC">
      <w:pPr>
        <w:rPr>
          <w:rFonts w:ascii="Arial" w:hAnsi="Arial" w:eastAsia="Arial" w:cs="Arial"/>
          <w:sz w:val="21"/>
          <w:szCs w:val="21"/>
        </w:rPr>
        <w:sectPr>
          <w:pgSz w:w="16838" w:h="11906"/>
          <w:pgMar w:top="1011" w:right="645" w:bottom="400" w:left="363" w:header="567" w:footer="567" w:gutter="0"/>
          <w:pgNumType w:fmt="decimal"/>
          <w:cols w:space="720" w:num="1"/>
        </w:sectPr>
      </w:pPr>
    </w:p>
    <w:p w14:paraId="5F57BE04">
      <w:pPr>
        <w:spacing w:before="18"/>
      </w:pPr>
    </w:p>
    <w:p w14:paraId="4537F20F">
      <w:pPr>
        <w:spacing w:before="18"/>
      </w:pPr>
    </w:p>
    <w:tbl>
      <w:tblPr>
        <w:tblStyle w:val="50"/>
        <w:tblW w:w="15171" w:type="dxa"/>
        <w:tblInd w:w="65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19"/>
        <w:gridCol w:w="1050"/>
        <w:gridCol w:w="1080"/>
        <w:gridCol w:w="1829"/>
        <w:gridCol w:w="3314"/>
        <w:gridCol w:w="5889"/>
        <w:gridCol w:w="1390"/>
      </w:tblGrid>
      <w:tr w14:paraId="25655D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619" w:type="dxa"/>
            <w:vAlign w:val="top"/>
          </w:tcPr>
          <w:p w14:paraId="1393EEE8">
            <w:pPr>
              <w:spacing w:before="241" w:line="234" w:lineRule="auto"/>
              <w:ind w:left="133"/>
              <w:rPr>
                <w:rFonts w:ascii="黑体" w:hAnsi="黑体" w:eastAsia="黑体" w:cs="黑体"/>
                <w:sz w:val="17"/>
                <w:szCs w:val="17"/>
              </w:rPr>
            </w:pPr>
            <w:r>
              <w:rPr>
                <w:rFonts w:ascii="黑体" w:hAnsi="黑体" w:eastAsia="黑体" w:cs="黑体"/>
                <w:spacing w:val="6"/>
                <w:sz w:val="17"/>
                <w:szCs w:val="17"/>
              </w:rPr>
              <w:t>序号</w:t>
            </w:r>
          </w:p>
        </w:tc>
        <w:tc>
          <w:tcPr>
            <w:tcW w:w="1050" w:type="dxa"/>
            <w:vAlign w:val="top"/>
          </w:tcPr>
          <w:p w14:paraId="621D86F9">
            <w:pPr>
              <w:spacing w:before="90" w:line="232" w:lineRule="auto"/>
              <w:ind w:left="166"/>
              <w:rPr>
                <w:rFonts w:ascii="黑体" w:hAnsi="黑体" w:eastAsia="黑体" w:cs="黑体"/>
                <w:sz w:val="17"/>
                <w:szCs w:val="17"/>
              </w:rPr>
            </w:pPr>
            <w:r>
              <w:rPr>
                <w:rFonts w:ascii="黑体" w:hAnsi="黑体" w:eastAsia="黑体" w:cs="黑体"/>
                <w:spacing w:val="8"/>
                <w:sz w:val="17"/>
                <w:szCs w:val="17"/>
              </w:rPr>
              <w:t>食品亚类</w:t>
            </w:r>
          </w:p>
          <w:p w14:paraId="794FF34A">
            <w:pPr>
              <w:spacing w:before="86" w:line="227" w:lineRule="auto"/>
              <w:ind w:left="291"/>
              <w:rPr>
                <w:rFonts w:ascii="黑体" w:hAnsi="黑体" w:eastAsia="黑体" w:cs="黑体"/>
                <w:sz w:val="17"/>
                <w:szCs w:val="17"/>
              </w:rPr>
            </w:pPr>
            <w:r>
              <w:rPr>
                <w:rFonts w:ascii="黑体" w:hAnsi="黑体" w:eastAsia="黑体" w:cs="黑体"/>
                <w:spacing w:val="-4"/>
                <w:sz w:val="17"/>
                <w:szCs w:val="17"/>
              </w:rPr>
              <w:t>(二级)</w:t>
            </w:r>
          </w:p>
        </w:tc>
        <w:tc>
          <w:tcPr>
            <w:tcW w:w="1080" w:type="dxa"/>
            <w:vAlign w:val="top"/>
          </w:tcPr>
          <w:p w14:paraId="299C41EB">
            <w:pPr>
              <w:spacing w:before="90" w:line="232" w:lineRule="auto"/>
              <w:ind w:left="182"/>
              <w:rPr>
                <w:rFonts w:ascii="黑体" w:hAnsi="黑体" w:eastAsia="黑体" w:cs="黑体"/>
                <w:sz w:val="17"/>
                <w:szCs w:val="17"/>
              </w:rPr>
            </w:pPr>
            <w:r>
              <w:rPr>
                <w:rFonts w:ascii="黑体" w:hAnsi="黑体" w:eastAsia="黑体" w:cs="黑体"/>
                <w:spacing w:val="8"/>
                <w:sz w:val="17"/>
                <w:szCs w:val="17"/>
              </w:rPr>
              <w:t>食品品种</w:t>
            </w:r>
          </w:p>
          <w:p w14:paraId="7E39179E">
            <w:pPr>
              <w:spacing w:before="86" w:line="227" w:lineRule="auto"/>
              <w:ind w:left="307"/>
              <w:rPr>
                <w:rFonts w:ascii="黑体" w:hAnsi="黑体" w:eastAsia="黑体" w:cs="黑体"/>
                <w:sz w:val="17"/>
                <w:szCs w:val="17"/>
              </w:rPr>
            </w:pPr>
            <w:r>
              <w:rPr>
                <w:rFonts w:ascii="黑体" w:hAnsi="黑体" w:eastAsia="黑体" w:cs="黑体"/>
                <w:spacing w:val="-4"/>
                <w:sz w:val="17"/>
                <w:szCs w:val="17"/>
              </w:rPr>
              <w:t>(三级)</w:t>
            </w:r>
          </w:p>
        </w:tc>
        <w:tc>
          <w:tcPr>
            <w:tcW w:w="1829" w:type="dxa"/>
            <w:vAlign w:val="top"/>
          </w:tcPr>
          <w:p w14:paraId="6EB64CAA">
            <w:pPr>
              <w:spacing w:before="241" w:line="232" w:lineRule="auto"/>
              <w:ind w:left="287"/>
              <w:rPr>
                <w:rFonts w:ascii="黑体" w:hAnsi="黑体" w:eastAsia="黑体" w:cs="黑体"/>
                <w:sz w:val="17"/>
                <w:szCs w:val="17"/>
              </w:rPr>
            </w:pPr>
            <w:r>
              <w:rPr>
                <w:rFonts w:ascii="黑体" w:hAnsi="黑体" w:eastAsia="黑体" w:cs="黑体"/>
                <w:spacing w:val="7"/>
                <w:sz w:val="17"/>
                <w:szCs w:val="17"/>
              </w:rPr>
              <w:t>食品细类(四级)</w:t>
            </w:r>
          </w:p>
        </w:tc>
        <w:tc>
          <w:tcPr>
            <w:tcW w:w="3314" w:type="dxa"/>
            <w:vAlign w:val="top"/>
          </w:tcPr>
          <w:p w14:paraId="50D401FC">
            <w:pPr>
              <w:spacing w:before="240" w:line="233" w:lineRule="auto"/>
              <w:ind w:left="1300"/>
              <w:rPr>
                <w:rFonts w:ascii="黑体" w:hAnsi="黑体" w:eastAsia="黑体" w:cs="黑体"/>
                <w:sz w:val="17"/>
                <w:szCs w:val="17"/>
              </w:rPr>
            </w:pPr>
            <w:r>
              <w:rPr>
                <w:rFonts w:ascii="黑体" w:hAnsi="黑体" w:eastAsia="黑体" w:cs="黑体"/>
                <w:spacing w:val="8"/>
                <w:sz w:val="17"/>
                <w:szCs w:val="17"/>
              </w:rPr>
              <w:t>必检项目</w:t>
            </w:r>
          </w:p>
        </w:tc>
        <w:tc>
          <w:tcPr>
            <w:tcW w:w="5889" w:type="dxa"/>
            <w:vAlign w:val="top"/>
          </w:tcPr>
          <w:p w14:paraId="058D9FCE">
            <w:pPr>
              <w:spacing w:before="240" w:line="233" w:lineRule="auto"/>
              <w:ind w:left="2707"/>
              <w:rPr>
                <w:rFonts w:ascii="黑体" w:hAnsi="黑体" w:eastAsia="黑体" w:cs="黑体"/>
                <w:sz w:val="17"/>
                <w:szCs w:val="17"/>
              </w:rPr>
            </w:pPr>
            <w:r>
              <w:rPr>
                <w:rFonts w:ascii="黑体" w:hAnsi="黑体" w:eastAsia="黑体" w:cs="黑体"/>
                <w:spacing w:val="7"/>
                <w:sz w:val="17"/>
                <w:szCs w:val="17"/>
              </w:rPr>
              <w:t>可选项目</w:t>
            </w:r>
          </w:p>
        </w:tc>
        <w:tc>
          <w:tcPr>
            <w:tcW w:w="1390" w:type="dxa"/>
            <w:vAlign w:val="top"/>
          </w:tcPr>
          <w:p w14:paraId="4B135653">
            <w:pPr>
              <w:spacing w:before="240" w:line="233" w:lineRule="auto"/>
              <w:ind w:left="313"/>
              <w:rPr>
                <w:rFonts w:ascii="黑体" w:hAnsi="黑体" w:eastAsia="黑体" w:cs="黑体"/>
                <w:sz w:val="17"/>
                <w:szCs w:val="17"/>
              </w:rPr>
            </w:pPr>
            <w:r>
              <w:rPr>
                <w:rFonts w:ascii="黑体" w:hAnsi="黑体" w:eastAsia="黑体" w:cs="黑体"/>
                <w:spacing w:val="1"/>
                <w:sz w:val="17"/>
                <w:szCs w:val="17"/>
              </w:rPr>
              <w:t>备</w:t>
            </w:r>
            <w:r>
              <w:rPr>
                <w:rFonts w:ascii="黑体" w:hAnsi="黑体" w:eastAsia="黑体" w:cs="黑体"/>
                <w:spacing w:val="9"/>
                <w:sz w:val="17"/>
                <w:szCs w:val="17"/>
              </w:rPr>
              <w:t xml:space="preserve">  </w:t>
            </w:r>
            <w:r>
              <w:rPr>
                <w:rFonts w:ascii="黑体" w:hAnsi="黑体" w:eastAsia="黑体" w:cs="黑体"/>
                <w:spacing w:val="1"/>
                <w:sz w:val="17"/>
                <w:szCs w:val="17"/>
              </w:rPr>
              <w:t>注</w:t>
            </w:r>
          </w:p>
        </w:tc>
      </w:tr>
      <w:tr w14:paraId="5146FE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9" w:hRule="atLeast"/>
        </w:trPr>
        <w:tc>
          <w:tcPr>
            <w:tcW w:w="619" w:type="dxa"/>
            <w:vAlign w:val="top"/>
          </w:tcPr>
          <w:p w14:paraId="06D6BD9C">
            <w:pPr>
              <w:spacing w:line="259" w:lineRule="auto"/>
              <w:rPr>
                <w:rFonts w:ascii="Arial"/>
                <w:sz w:val="21"/>
              </w:rPr>
            </w:pPr>
          </w:p>
          <w:p w14:paraId="7228F072">
            <w:pPr>
              <w:spacing w:line="259" w:lineRule="auto"/>
              <w:rPr>
                <w:rFonts w:ascii="Arial"/>
                <w:sz w:val="21"/>
              </w:rPr>
            </w:pPr>
          </w:p>
          <w:p w14:paraId="44EF44D4">
            <w:pPr>
              <w:spacing w:line="259" w:lineRule="auto"/>
              <w:rPr>
                <w:rFonts w:ascii="Arial"/>
                <w:sz w:val="21"/>
              </w:rPr>
            </w:pPr>
          </w:p>
          <w:p w14:paraId="26FB93DE">
            <w:pPr>
              <w:pStyle w:val="51"/>
              <w:spacing w:before="55" w:line="228" w:lineRule="exact"/>
              <w:ind w:left="272"/>
              <w:rPr>
                <w:sz w:val="17"/>
                <w:szCs w:val="17"/>
              </w:rPr>
            </w:pPr>
            <w:r>
              <w:rPr>
                <w:position w:val="1"/>
                <w:sz w:val="17"/>
                <w:szCs w:val="17"/>
              </w:rPr>
              <w:t>3</w:t>
            </w:r>
          </w:p>
        </w:tc>
        <w:tc>
          <w:tcPr>
            <w:tcW w:w="1050" w:type="dxa"/>
            <w:vAlign w:val="top"/>
          </w:tcPr>
          <w:p w14:paraId="7A0852FD">
            <w:pPr>
              <w:spacing w:line="259" w:lineRule="auto"/>
              <w:rPr>
                <w:rFonts w:ascii="Arial"/>
                <w:sz w:val="21"/>
              </w:rPr>
            </w:pPr>
          </w:p>
          <w:p w14:paraId="35B87BAE">
            <w:pPr>
              <w:spacing w:line="259" w:lineRule="auto"/>
              <w:rPr>
                <w:rFonts w:ascii="Arial"/>
                <w:sz w:val="21"/>
              </w:rPr>
            </w:pPr>
          </w:p>
          <w:p w14:paraId="3B22CA30">
            <w:pPr>
              <w:spacing w:line="259" w:lineRule="auto"/>
              <w:rPr>
                <w:rFonts w:ascii="Arial"/>
                <w:sz w:val="21"/>
              </w:rPr>
            </w:pPr>
          </w:p>
          <w:p w14:paraId="093AFB23">
            <w:pPr>
              <w:pStyle w:val="51"/>
              <w:spacing w:before="55" w:line="229" w:lineRule="auto"/>
              <w:ind w:left="262"/>
              <w:rPr>
                <w:sz w:val="17"/>
                <w:szCs w:val="17"/>
              </w:rPr>
            </w:pPr>
            <w:r>
              <w:rPr>
                <w:spacing w:val="6"/>
                <w:sz w:val="17"/>
                <w:szCs w:val="17"/>
              </w:rPr>
              <w:t>水产品</w:t>
            </w:r>
          </w:p>
        </w:tc>
        <w:tc>
          <w:tcPr>
            <w:tcW w:w="1080" w:type="dxa"/>
            <w:vAlign w:val="top"/>
          </w:tcPr>
          <w:p w14:paraId="32FCFC3F">
            <w:pPr>
              <w:spacing w:line="259" w:lineRule="auto"/>
              <w:rPr>
                <w:rFonts w:ascii="Arial"/>
                <w:sz w:val="21"/>
              </w:rPr>
            </w:pPr>
          </w:p>
          <w:p w14:paraId="6F3C357A">
            <w:pPr>
              <w:spacing w:line="259" w:lineRule="auto"/>
              <w:rPr>
                <w:rFonts w:ascii="Arial"/>
                <w:sz w:val="21"/>
              </w:rPr>
            </w:pPr>
          </w:p>
          <w:p w14:paraId="003C0C98">
            <w:pPr>
              <w:spacing w:line="259" w:lineRule="auto"/>
              <w:rPr>
                <w:rFonts w:ascii="Arial"/>
                <w:sz w:val="21"/>
              </w:rPr>
            </w:pPr>
          </w:p>
          <w:p w14:paraId="30ED3B15">
            <w:pPr>
              <w:pStyle w:val="51"/>
              <w:spacing w:before="56" w:line="227" w:lineRule="auto"/>
              <w:ind w:left="99"/>
              <w:rPr>
                <w:sz w:val="17"/>
                <w:szCs w:val="17"/>
              </w:rPr>
            </w:pPr>
            <w:r>
              <w:rPr>
                <w:spacing w:val="7"/>
                <w:sz w:val="17"/>
                <w:szCs w:val="17"/>
              </w:rPr>
              <w:t>其他水产品</w:t>
            </w:r>
          </w:p>
        </w:tc>
        <w:tc>
          <w:tcPr>
            <w:tcW w:w="1829" w:type="dxa"/>
            <w:vAlign w:val="top"/>
          </w:tcPr>
          <w:p w14:paraId="32440021">
            <w:pPr>
              <w:spacing w:line="328" w:lineRule="auto"/>
              <w:rPr>
                <w:rFonts w:ascii="Arial"/>
                <w:sz w:val="21"/>
              </w:rPr>
            </w:pPr>
          </w:p>
          <w:p w14:paraId="48E8A376">
            <w:pPr>
              <w:pStyle w:val="51"/>
              <w:tabs>
                <w:tab w:val="left" w:pos="1823"/>
              </w:tabs>
              <w:spacing w:before="55" w:line="326" w:lineRule="auto"/>
              <w:ind w:left="32" w:firstLine="125"/>
              <w:jc w:val="both"/>
              <w:rPr>
                <w:sz w:val="17"/>
                <w:szCs w:val="17"/>
              </w:rPr>
            </w:pPr>
            <w:r>
              <w:rPr>
                <w:spacing w:val="1"/>
                <w:sz w:val="17"/>
                <w:szCs w:val="17"/>
              </w:rPr>
              <w:t>其他水产品</w:t>
            </w:r>
            <w:r>
              <w:rPr>
                <w:spacing w:val="-46"/>
                <w:sz w:val="17"/>
                <w:szCs w:val="17"/>
              </w:rPr>
              <w:t xml:space="preserve"> </w:t>
            </w:r>
            <w:r>
              <w:rPr>
                <w:spacing w:val="1"/>
                <w:sz w:val="17"/>
                <w:szCs w:val="17"/>
              </w:rPr>
              <w:t>(恩诺沙</w:t>
            </w:r>
            <w:r>
              <w:rPr>
                <w:spacing w:val="15"/>
                <w:sz w:val="17"/>
                <w:szCs w:val="17"/>
              </w:rPr>
              <w:t>星、氟苯尼考重点品</w:t>
            </w:r>
            <w:r>
              <w:rPr>
                <w:spacing w:val="-8"/>
                <w:sz w:val="17"/>
                <w:szCs w:val="17"/>
              </w:rPr>
              <w:t>种：牛蛙；镉重点品种：</w:t>
            </w:r>
          </w:p>
          <w:p w14:paraId="7CD1ED9B">
            <w:pPr>
              <w:pStyle w:val="51"/>
              <w:spacing w:line="229" w:lineRule="auto"/>
              <w:ind w:left="652"/>
              <w:rPr>
                <w:sz w:val="17"/>
                <w:szCs w:val="17"/>
              </w:rPr>
            </w:pPr>
            <w:r>
              <w:rPr>
                <w:spacing w:val="2"/>
                <w:sz w:val="17"/>
                <w:szCs w:val="17"/>
              </w:rPr>
              <w:t>鱿鱼</w:t>
            </w:r>
            <w:r>
              <w:rPr>
                <w:spacing w:val="11"/>
                <w:sz w:val="17"/>
                <w:szCs w:val="17"/>
              </w:rPr>
              <w:t xml:space="preserve"> </w:t>
            </w:r>
            <w:r>
              <w:rPr>
                <w:spacing w:val="2"/>
                <w:sz w:val="17"/>
                <w:szCs w:val="17"/>
              </w:rPr>
              <w:t>)</w:t>
            </w:r>
          </w:p>
        </w:tc>
        <w:tc>
          <w:tcPr>
            <w:tcW w:w="3314" w:type="dxa"/>
            <w:vAlign w:val="top"/>
          </w:tcPr>
          <w:p w14:paraId="2D2434B1">
            <w:pPr>
              <w:spacing w:line="307" w:lineRule="auto"/>
              <w:rPr>
                <w:rFonts w:ascii="Arial"/>
                <w:sz w:val="21"/>
              </w:rPr>
            </w:pPr>
          </w:p>
          <w:p w14:paraId="06DBB658">
            <w:pPr>
              <w:spacing w:line="307" w:lineRule="auto"/>
              <w:rPr>
                <w:rFonts w:ascii="Arial"/>
                <w:sz w:val="21"/>
              </w:rPr>
            </w:pPr>
          </w:p>
          <w:p w14:paraId="3CF1638A">
            <w:pPr>
              <w:pStyle w:val="51"/>
              <w:spacing w:before="55" w:line="325" w:lineRule="auto"/>
              <w:ind w:left="34" w:firstLine="4"/>
              <w:rPr>
                <w:sz w:val="8"/>
                <w:szCs w:val="8"/>
              </w:rPr>
            </w:pPr>
            <w:r>
              <w:rPr>
                <w:spacing w:val="3"/>
                <w:sz w:val="17"/>
                <w:szCs w:val="17"/>
              </w:rPr>
              <w:t>恩诺沙星</w:t>
            </w:r>
            <w:r>
              <w:rPr>
                <w:spacing w:val="3"/>
                <w:position w:val="8"/>
                <w:sz w:val="8"/>
                <w:szCs w:val="8"/>
              </w:rPr>
              <w:t>a</w:t>
            </w:r>
            <w:r>
              <w:rPr>
                <w:spacing w:val="2"/>
                <w:position w:val="8"/>
                <w:sz w:val="8"/>
                <w:szCs w:val="8"/>
              </w:rPr>
              <w:t xml:space="preserve"> </w:t>
            </w:r>
            <w:r>
              <w:rPr>
                <w:spacing w:val="3"/>
                <w:sz w:val="17"/>
                <w:szCs w:val="17"/>
              </w:rPr>
              <w:t>、氟苯尼考</w:t>
            </w:r>
            <w:r>
              <w:rPr>
                <w:spacing w:val="3"/>
                <w:position w:val="8"/>
                <w:sz w:val="8"/>
                <w:szCs w:val="8"/>
              </w:rPr>
              <w:t>a</w:t>
            </w:r>
            <w:r>
              <w:rPr>
                <w:spacing w:val="-13"/>
                <w:position w:val="8"/>
                <w:sz w:val="8"/>
                <w:szCs w:val="8"/>
              </w:rPr>
              <w:t xml:space="preserve"> </w:t>
            </w:r>
            <w:r>
              <w:rPr>
                <w:spacing w:val="3"/>
                <w:sz w:val="17"/>
                <w:szCs w:val="17"/>
              </w:rPr>
              <w:t>、呋喃唑酮代谢物、</w:t>
            </w:r>
            <w:r>
              <w:rPr>
                <w:spacing w:val="5"/>
                <w:sz w:val="17"/>
                <w:szCs w:val="17"/>
              </w:rPr>
              <w:t>氧氟沙星</w:t>
            </w:r>
            <w:r>
              <w:rPr>
                <w:spacing w:val="5"/>
                <w:position w:val="8"/>
                <w:sz w:val="8"/>
                <w:szCs w:val="8"/>
              </w:rPr>
              <w:t>a</w:t>
            </w:r>
            <w:r>
              <w:rPr>
                <w:spacing w:val="-13"/>
                <w:position w:val="8"/>
                <w:sz w:val="8"/>
                <w:szCs w:val="8"/>
              </w:rPr>
              <w:t xml:space="preserve"> </w:t>
            </w:r>
            <w:r>
              <w:rPr>
                <w:spacing w:val="5"/>
                <w:sz w:val="17"/>
                <w:szCs w:val="17"/>
              </w:rPr>
              <w:t>、镉(以</w:t>
            </w:r>
            <w:r>
              <w:rPr>
                <w:sz w:val="17"/>
                <w:szCs w:val="17"/>
              </w:rPr>
              <w:t>Cd</w:t>
            </w:r>
            <w:r>
              <w:rPr>
                <w:spacing w:val="5"/>
                <w:sz w:val="17"/>
                <w:szCs w:val="17"/>
              </w:rPr>
              <w:t xml:space="preserve"> 计)</w:t>
            </w:r>
            <w:r>
              <w:rPr>
                <w:spacing w:val="5"/>
                <w:position w:val="8"/>
                <w:sz w:val="8"/>
                <w:szCs w:val="8"/>
              </w:rPr>
              <w:t>b</w:t>
            </w:r>
          </w:p>
        </w:tc>
        <w:tc>
          <w:tcPr>
            <w:tcW w:w="5889" w:type="dxa"/>
            <w:vAlign w:val="top"/>
          </w:tcPr>
          <w:p w14:paraId="4B768670">
            <w:pPr>
              <w:spacing w:line="313" w:lineRule="auto"/>
              <w:rPr>
                <w:rFonts w:ascii="Arial"/>
                <w:sz w:val="21"/>
              </w:rPr>
            </w:pPr>
          </w:p>
          <w:p w14:paraId="631A7FC5">
            <w:pPr>
              <w:spacing w:line="314" w:lineRule="auto"/>
              <w:rPr>
                <w:rFonts w:ascii="Arial"/>
                <w:sz w:val="21"/>
              </w:rPr>
            </w:pPr>
          </w:p>
          <w:p w14:paraId="2F121D2C">
            <w:pPr>
              <w:pStyle w:val="51"/>
              <w:spacing w:before="55" w:line="325" w:lineRule="auto"/>
              <w:ind w:left="33" w:right="16" w:hanging="2"/>
              <w:rPr>
                <w:sz w:val="17"/>
                <w:szCs w:val="17"/>
              </w:rPr>
            </w:pPr>
            <w:r>
              <w:rPr>
                <w:spacing w:val="8"/>
                <w:sz w:val="17"/>
                <w:szCs w:val="17"/>
              </w:rPr>
              <w:t>孔雀石绿、氯霉素、呋喃西林代谢物、呋喃妥因代谢物、五氯酚 酸钠(以五氯酚计)、磺胺类(总量)、甲硝唑、氧氟沙星、诺氟沙星</w:t>
            </w:r>
          </w:p>
        </w:tc>
        <w:tc>
          <w:tcPr>
            <w:tcW w:w="1390" w:type="dxa"/>
            <w:vAlign w:val="top"/>
          </w:tcPr>
          <w:p w14:paraId="7F52306C">
            <w:pPr>
              <w:pStyle w:val="51"/>
              <w:spacing w:before="87" w:line="293" w:lineRule="auto"/>
              <w:ind w:left="32" w:right="54" w:hanging="4"/>
              <w:rPr>
                <w:sz w:val="17"/>
                <w:szCs w:val="17"/>
              </w:rPr>
            </w:pPr>
            <w:r>
              <w:rPr>
                <w:spacing w:val="7"/>
                <w:sz w:val="17"/>
                <w:szCs w:val="17"/>
              </w:rPr>
              <w:t>a.仅蛙科、鳖</w:t>
            </w:r>
            <w:r>
              <w:rPr>
                <w:spacing w:val="8"/>
                <w:sz w:val="17"/>
                <w:szCs w:val="17"/>
              </w:rPr>
              <w:t>科食品动物检</w:t>
            </w:r>
            <w:r>
              <w:rPr>
                <w:spacing w:val="-6"/>
                <w:sz w:val="17"/>
                <w:szCs w:val="17"/>
              </w:rPr>
              <w:t>测。</w:t>
            </w:r>
          </w:p>
          <w:p w14:paraId="24E5EFC3">
            <w:pPr>
              <w:pStyle w:val="51"/>
              <w:spacing w:before="90" w:line="292" w:lineRule="auto"/>
              <w:ind w:left="32" w:right="54" w:hanging="8"/>
              <w:rPr>
                <w:sz w:val="17"/>
                <w:szCs w:val="17"/>
              </w:rPr>
            </w:pPr>
            <w:r>
              <w:rPr>
                <w:spacing w:val="3"/>
                <w:sz w:val="17"/>
                <w:szCs w:val="17"/>
              </w:rPr>
              <w:t>b.限头足类、</w:t>
            </w:r>
            <w:r>
              <w:rPr>
                <w:spacing w:val="8"/>
                <w:sz w:val="17"/>
                <w:szCs w:val="17"/>
              </w:rPr>
              <w:t>腹足类、棘皮</w:t>
            </w:r>
            <w:r>
              <w:rPr>
                <w:spacing w:val="-1"/>
                <w:sz w:val="17"/>
                <w:szCs w:val="17"/>
              </w:rPr>
              <w:t>类检测。</w:t>
            </w:r>
          </w:p>
        </w:tc>
      </w:tr>
      <w:tr w14:paraId="443BD1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619" w:type="dxa"/>
            <w:vMerge w:val="restart"/>
            <w:tcBorders>
              <w:bottom w:val="nil"/>
            </w:tcBorders>
            <w:vAlign w:val="top"/>
          </w:tcPr>
          <w:p w14:paraId="2664B57A">
            <w:pPr>
              <w:spacing w:line="261" w:lineRule="auto"/>
              <w:rPr>
                <w:rFonts w:ascii="Arial"/>
                <w:sz w:val="21"/>
              </w:rPr>
            </w:pPr>
          </w:p>
          <w:p w14:paraId="0DB248C3">
            <w:pPr>
              <w:spacing w:line="261" w:lineRule="auto"/>
              <w:rPr>
                <w:rFonts w:ascii="Arial"/>
                <w:sz w:val="21"/>
              </w:rPr>
            </w:pPr>
          </w:p>
          <w:p w14:paraId="53A97850">
            <w:pPr>
              <w:spacing w:line="261" w:lineRule="auto"/>
              <w:rPr>
                <w:rFonts w:ascii="Arial"/>
                <w:sz w:val="21"/>
              </w:rPr>
            </w:pPr>
          </w:p>
          <w:p w14:paraId="4487F238">
            <w:pPr>
              <w:spacing w:line="261" w:lineRule="auto"/>
              <w:rPr>
                <w:rFonts w:ascii="Arial"/>
                <w:sz w:val="21"/>
              </w:rPr>
            </w:pPr>
          </w:p>
          <w:p w14:paraId="0482C8FE">
            <w:pPr>
              <w:spacing w:line="261" w:lineRule="auto"/>
              <w:rPr>
                <w:rFonts w:ascii="Arial"/>
                <w:sz w:val="21"/>
              </w:rPr>
            </w:pPr>
          </w:p>
          <w:p w14:paraId="49A8E31D">
            <w:pPr>
              <w:spacing w:line="261" w:lineRule="auto"/>
              <w:rPr>
                <w:rFonts w:ascii="Arial"/>
                <w:sz w:val="21"/>
              </w:rPr>
            </w:pPr>
          </w:p>
          <w:p w14:paraId="719DE2F8">
            <w:pPr>
              <w:spacing w:line="261" w:lineRule="auto"/>
              <w:rPr>
                <w:rFonts w:ascii="Arial"/>
                <w:sz w:val="21"/>
              </w:rPr>
            </w:pPr>
          </w:p>
          <w:p w14:paraId="702F7045">
            <w:pPr>
              <w:spacing w:line="261" w:lineRule="auto"/>
              <w:rPr>
                <w:rFonts w:ascii="Arial"/>
                <w:sz w:val="21"/>
              </w:rPr>
            </w:pPr>
          </w:p>
          <w:p w14:paraId="0AE969B8">
            <w:pPr>
              <w:spacing w:line="261" w:lineRule="auto"/>
              <w:rPr>
                <w:rFonts w:ascii="Arial"/>
                <w:sz w:val="21"/>
              </w:rPr>
            </w:pPr>
          </w:p>
          <w:p w14:paraId="0ED2613D">
            <w:pPr>
              <w:spacing w:line="261" w:lineRule="auto"/>
              <w:rPr>
                <w:rFonts w:ascii="Arial"/>
                <w:sz w:val="21"/>
              </w:rPr>
            </w:pPr>
          </w:p>
          <w:p w14:paraId="6FB05F89">
            <w:pPr>
              <w:spacing w:line="262" w:lineRule="auto"/>
              <w:rPr>
                <w:rFonts w:ascii="Arial"/>
                <w:sz w:val="21"/>
              </w:rPr>
            </w:pPr>
          </w:p>
          <w:p w14:paraId="74FE1E70">
            <w:pPr>
              <w:pStyle w:val="51"/>
              <w:spacing w:before="55" w:line="229" w:lineRule="exact"/>
              <w:ind w:left="268"/>
              <w:rPr>
                <w:sz w:val="17"/>
                <w:szCs w:val="17"/>
              </w:rPr>
            </w:pPr>
            <w:r>
              <w:rPr>
                <w:position w:val="1"/>
                <w:sz w:val="17"/>
                <w:szCs w:val="17"/>
              </w:rPr>
              <w:t>4</w:t>
            </w:r>
          </w:p>
        </w:tc>
        <w:tc>
          <w:tcPr>
            <w:tcW w:w="1050" w:type="dxa"/>
            <w:vMerge w:val="restart"/>
            <w:tcBorders>
              <w:bottom w:val="nil"/>
            </w:tcBorders>
            <w:vAlign w:val="top"/>
          </w:tcPr>
          <w:p w14:paraId="42448047">
            <w:pPr>
              <w:spacing w:line="261" w:lineRule="auto"/>
              <w:rPr>
                <w:rFonts w:ascii="Arial"/>
                <w:sz w:val="21"/>
              </w:rPr>
            </w:pPr>
          </w:p>
          <w:p w14:paraId="0269C35A">
            <w:pPr>
              <w:spacing w:line="261" w:lineRule="auto"/>
              <w:rPr>
                <w:rFonts w:ascii="Arial"/>
                <w:sz w:val="21"/>
              </w:rPr>
            </w:pPr>
          </w:p>
          <w:p w14:paraId="65DAAAE8">
            <w:pPr>
              <w:spacing w:line="261" w:lineRule="auto"/>
              <w:rPr>
                <w:rFonts w:ascii="Arial"/>
                <w:sz w:val="21"/>
              </w:rPr>
            </w:pPr>
          </w:p>
          <w:p w14:paraId="75447E2C">
            <w:pPr>
              <w:spacing w:line="261" w:lineRule="auto"/>
              <w:rPr>
                <w:rFonts w:ascii="Arial"/>
                <w:sz w:val="21"/>
              </w:rPr>
            </w:pPr>
          </w:p>
          <w:p w14:paraId="13CB200A">
            <w:pPr>
              <w:spacing w:line="261" w:lineRule="auto"/>
              <w:rPr>
                <w:rFonts w:ascii="Arial"/>
                <w:sz w:val="21"/>
              </w:rPr>
            </w:pPr>
          </w:p>
          <w:p w14:paraId="6E7419EA">
            <w:pPr>
              <w:spacing w:line="261" w:lineRule="auto"/>
              <w:rPr>
                <w:rFonts w:ascii="Arial"/>
                <w:sz w:val="21"/>
              </w:rPr>
            </w:pPr>
          </w:p>
          <w:p w14:paraId="41CA234E">
            <w:pPr>
              <w:spacing w:line="261" w:lineRule="auto"/>
              <w:rPr>
                <w:rFonts w:ascii="Arial"/>
                <w:sz w:val="21"/>
              </w:rPr>
            </w:pPr>
          </w:p>
          <w:p w14:paraId="1983BDDC">
            <w:pPr>
              <w:spacing w:line="261" w:lineRule="auto"/>
              <w:rPr>
                <w:rFonts w:ascii="Arial"/>
                <w:sz w:val="21"/>
              </w:rPr>
            </w:pPr>
          </w:p>
          <w:p w14:paraId="311F5203">
            <w:pPr>
              <w:spacing w:line="261" w:lineRule="auto"/>
              <w:rPr>
                <w:rFonts w:ascii="Arial"/>
                <w:sz w:val="21"/>
              </w:rPr>
            </w:pPr>
          </w:p>
          <w:p w14:paraId="5F891D5C">
            <w:pPr>
              <w:spacing w:line="261" w:lineRule="auto"/>
              <w:rPr>
                <w:rFonts w:ascii="Arial"/>
                <w:sz w:val="21"/>
              </w:rPr>
            </w:pPr>
          </w:p>
          <w:p w14:paraId="54584D0E">
            <w:pPr>
              <w:spacing w:line="262" w:lineRule="auto"/>
              <w:rPr>
                <w:rFonts w:ascii="Arial"/>
                <w:sz w:val="21"/>
              </w:rPr>
            </w:pPr>
          </w:p>
          <w:p w14:paraId="6DDDC448">
            <w:pPr>
              <w:pStyle w:val="51"/>
              <w:spacing w:before="55" w:line="228" w:lineRule="auto"/>
              <w:ind w:left="262"/>
              <w:rPr>
                <w:sz w:val="17"/>
                <w:szCs w:val="17"/>
              </w:rPr>
            </w:pPr>
            <w:r>
              <w:rPr>
                <w:spacing w:val="6"/>
                <w:sz w:val="17"/>
                <w:szCs w:val="17"/>
              </w:rPr>
              <w:t>水果类</w:t>
            </w:r>
          </w:p>
        </w:tc>
        <w:tc>
          <w:tcPr>
            <w:tcW w:w="1080" w:type="dxa"/>
            <w:vMerge w:val="restart"/>
            <w:tcBorders>
              <w:bottom w:val="nil"/>
            </w:tcBorders>
            <w:vAlign w:val="top"/>
          </w:tcPr>
          <w:p w14:paraId="4750EB8F">
            <w:pPr>
              <w:spacing w:line="316" w:lineRule="auto"/>
              <w:rPr>
                <w:rFonts w:ascii="Arial"/>
                <w:sz w:val="21"/>
              </w:rPr>
            </w:pPr>
          </w:p>
          <w:p w14:paraId="7FB349A4">
            <w:pPr>
              <w:spacing w:line="316" w:lineRule="auto"/>
              <w:rPr>
                <w:rFonts w:ascii="Arial"/>
                <w:sz w:val="21"/>
              </w:rPr>
            </w:pPr>
          </w:p>
          <w:p w14:paraId="107BEECE">
            <w:pPr>
              <w:pStyle w:val="51"/>
              <w:spacing w:before="55" w:line="228" w:lineRule="auto"/>
              <w:ind w:left="97"/>
              <w:rPr>
                <w:sz w:val="17"/>
                <w:szCs w:val="17"/>
              </w:rPr>
            </w:pPr>
            <w:r>
              <w:rPr>
                <w:spacing w:val="7"/>
                <w:sz w:val="17"/>
                <w:szCs w:val="17"/>
              </w:rPr>
              <w:t>柑橘类水果</w:t>
            </w:r>
          </w:p>
        </w:tc>
        <w:tc>
          <w:tcPr>
            <w:tcW w:w="1829" w:type="dxa"/>
            <w:vAlign w:val="top"/>
          </w:tcPr>
          <w:p w14:paraId="1F96AAB1">
            <w:pPr>
              <w:pStyle w:val="51"/>
              <w:spacing w:before="237" w:line="229" w:lineRule="auto"/>
              <w:ind w:left="832"/>
              <w:rPr>
                <w:sz w:val="17"/>
                <w:szCs w:val="17"/>
              </w:rPr>
            </w:pPr>
            <w:r>
              <w:rPr>
                <w:sz w:val="17"/>
                <w:szCs w:val="17"/>
              </w:rPr>
              <w:t>橙</w:t>
            </w:r>
          </w:p>
        </w:tc>
        <w:tc>
          <w:tcPr>
            <w:tcW w:w="3314" w:type="dxa"/>
            <w:vAlign w:val="top"/>
          </w:tcPr>
          <w:p w14:paraId="7BD451C8">
            <w:pPr>
              <w:pStyle w:val="51"/>
              <w:spacing w:before="86" w:line="276" w:lineRule="auto"/>
              <w:ind w:left="27" w:firstLine="6"/>
              <w:rPr>
                <w:sz w:val="17"/>
                <w:szCs w:val="17"/>
              </w:rPr>
            </w:pPr>
            <w:r>
              <w:rPr>
                <w:spacing w:val="2"/>
                <w:sz w:val="17"/>
                <w:szCs w:val="17"/>
              </w:rPr>
              <w:t>氯唑磷、联苯菊酯、苯醚甲环唑、丙溴磷、</w:t>
            </w:r>
            <w:r>
              <w:rPr>
                <w:spacing w:val="5"/>
                <w:sz w:val="17"/>
                <w:szCs w:val="17"/>
              </w:rPr>
              <w:t xml:space="preserve"> </w:t>
            </w:r>
            <w:r>
              <w:rPr>
                <w:spacing w:val="4"/>
                <w:sz w:val="17"/>
                <w:szCs w:val="17"/>
              </w:rPr>
              <w:t>2,4-滴和2,4-滴钠盐</w:t>
            </w:r>
          </w:p>
        </w:tc>
        <w:tc>
          <w:tcPr>
            <w:tcW w:w="5889" w:type="dxa"/>
            <w:vAlign w:val="top"/>
          </w:tcPr>
          <w:p w14:paraId="39454205">
            <w:pPr>
              <w:pStyle w:val="51"/>
              <w:spacing w:before="86" w:line="276" w:lineRule="auto"/>
              <w:ind w:left="34" w:right="18" w:firstLine="1"/>
              <w:rPr>
                <w:sz w:val="17"/>
                <w:szCs w:val="17"/>
              </w:rPr>
            </w:pPr>
            <w:r>
              <w:rPr>
                <w:spacing w:val="11"/>
                <w:sz w:val="17"/>
                <w:szCs w:val="17"/>
              </w:rPr>
              <w:t>克百威、三唑磷、杀扑磷、水胺硫磷、氧乐果、</w:t>
            </w:r>
            <w:r>
              <w:rPr>
                <w:spacing w:val="10"/>
                <w:sz w:val="17"/>
                <w:szCs w:val="17"/>
              </w:rPr>
              <w:t>敌敌畏、氯氟氰 菊酯和高效</w:t>
            </w:r>
            <w:r>
              <w:rPr>
                <w:spacing w:val="8"/>
                <w:sz w:val="17"/>
                <w:szCs w:val="17"/>
              </w:rPr>
              <w:t>氯氟氰菊酯、乙酰甲胺磷</w:t>
            </w:r>
          </w:p>
        </w:tc>
        <w:tc>
          <w:tcPr>
            <w:tcW w:w="1390" w:type="dxa"/>
            <w:vAlign w:val="top"/>
          </w:tcPr>
          <w:p w14:paraId="6BF1B716">
            <w:pPr>
              <w:rPr>
                <w:rFonts w:ascii="Arial"/>
                <w:sz w:val="21"/>
              </w:rPr>
            </w:pPr>
          </w:p>
        </w:tc>
      </w:tr>
      <w:tr w14:paraId="6E3E7E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4" w:hRule="atLeast"/>
        </w:trPr>
        <w:tc>
          <w:tcPr>
            <w:tcW w:w="619" w:type="dxa"/>
            <w:vMerge w:val="continue"/>
            <w:tcBorders>
              <w:top w:val="nil"/>
              <w:bottom w:val="nil"/>
            </w:tcBorders>
            <w:vAlign w:val="top"/>
          </w:tcPr>
          <w:p w14:paraId="0C3A9DCF">
            <w:pPr>
              <w:rPr>
                <w:rFonts w:ascii="Arial"/>
                <w:sz w:val="21"/>
              </w:rPr>
            </w:pPr>
          </w:p>
        </w:tc>
        <w:tc>
          <w:tcPr>
            <w:tcW w:w="1050" w:type="dxa"/>
            <w:vMerge w:val="continue"/>
            <w:tcBorders>
              <w:top w:val="nil"/>
              <w:bottom w:val="nil"/>
            </w:tcBorders>
            <w:vAlign w:val="top"/>
          </w:tcPr>
          <w:p w14:paraId="47CBCB46">
            <w:pPr>
              <w:rPr>
                <w:rFonts w:ascii="Arial"/>
                <w:sz w:val="21"/>
              </w:rPr>
            </w:pPr>
          </w:p>
        </w:tc>
        <w:tc>
          <w:tcPr>
            <w:tcW w:w="1080" w:type="dxa"/>
            <w:vMerge w:val="continue"/>
            <w:tcBorders>
              <w:top w:val="nil"/>
            </w:tcBorders>
            <w:vAlign w:val="top"/>
          </w:tcPr>
          <w:p w14:paraId="51F7909D">
            <w:pPr>
              <w:rPr>
                <w:rFonts w:ascii="Arial"/>
                <w:sz w:val="21"/>
              </w:rPr>
            </w:pPr>
          </w:p>
        </w:tc>
        <w:tc>
          <w:tcPr>
            <w:tcW w:w="1829" w:type="dxa"/>
            <w:vAlign w:val="top"/>
          </w:tcPr>
          <w:p w14:paraId="1CC99909">
            <w:pPr>
              <w:spacing w:line="331" w:lineRule="auto"/>
              <w:rPr>
                <w:rFonts w:ascii="Arial"/>
                <w:sz w:val="21"/>
              </w:rPr>
            </w:pPr>
          </w:p>
          <w:p w14:paraId="7AE4A530">
            <w:pPr>
              <w:pStyle w:val="51"/>
              <w:spacing w:before="55" w:line="228" w:lineRule="auto"/>
              <w:ind w:left="652"/>
              <w:rPr>
                <w:sz w:val="17"/>
                <w:szCs w:val="17"/>
              </w:rPr>
            </w:pPr>
            <w:r>
              <w:rPr>
                <w:spacing w:val="6"/>
                <w:sz w:val="17"/>
                <w:szCs w:val="17"/>
              </w:rPr>
              <w:t>柑、橘</w:t>
            </w:r>
          </w:p>
        </w:tc>
        <w:tc>
          <w:tcPr>
            <w:tcW w:w="3314" w:type="dxa"/>
            <w:vAlign w:val="top"/>
          </w:tcPr>
          <w:p w14:paraId="5B091EF2">
            <w:pPr>
              <w:pStyle w:val="51"/>
              <w:spacing w:before="90" w:line="291" w:lineRule="auto"/>
              <w:ind w:left="30" w:right="19" w:hanging="1"/>
              <w:jc w:val="both"/>
              <w:rPr>
                <w:sz w:val="17"/>
                <w:szCs w:val="17"/>
              </w:rPr>
            </w:pPr>
            <w:r>
              <w:rPr>
                <w:spacing w:val="9"/>
                <w:sz w:val="17"/>
                <w:szCs w:val="17"/>
              </w:rPr>
              <w:t>联苯菊酯、苯醚甲环唑、丙溴磷、2,4-滴和2,4-滴钠盐、氯氟氰菊酯和高效氯氟氰</w:t>
            </w:r>
            <w:r>
              <w:rPr>
                <w:spacing w:val="8"/>
                <w:sz w:val="17"/>
                <w:szCs w:val="17"/>
              </w:rPr>
              <w:t>菊酯、三唑磷</w:t>
            </w:r>
          </w:p>
        </w:tc>
        <w:tc>
          <w:tcPr>
            <w:tcW w:w="5889" w:type="dxa"/>
            <w:vAlign w:val="top"/>
          </w:tcPr>
          <w:p w14:paraId="5C85CA72">
            <w:pPr>
              <w:pStyle w:val="51"/>
              <w:spacing w:before="237" w:line="324" w:lineRule="auto"/>
              <w:ind w:left="29" w:right="52" w:firstLine="7"/>
              <w:rPr>
                <w:sz w:val="17"/>
                <w:szCs w:val="17"/>
              </w:rPr>
            </w:pPr>
            <w:r>
              <w:rPr>
                <w:spacing w:val="10"/>
                <w:sz w:val="17"/>
                <w:szCs w:val="17"/>
              </w:rPr>
              <w:t>克百威、氯唑磷、水胺硫磷、氧乐果、甲拌磷、</w:t>
            </w:r>
            <w:r>
              <w:rPr>
                <w:spacing w:val="9"/>
                <w:sz w:val="17"/>
                <w:szCs w:val="17"/>
              </w:rPr>
              <w:t>狄氏剂、杀扑磷 、敌敌畏、</w:t>
            </w:r>
            <w:r>
              <w:rPr>
                <w:spacing w:val="7"/>
                <w:sz w:val="17"/>
                <w:szCs w:val="17"/>
              </w:rPr>
              <w:t>联苯肼酯</w:t>
            </w:r>
          </w:p>
        </w:tc>
        <w:tc>
          <w:tcPr>
            <w:tcW w:w="1390" w:type="dxa"/>
            <w:vAlign w:val="top"/>
          </w:tcPr>
          <w:p w14:paraId="5702270A">
            <w:pPr>
              <w:rPr>
                <w:rFonts w:ascii="Arial"/>
                <w:sz w:val="21"/>
              </w:rPr>
            </w:pPr>
          </w:p>
        </w:tc>
      </w:tr>
      <w:tr w14:paraId="5E52E5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619" w:type="dxa"/>
            <w:vMerge w:val="continue"/>
            <w:tcBorders>
              <w:top w:val="nil"/>
              <w:bottom w:val="nil"/>
            </w:tcBorders>
            <w:vAlign w:val="top"/>
          </w:tcPr>
          <w:p w14:paraId="6E5EB1BC">
            <w:pPr>
              <w:rPr>
                <w:rFonts w:ascii="Arial"/>
                <w:sz w:val="21"/>
              </w:rPr>
            </w:pPr>
          </w:p>
        </w:tc>
        <w:tc>
          <w:tcPr>
            <w:tcW w:w="1050" w:type="dxa"/>
            <w:vMerge w:val="continue"/>
            <w:tcBorders>
              <w:top w:val="nil"/>
              <w:bottom w:val="nil"/>
            </w:tcBorders>
            <w:vAlign w:val="top"/>
          </w:tcPr>
          <w:p w14:paraId="6B4CA327">
            <w:pPr>
              <w:rPr>
                <w:rFonts w:ascii="Arial"/>
                <w:sz w:val="21"/>
              </w:rPr>
            </w:pPr>
          </w:p>
        </w:tc>
        <w:tc>
          <w:tcPr>
            <w:tcW w:w="1080" w:type="dxa"/>
            <w:vAlign w:val="top"/>
          </w:tcPr>
          <w:p w14:paraId="3751A736">
            <w:pPr>
              <w:pStyle w:val="51"/>
              <w:spacing w:before="221" w:line="228" w:lineRule="auto"/>
              <w:ind w:left="97"/>
              <w:rPr>
                <w:sz w:val="17"/>
                <w:szCs w:val="17"/>
              </w:rPr>
            </w:pPr>
            <w:r>
              <w:rPr>
                <w:spacing w:val="7"/>
                <w:sz w:val="17"/>
                <w:szCs w:val="17"/>
              </w:rPr>
              <w:t>核果类水果</w:t>
            </w:r>
          </w:p>
        </w:tc>
        <w:tc>
          <w:tcPr>
            <w:tcW w:w="1829" w:type="dxa"/>
            <w:vAlign w:val="top"/>
          </w:tcPr>
          <w:p w14:paraId="7C41527A">
            <w:pPr>
              <w:pStyle w:val="51"/>
              <w:spacing w:before="221" w:line="229" w:lineRule="auto"/>
              <w:ind w:left="745"/>
              <w:rPr>
                <w:sz w:val="17"/>
                <w:szCs w:val="17"/>
              </w:rPr>
            </w:pPr>
            <w:r>
              <w:rPr>
                <w:spacing w:val="1"/>
                <w:sz w:val="17"/>
                <w:szCs w:val="17"/>
              </w:rPr>
              <w:t>油桃</w:t>
            </w:r>
          </w:p>
        </w:tc>
        <w:tc>
          <w:tcPr>
            <w:tcW w:w="3314" w:type="dxa"/>
            <w:vAlign w:val="top"/>
          </w:tcPr>
          <w:p w14:paraId="3F188629">
            <w:pPr>
              <w:pStyle w:val="51"/>
              <w:spacing w:before="221" w:line="226" w:lineRule="auto"/>
              <w:ind w:left="40"/>
              <w:rPr>
                <w:sz w:val="17"/>
                <w:szCs w:val="17"/>
              </w:rPr>
            </w:pPr>
            <w:r>
              <w:rPr>
                <w:spacing w:val="6"/>
                <w:sz w:val="17"/>
                <w:szCs w:val="17"/>
              </w:rPr>
              <w:t>噻虫胺、克百威</w:t>
            </w:r>
          </w:p>
        </w:tc>
        <w:tc>
          <w:tcPr>
            <w:tcW w:w="5889" w:type="dxa"/>
            <w:vAlign w:val="top"/>
          </w:tcPr>
          <w:p w14:paraId="1E8E776E">
            <w:pPr>
              <w:pStyle w:val="51"/>
              <w:spacing w:before="221" w:line="223" w:lineRule="auto"/>
              <w:ind w:left="55"/>
              <w:rPr>
                <w:sz w:val="17"/>
                <w:szCs w:val="17"/>
              </w:rPr>
            </w:pPr>
            <w:r>
              <w:rPr>
                <w:spacing w:val="7"/>
                <w:sz w:val="17"/>
                <w:szCs w:val="17"/>
              </w:rPr>
              <w:t>甲胺磷、氧乐果、敌敌畏、苯醚甲环唑</w:t>
            </w:r>
          </w:p>
        </w:tc>
        <w:tc>
          <w:tcPr>
            <w:tcW w:w="1390" w:type="dxa"/>
            <w:vAlign w:val="top"/>
          </w:tcPr>
          <w:p w14:paraId="54CACBA1">
            <w:pPr>
              <w:rPr>
                <w:rFonts w:ascii="Arial"/>
                <w:sz w:val="21"/>
              </w:rPr>
            </w:pPr>
          </w:p>
        </w:tc>
      </w:tr>
      <w:tr w14:paraId="51DA07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4" w:hRule="atLeast"/>
        </w:trPr>
        <w:tc>
          <w:tcPr>
            <w:tcW w:w="619" w:type="dxa"/>
            <w:vMerge w:val="continue"/>
            <w:tcBorders>
              <w:top w:val="nil"/>
              <w:bottom w:val="nil"/>
            </w:tcBorders>
            <w:vAlign w:val="top"/>
          </w:tcPr>
          <w:p w14:paraId="0F598545">
            <w:pPr>
              <w:rPr>
                <w:rFonts w:ascii="Arial"/>
                <w:sz w:val="21"/>
              </w:rPr>
            </w:pPr>
          </w:p>
        </w:tc>
        <w:tc>
          <w:tcPr>
            <w:tcW w:w="1050" w:type="dxa"/>
            <w:vMerge w:val="continue"/>
            <w:tcBorders>
              <w:top w:val="nil"/>
              <w:bottom w:val="nil"/>
            </w:tcBorders>
            <w:vAlign w:val="top"/>
          </w:tcPr>
          <w:p w14:paraId="44173B2A">
            <w:pPr>
              <w:rPr>
                <w:rFonts w:ascii="Arial"/>
                <w:sz w:val="21"/>
              </w:rPr>
            </w:pPr>
          </w:p>
        </w:tc>
        <w:tc>
          <w:tcPr>
            <w:tcW w:w="1080" w:type="dxa"/>
            <w:vAlign w:val="top"/>
          </w:tcPr>
          <w:p w14:paraId="21739AEC">
            <w:pPr>
              <w:pStyle w:val="51"/>
              <w:spacing w:before="240" w:line="326" w:lineRule="auto"/>
              <w:ind w:left="187" w:right="88" w:hanging="88"/>
              <w:rPr>
                <w:sz w:val="17"/>
                <w:szCs w:val="17"/>
              </w:rPr>
            </w:pPr>
            <w:r>
              <w:rPr>
                <w:spacing w:val="7"/>
                <w:sz w:val="17"/>
                <w:szCs w:val="17"/>
              </w:rPr>
              <w:t>浆果和其他小型水果</w:t>
            </w:r>
          </w:p>
        </w:tc>
        <w:tc>
          <w:tcPr>
            <w:tcW w:w="1829" w:type="dxa"/>
            <w:vAlign w:val="top"/>
          </w:tcPr>
          <w:p w14:paraId="69484E77">
            <w:pPr>
              <w:spacing w:line="331" w:lineRule="auto"/>
              <w:rPr>
                <w:rFonts w:ascii="Arial"/>
                <w:sz w:val="21"/>
              </w:rPr>
            </w:pPr>
          </w:p>
          <w:p w14:paraId="5D362D54">
            <w:pPr>
              <w:pStyle w:val="51"/>
              <w:spacing w:before="55" w:line="228" w:lineRule="auto"/>
              <w:ind w:left="747"/>
              <w:rPr>
                <w:sz w:val="17"/>
                <w:szCs w:val="17"/>
              </w:rPr>
            </w:pPr>
            <w:r>
              <w:rPr>
                <w:spacing w:val="1"/>
                <w:sz w:val="17"/>
                <w:szCs w:val="17"/>
              </w:rPr>
              <w:t>桑葚</w:t>
            </w:r>
          </w:p>
        </w:tc>
        <w:tc>
          <w:tcPr>
            <w:tcW w:w="3314" w:type="dxa"/>
            <w:vAlign w:val="top"/>
          </w:tcPr>
          <w:p w14:paraId="14575687">
            <w:pPr>
              <w:pStyle w:val="51"/>
              <w:spacing w:before="87" w:line="292" w:lineRule="auto"/>
              <w:ind w:left="30" w:right="21"/>
              <w:jc w:val="both"/>
              <w:rPr>
                <w:sz w:val="17"/>
                <w:szCs w:val="17"/>
              </w:rPr>
            </w:pPr>
            <w:r>
              <w:rPr>
                <w:spacing w:val="10"/>
                <w:sz w:val="17"/>
                <w:szCs w:val="17"/>
              </w:rPr>
              <w:t>脱氢乙酸及其钠盐(以脱氢乙酸计)、糖精</w:t>
            </w:r>
            <w:r>
              <w:rPr>
                <w:spacing w:val="5"/>
                <w:sz w:val="17"/>
                <w:szCs w:val="17"/>
              </w:rPr>
              <w:t>钠(以糖精计)、甜蜜素(以环己基氨基磺酸计)、多菌灵</w:t>
            </w:r>
          </w:p>
        </w:tc>
        <w:tc>
          <w:tcPr>
            <w:tcW w:w="5889" w:type="dxa"/>
            <w:vAlign w:val="top"/>
          </w:tcPr>
          <w:p w14:paraId="2CD44B65">
            <w:pPr>
              <w:pStyle w:val="51"/>
              <w:spacing w:before="240" w:line="326" w:lineRule="auto"/>
              <w:ind w:left="34" w:right="52" w:hanging="1"/>
              <w:rPr>
                <w:sz w:val="17"/>
                <w:szCs w:val="17"/>
              </w:rPr>
            </w:pPr>
            <w:r>
              <w:rPr>
                <w:spacing w:val="9"/>
                <w:sz w:val="17"/>
                <w:szCs w:val="17"/>
              </w:rPr>
              <w:t>苯甲酸及其钠盐(以苯甲酸计)、山梨酸及其钾盐(以山梨酸 计)、三氯蔗糖、氯氟氰菊酯和高效氯氟氰菊酯、纽甜</w:t>
            </w:r>
          </w:p>
        </w:tc>
        <w:tc>
          <w:tcPr>
            <w:tcW w:w="1390" w:type="dxa"/>
            <w:vAlign w:val="top"/>
          </w:tcPr>
          <w:p w14:paraId="17616359">
            <w:pPr>
              <w:rPr>
                <w:rFonts w:ascii="Arial"/>
                <w:sz w:val="21"/>
              </w:rPr>
            </w:pPr>
          </w:p>
        </w:tc>
      </w:tr>
      <w:tr w14:paraId="24BCD5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619" w:type="dxa"/>
            <w:vMerge w:val="continue"/>
            <w:tcBorders>
              <w:top w:val="nil"/>
              <w:bottom w:val="nil"/>
            </w:tcBorders>
            <w:vAlign w:val="top"/>
          </w:tcPr>
          <w:p w14:paraId="03507EE0">
            <w:pPr>
              <w:rPr>
                <w:rFonts w:ascii="Arial"/>
                <w:sz w:val="21"/>
              </w:rPr>
            </w:pPr>
          </w:p>
        </w:tc>
        <w:tc>
          <w:tcPr>
            <w:tcW w:w="1050" w:type="dxa"/>
            <w:vMerge w:val="continue"/>
            <w:tcBorders>
              <w:top w:val="nil"/>
              <w:bottom w:val="nil"/>
            </w:tcBorders>
            <w:vAlign w:val="top"/>
          </w:tcPr>
          <w:p w14:paraId="1D2DE0DF">
            <w:pPr>
              <w:rPr>
                <w:rFonts w:ascii="Arial"/>
                <w:sz w:val="21"/>
              </w:rPr>
            </w:pPr>
          </w:p>
        </w:tc>
        <w:tc>
          <w:tcPr>
            <w:tcW w:w="1080" w:type="dxa"/>
            <w:vMerge w:val="restart"/>
            <w:tcBorders>
              <w:bottom w:val="nil"/>
            </w:tcBorders>
            <w:vAlign w:val="top"/>
          </w:tcPr>
          <w:p w14:paraId="35DA6CB8">
            <w:pPr>
              <w:spacing w:line="246" w:lineRule="auto"/>
              <w:rPr>
                <w:rFonts w:ascii="Arial"/>
                <w:sz w:val="21"/>
              </w:rPr>
            </w:pPr>
          </w:p>
          <w:p w14:paraId="6A917876">
            <w:pPr>
              <w:spacing w:line="246" w:lineRule="auto"/>
              <w:rPr>
                <w:rFonts w:ascii="Arial"/>
                <w:sz w:val="21"/>
              </w:rPr>
            </w:pPr>
          </w:p>
          <w:p w14:paraId="1C66FBE4">
            <w:pPr>
              <w:spacing w:line="246" w:lineRule="auto"/>
              <w:rPr>
                <w:rFonts w:ascii="Arial"/>
                <w:sz w:val="21"/>
              </w:rPr>
            </w:pPr>
          </w:p>
          <w:p w14:paraId="7EB70258">
            <w:pPr>
              <w:spacing w:line="246" w:lineRule="auto"/>
              <w:rPr>
                <w:rFonts w:ascii="Arial"/>
                <w:sz w:val="21"/>
              </w:rPr>
            </w:pPr>
          </w:p>
          <w:p w14:paraId="1F2BB30E">
            <w:pPr>
              <w:spacing w:line="247" w:lineRule="auto"/>
              <w:rPr>
                <w:rFonts w:ascii="Arial"/>
                <w:sz w:val="21"/>
              </w:rPr>
            </w:pPr>
          </w:p>
          <w:p w14:paraId="33C2B3C3">
            <w:pPr>
              <w:pStyle w:val="51"/>
              <w:spacing w:before="55" w:line="325" w:lineRule="auto"/>
              <w:ind w:left="287" w:right="88" w:hanging="187"/>
              <w:rPr>
                <w:sz w:val="17"/>
                <w:szCs w:val="17"/>
              </w:rPr>
            </w:pPr>
            <w:r>
              <w:rPr>
                <w:spacing w:val="7"/>
                <w:sz w:val="17"/>
                <w:szCs w:val="17"/>
              </w:rPr>
              <w:t>热带和亚热</w:t>
            </w:r>
            <w:r>
              <w:rPr>
                <w:spacing w:val="2"/>
                <w:sz w:val="17"/>
                <w:szCs w:val="17"/>
              </w:rPr>
              <w:t>带水果</w:t>
            </w:r>
          </w:p>
        </w:tc>
        <w:tc>
          <w:tcPr>
            <w:tcW w:w="1829" w:type="dxa"/>
            <w:vAlign w:val="top"/>
          </w:tcPr>
          <w:p w14:paraId="39724272">
            <w:pPr>
              <w:pStyle w:val="51"/>
              <w:spacing w:before="223" w:line="227" w:lineRule="auto"/>
              <w:ind w:left="654"/>
              <w:rPr>
                <w:sz w:val="17"/>
                <w:szCs w:val="17"/>
              </w:rPr>
            </w:pPr>
            <w:r>
              <w:rPr>
                <w:spacing w:val="5"/>
                <w:sz w:val="17"/>
                <w:szCs w:val="17"/>
              </w:rPr>
              <w:t>番木瓜</w:t>
            </w:r>
          </w:p>
        </w:tc>
        <w:tc>
          <w:tcPr>
            <w:tcW w:w="3314" w:type="dxa"/>
            <w:vAlign w:val="top"/>
          </w:tcPr>
          <w:p w14:paraId="4EF2E6F7">
            <w:pPr>
              <w:pStyle w:val="51"/>
              <w:spacing w:before="223" w:line="227" w:lineRule="auto"/>
              <w:ind w:left="40"/>
              <w:rPr>
                <w:sz w:val="17"/>
                <w:szCs w:val="17"/>
              </w:rPr>
            </w:pPr>
            <w:r>
              <w:rPr>
                <w:spacing w:val="8"/>
                <w:sz w:val="17"/>
                <w:szCs w:val="17"/>
              </w:rPr>
              <w:t>噻虫胺、噻虫嗪、乙酰甲胺磷</w:t>
            </w:r>
          </w:p>
        </w:tc>
        <w:tc>
          <w:tcPr>
            <w:tcW w:w="5889" w:type="dxa"/>
            <w:vAlign w:val="top"/>
          </w:tcPr>
          <w:p w14:paraId="38D5FC1C">
            <w:pPr>
              <w:pStyle w:val="51"/>
              <w:spacing w:before="223" w:line="226" w:lineRule="auto"/>
              <w:ind w:left="36"/>
              <w:rPr>
                <w:sz w:val="17"/>
                <w:szCs w:val="17"/>
              </w:rPr>
            </w:pPr>
            <w:r>
              <w:rPr>
                <w:spacing w:val="7"/>
                <w:sz w:val="17"/>
                <w:szCs w:val="17"/>
              </w:rPr>
              <w:t>克百威、氧乐果</w:t>
            </w:r>
          </w:p>
        </w:tc>
        <w:tc>
          <w:tcPr>
            <w:tcW w:w="1390" w:type="dxa"/>
            <w:vAlign w:val="top"/>
          </w:tcPr>
          <w:p w14:paraId="2EDE8F8E">
            <w:pPr>
              <w:rPr>
                <w:rFonts w:ascii="Arial"/>
                <w:sz w:val="21"/>
              </w:rPr>
            </w:pPr>
          </w:p>
        </w:tc>
      </w:tr>
      <w:tr w14:paraId="6FBC18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619" w:type="dxa"/>
            <w:vMerge w:val="continue"/>
            <w:tcBorders>
              <w:top w:val="nil"/>
              <w:bottom w:val="nil"/>
            </w:tcBorders>
            <w:vAlign w:val="top"/>
          </w:tcPr>
          <w:p w14:paraId="7903BC86">
            <w:pPr>
              <w:rPr>
                <w:rFonts w:ascii="Arial"/>
                <w:sz w:val="21"/>
              </w:rPr>
            </w:pPr>
          </w:p>
        </w:tc>
        <w:tc>
          <w:tcPr>
            <w:tcW w:w="1050" w:type="dxa"/>
            <w:vMerge w:val="continue"/>
            <w:tcBorders>
              <w:top w:val="nil"/>
              <w:bottom w:val="nil"/>
            </w:tcBorders>
            <w:vAlign w:val="top"/>
          </w:tcPr>
          <w:p w14:paraId="42EEDB14">
            <w:pPr>
              <w:rPr>
                <w:rFonts w:ascii="Arial"/>
                <w:sz w:val="21"/>
              </w:rPr>
            </w:pPr>
          </w:p>
        </w:tc>
        <w:tc>
          <w:tcPr>
            <w:tcW w:w="1080" w:type="dxa"/>
            <w:vMerge w:val="continue"/>
            <w:tcBorders>
              <w:top w:val="nil"/>
              <w:bottom w:val="nil"/>
            </w:tcBorders>
            <w:vAlign w:val="top"/>
          </w:tcPr>
          <w:p w14:paraId="74917F0E">
            <w:pPr>
              <w:rPr>
                <w:rFonts w:ascii="Arial"/>
                <w:sz w:val="21"/>
              </w:rPr>
            </w:pPr>
          </w:p>
        </w:tc>
        <w:tc>
          <w:tcPr>
            <w:tcW w:w="1829" w:type="dxa"/>
            <w:vAlign w:val="top"/>
          </w:tcPr>
          <w:p w14:paraId="0EBD0159">
            <w:pPr>
              <w:pStyle w:val="51"/>
              <w:spacing w:before="239" w:line="225" w:lineRule="auto"/>
              <w:ind w:left="741"/>
              <w:rPr>
                <w:sz w:val="17"/>
                <w:szCs w:val="17"/>
              </w:rPr>
            </w:pPr>
            <w:r>
              <w:rPr>
                <w:spacing w:val="4"/>
                <w:sz w:val="17"/>
                <w:szCs w:val="17"/>
              </w:rPr>
              <w:t>荔枝</w:t>
            </w:r>
          </w:p>
        </w:tc>
        <w:tc>
          <w:tcPr>
            <w:tcW w:w="3314" w:type="dxa"/>
            <w:vAlign w:val="top"/>
          </w:tcPr>
          <w:p w14:paraId="56CE5E82">
            <w:pPr>
              <w:pStyle w:val="51"/>
              <w:spacing w:before="91" w:line="273" w:lineRule="auto"/>
              <w:ind w:left="30" w:right="19" w:firstLine="3"/>
              <w:rPr>
                <w:sz w:val="17"/>
                <w:szCs w:val="17"/>
              </w:rPr>
            </w:pPr>
            <w:r>
              <w:rPr>
                <w:spacing w:val="10"/>
                <w:sz w:val="17"/>
                <w:szCs w:val="17"/>
              </w:rPr>
              <w:t>氯氟氰菊酯和高效氯氟氰菊酯、吡唑醚菌</w:t>
            </w:r>
            <w:r>
              <w:rPr>
                <w:spacing w:val="9"/>
                <w:sz w:val="17"/>
                <w:szCs w:val="17"/>
              </w:rPr>
              <w:t>酯、除虫脲、苯醚甲环唑、氰霜唑</w:t>
            </w:r>
          </w:p>
        </w:tc>
        <w:tc>
          <w:tcPr>
            <w:tcW w:w="5889" w:type="dxa"/>
            <w:vAlign w:val="top"/>
          </w:tcPr>
          <w:p w14:paraId="53223271">
            <w:pPr>
              <w:pStyle w:val="51"/>
              <w:spacing w:before="91" w:line="273" w:lineRule="auto"/>
              <w:ind w:left="31" w:right="14" w:firstLine="10"/>
              <w:rPr>
                <w:sz w:val="17"/>
                <w:szCs w:val="17"/>
              </w:rPr>
            </w:pPr>
            <w:r>
              <w:rPr>
                <w:spacing w:val="8"/>
                <w:sz w:val="17"/>
                <w:szCs w:val="17"/>
              </w:rPr>
              <w:t>多菌灵、氧乐果、毒死蜱、氯氰菊酯和高效氯氰菊酯、氟吗啉、咪鲜胺和咪鲜胺锰盐、乐果、溴氰菊酯</w:t>
            </w:r>
          </w:p>
        </w:tc>
        <w:tc>
          <w:tcPr>
            <w:tcW w:w="1390" w:type="dxa"/>
            <w:vAlign w:val="top"/>
          </w:tcPr>
          <w:p w14:paraId="7A69AF76">
            <w:pPr>
              <w:rPr>
                <w:rFonts w:ascii="Arial"/>
                <w:sz w:val="21"/>
              </w:rPr>
            </w:pPr>
          </w:p>
        </w:tc>
      </w:tr>
      <w:tr w14:paraId="4176C1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619" w:type="dxa"/>
            <w:vMerge w:val="continue"/>
            <w:tcBorders>
              <w:top w:val="nil"/>
              <w:bottom w:val="nil"/>
            </w:tcBorders>
            <w:vAlign w:val="top"/>
          </w:tcPr>
          <w:p w14:paraId="49F01413">
            <w:pPr>
              <w:rPr>
                <w:rFonts w:ascii="Arial"/>
                <w:sz w:val="21"/>
              </w:rPr>
            </w:pPr>
          </w:p>
        </w:tc>
        <w:tc>
          <w:tcPr>
            <w:tcW w:w="1050" w:type="dxa"/>
            <w:vMerge w:val="continue"/>
            <w:tcBorders>
              <w:top w:val="nil"/>
              <w:bottom w:val="nil"/>
            </w:tcBorders>
            <w:vAlign w:val="top"/>
          </w:tcPr>
          <w:p w14:paraId="1DFF5D12">
            <w:pPr>
              <w:rPr>
                <w:rFonts w:ascii="Arial"/>
                <w:sz w:val="21"/>
              </w:rPr>
            </w:pPr>
          </w:p>
        </w:tc>
        <w:tc>
          <w:tcPr>
            <w:tcW w:w="1080" w:type="dxa"/>
            <w:vMerge w:val="continue"/>
            <w:tcBorders>
              <w:top w:val="nil"/>
              <w:bottom w:val="nil"/>
            </w:tcBorders>
            <w:vAlign w:val="top"/>
          </w:tcPr>
          <w:p w14:paraId="63B35695">
            <w:pPr>
              <w:rPr>
                <w:rFonts w:ascii="Arial"/>
                <w:sz w:val="21"/>
              </w:rPr>
            </w:pPr>
          </w:p>
        </w:tc>
        <w:tc>
          <w:tcPr>
            <w:tcW w:w="1829" w:type="dxa"/>
            <w:vAlign w:val="top"/>
          </w:tcPr>
          <w:p w14:paraId="448C53C0">
            <w:pPr>
              <w:pStyle w:val="51"/>
              <w:spacing w:before="239" w:line="232" w:lineRule="auto"/>
              <w:ind w:left="745"/>
              <w:rPr>
                <w:sz w:val="17"/>
                <w:szCs w:val="17"/>
              </w:rPr>
            </w:pPr>
            <w:r>
              <w:rPr>
                <w:spacing w:val="2"/>
                <w:sz w:val="17"/>
                <w:szCs w:val="17"/>
              </w:rPr>
              <w:t>龙眼</w:t>
            </w:r>
          </w:p>
        </w:tc>
        <w:tc>
          <w:tcPr>
            <w:tcW w:w="3314" w:type="dxa"/>
            <w:vAlign w:val="top"/>
          </w:tcPr>
          <w:p w14:paraId="1B12C551">
            <w:pPr>
              <w:pStyle w:val="51"/>
              <w:spacing w:before="90" w:line="274" w:lineRule="auto"/>
              <w:ind w:left="30" w:right="19" w:firstLine="5"/>
              <w:rPr>
                <w:sz w:val="17"/>
                <w:szCs w:val="17"/>
              </w:rPr>
            </w:pPr>
            <w:r>
              <w:rPr>
                <w:spacing w:val="10"/>
                <w:sz w:val="17"/>
                <w:szCs w:val="17"/>
              </w:rPr>
              <w:t>二氧化硫残留量、氯氰菊酯和高效氯氰菊</w:t>
            </w:r>
            <w:r>
              <w:rPr>
                <w:spacing w:val="7"/>
                <w:sz w:val="17"/>
                <w:szCs w:val="17"/>
              </w:rPr>
              <w:t>酯、氧乐果</w:t>
            </w:r>
          </w:p>
        </w:tc>
        <w:tc>
          <w:tcPr>
            <w:tcW w:w="5889" w:type="dxa"/>
            <w:vAlign w:val="top"/>
          </w:tcPr>
          <w:p w14:paraId="30ECBD55">
            <w:pPr>
              <w:pStyle w:val="51"/>
              <w:spacing w:before="239" w:line="226" w:lineRule="auto"/>
              <w:ind w:left="36"/>
              <w:rPr>
                <w:sz w:val="17"/>
                <w:szCs w:val="17"/>
              </w:rPr>
            </w:pPr>
            <w:r>
              <w:rPr>
                <w:spacing w:val="7"/>
                <w:sz w:val="17"/>
                <w:szCs w:val="17"/>
              </w:rPr>
              <w:t>克百威、氟虫腈</w:t>
            </w:r>
          </w:p>
        </w:tc>
        <w:tc>
          <w:tcPr>
            <w:tcW w:w="1390" w:type="dxa"/>
            <w:vAlign w:val="top"/>
          </w:tcPr>
          <w:p w14:paraId="2EF5C842">
            <w:pPr>
              <w:rPr>
                <w:rFonts w:ascii="Arial"/>
                <w:sz w:val="21"/>
              </w:rPr>
            </w:pPr>
          </w:p>
        </w:tc>
      </w:tr>
      <w:tr w14:paraId="4FB6A4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619" w:type="dxa"/>
            <w:vMerge w:val="continue"/>
            <w:tcBorders>
              <w:top w:val="nil"/>
              <w:bottom w:val="nil"/>
            </w:tcBorders>
            <w:vAlign w:val="top"/>
          </w:tcPr>
          <w:p w14:paraId="02255A41">
            <w:pPr>
              <w:rPr>
                <w:rFonts w:ascii="Arial"/>
                <w:sz w:val="21"/>
              </w:rPr>
            </w:pPr>
          </w:p>
        </w:tc>
        <w:tc>
          <w:tcPr>
            <w:tcW w:w="1050" w:type="dxa"/>
            <w:vMerge w:val="continue"/>
            <w:tcBorders>
              <w:top w:val="nil"/>
              <w:bottom w:val="nil"/>
            </w:tcBorders>
            <w:vAlign w:val="top"/>
          </w:tcPr>
          <w:p w14:paraId="2DD1AEEC">
            <w:pPr>
              <w:rPr>
                <w:rFonts w:ascii="Arial"/>
                <w:sz w:val="21"/>
              </w:rPr>
            </w:pPr>
          </w:p>
        </w:tc>
        <w:tc>
          <w:tcPr>
            <w:tcW w:w="1080" w:type="dxa"/>
            <w:vMerge w:val="continue"/>
            <w:tcBorders>
              <w:top w:val="nil"/>
              <w:bottom w:val="nil"/>
            </w:tcBorders>
            <w:vAlign w:val="top"/>
          </w:tcPr>
          <w:p w14:paraId="52B3F713">
            <w:pPr>
              <w:rPr>
                <w:rFonts w:ascii="Arial"/>
                <w:sz w:val="21"/>
              </w:rPr>
            </w:pPr>
          </w:p>
        </w:tc>
        <w:tc>
          <w:tcPr>
            <w:tcW w:w="1829" w:type="dxa"/>
            <w:vAlign w:val="top"/>
          </w:tcPr>
          <w:p w14:paraId="0DB154F9">
            <w:pPr>
              <w:spacing w:line="333" w:lineRule="auto"/>
              <w:rPr>
                <w:rFonts w:ascii="Arial"/>
                <w:sz w:val="21"/>
              </w:rPr>
            </w:pPr>
          </w:p>
          <w:p w14:paraId="4FFE1910">
            <w:pPr>
              <w:pStyle w:val="51"/>
              <w:spacing w:before="55" w:line="222" w:lineRule="auto"/>
              <w:ind w:left="746"/>
              <w:rPr>
                <w:sz w:val="17"/>
                <w:szCs w:val="17"/>
              </w:rPr>
            </w:pPr>
            <w:r>
              <w:rPr>
                <w:spacing w:val="1"/>
                <w:sz w:val="17"/>
                <w:szCs w:val="17"/>
              </w:rPr>
              <w:t>芒果</w:t>
            </w:r>
          </w:p>
        </w:tc>
        <w:tc>
          <w:tcPr>
            <w:tcW w:w="3314" w:type="dxa"/>
            <w:vAlign w:val="top"/>
          </w:tcPr>
          <w:p w14:paraId="5322535A">
            <w:pPr>
              <w:pStyle w:val="51"/>
              <w:spacing w:before="90" w:line="274" w:lineRule="auto"/>
              <w:ind w:left="38" w:right="19"/>
              <w:rPr>
                <w:sz w:val="17"/>
                <w:szCs w:val="17"/>
              </w:rPr>
            </w:pPr>
            <w:r>
              <w:rPr>
                <w:spacing w:val="10"/>
                <w:sz w:val="17"/>
                <w:szCs w:val="17"/>
              </w:rPr>
              <w:t>吡唑醚菌酯、噻虫胺、戊唑醇、苯醚甲环</w:t>
            </w:r>
            <w:r>
              <w:rPr>
                <w:spacing w:val="8"/>
                <w:sz w:val="17"/>
                <w:szCs w:val="17"/>
              </w:rPr>
              <w:t>唑、乙酰甲胺磷、噻嗪酮、吡虫啉</w:t>
            </w:r>
          </w:p>
        </w:tc>
        <w:tc>
          <w:tcPr>
            <w:tcW w:w="5889" w:type="dxa"/>
            <w:vAlign w:val="top"/>
          </w:tcPr>
          <w:p w14:paraId="786BF197">
            <w:pPr>
              <w:pStyle w:val="51"/>
              <w:spacing w:before="241" w:line="228" w:lineRule="auto"/>
              <w:ind w:left="34"/>
              <w:rPr>
                <w:sz w:val="17"/>
                <w:szCs w:val="17"/>
              </w:rPr>
            </w:pPr>
            <w:r>
              <w:rPr>
                <w:spacing w:val="9"/>
                <w:sz w:val="17"/>
                <w:szCs w:val="17"/>
              </w:rPr>
              <w:t>氧乐果、噻虫嗪、氯氟氰菊酯和高效氯氟氰菊酯</w:t>
            </w:r>
          </w:p>
        </w:tc>
        <w:tc>
          <w:tcPr>
            <w:tcW w:w="1390" w:type="dxa"/>
            <w:vAlign w:val="top"/>
          </w:tcPr>
          <w:p w14:paraId="4C13DEEC">
            <w:pPr>
              <w:rPr>
                <w:rFonts w:ascii="Arial"/>
                <w:sz w:val="21"/>
              </w:rPr>
            </w:pPr>
          </w:p>
        </w:tc>
      </w:tr>
      <w:tr w14:paraId="25D709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7" w:hRule="atLeast"/>
        </w:trPr>
        <w:tc>
          <w:tcPr>
            <w:tcW w:w="619" w:type="dxa"/>
            <w:vMerge w:val="continue"/>
            <w:tcBorders>
              <w:top w:val="nil"/>
            </w:tcBorders>
            <w:vAlign w:val="top"/>
          </w:tcPr>
          <w:p w14:paraId="772F4A99">
            <w:pPr>
              <w:rPr>
                <w:rFonts w:ascii="Arial"/>
                <w:sz w:val="21"/>
              </w:rPr>
            </w:pPr>
          </w:p>
        </w:tc>
        <w:tc>
          <w:tcPr>
            <w:tcW w:w="1050" w:type="dxa"/>
            <w:vMerge w:val="continue"/>
            <w:tcBorders>
              <w:top w:val="nil"/>
            </w:tcBorders>
            <w:vAlign w:val="top"/>
          </w:tcPr>
          <w:p w14:paraId="1CE5919C">
            <w:pPr>
              <w:rPr>
                <w:rFonts w:ascii="Arial"/>
                <w:sz w:val="21"/>
              </w:rPr>
            </w:pPr>
          </w:p>
        </w:tc>
        <w:tc>
          <w:tcPr>
            <w:tcW w:w="1080" w:type="dxa"/>
            <w:vMerge w:val="continue"/>
            <w:tcBorders>
              <w:top w:val="nil"/>
            </w:tcBorders>
            <w:vAlign w:val="top"/>
          </w:tcPr>
          <w:p w14:paraId="046E36A5">
            <w:pPr>
              <w:rPr>
                <w:rFonts w:ascii="Arial"/>
                <w:sz w:val="21"/>
              </w:rPr>
            </w:pPr>
          </w:p>
        </w:tc>
        <w:tc>
          <w:tcPr>
            <w:tcW w:w="1829" w:type="dxa"/>
            <w:vAlign w:val="top"/>
          </w:tcPr>
          <w:p w14:paraId="0AA41C8B">
            <w:pPr>
              <w:pStyle w:val="51"/>
              <w:spacing w:before="241" w:line="229" w:lineRule="auto"/>
              <w:ind w:left="743"/>
              <w:rPr>
                <w:sz w:val="17"/>
                <w:szCs w:val="17"/>
              </w:rPr>
            </w:pPr>
            <w:r>
              <w:rPr>
                <w:spacing w:val="3"/>
                <w:sz w:val="17"/>
                <w:szCs w:val="17"/>
              </w:rPr>
              <w:t>香蕉</w:t>
            </w:r>
          </w:p>
        </w:tc>
        <w:tc>
          <w:tcPr>
            <w:tcW w:w="3314" w:type="dxa"/>
            <w:vAlign w:val="top"/>
          </w:tcPr>
          <w:p w14:paraId="6326FCA8">
            <w:pPr>
              <w:pStyle w:val="51"/>
              <w:spacing w:before="90" w:line="275" w:lineRule="auto"/>
              <w:ind w:left="34" w:right="18" w:firstLine="4"/>
              <w:rPr>
                <w:sz w:val="17"/>
                <w:szCs w:val="17"/>
              </w:rPr>
            </w:pPr>
            <w:r>
              <w:rPr>
                <w:spacing w:val="4"/>
                <w:sz w:val="17"/>
                <w:szCs w:val="17"/>
              </w:rPr>
              <w:t>吡虫啉、噻虫嗪、噻虫胺</w:t>
            </w:r>
            <w:r>
              <w:rPr>
                <w:spacing w:val="32"/>
                <w:sz w:val="17"/>
                <w:szCs w:val="17"/>
              </w:rPr>
              <w:t xml:space="preserve"> </w:t>
            </w:r>
            <w:r>
              <w:rPr>
                <w:spacing w:val="4"/>
                <w:sz w:val="17"/>
                <w:szCs w:val="17"/>
              </w:rPr>
              <w:t>、腈苯唑、氟唑菌酰胺</w:t>
            </w:r>
          </w:p>
        </w:tc>
        <w:tc>
          <w:tcPr>
            <w:tcW w:w="5889" w:type="dxa"/>
            <w:vAlign w:val="top"/>
          </w:tcPr>
          <w:p w14:paraId="0C123703">
            <w:pPr>
              <w:pStyle w:val="51"/>
              <w:spacing w:before="90" w:line="275" w:lineRule="auto"/>
              <w:ind w:left="31" w:right="33" w:firstLine="2"/>
              <w:rPr>
                <w:sz w:val="17"/>
                <w:szCs w:val="17"/>
              </w:rPr>
            </w:pPr>
            <w:r>
              <w:rPr>
                <w:spacing w:val="10"/>
                <w:sz w:val="17"/>
                <w:szCs w:val="17"/>
              </w:rPr>
              <w:t>苯醚甲环唑、吡唑醚菌酯、氟虫腈、联苯菊酯、百菌清、氧乐果 、氯氟氰菊</w:t>
            </w:r>
            <w:r>
              <w:rPr>
                <w:spacing w:val="8"/>
                <w:sz w:val="17"/>
                <w:szCs w:val="17"/>
              </w:rPr>
              <w:t>酯和高效氯氟氰菊酯</w:t>
            </w:r>
          </w:p>
        </w:tc>
        <w:tc>
          <w:tcPr>
            <w:tcW w:w="1390" w:type="dxa"/>
            <w:vAlign w:val="top"/>
          </w:tcPr>
          <w:p w14:paraId="64322647">
            <w:pPr>
              <w:rPr>
                <w:rFonts w:ascii="Arial"/>
                <w:sz w:val="21"/>
              </w:rPr>
            </w:pPr>
          </w:p>
        </w:tc>
      </w:tr>
    </w:tbl>
    <w:p w14:paraId="1A90E299">
      <w:pPr>
        <w:rPr>
          <w:rFonts w:ascii="Arial"/>
          <w:sz w:val="21"/>
        </w:rPr>
      </w:pPr>
    </w:p>
    <w:p w14:paraId="5C781608">
      <w:pPr>
        <w:rPr>
          <w:rFonts w:ascii="Arial" w:hAnsi="Arial" w:eastAsia="Arial" w:cs="Arial"/>
          <w:sz w:val="21"/>
          <w:szCs w:val="21"/>
        </w:rPr>
        <w:sectPr>
          <w:pgSz w:w="16838" w:h="11906"/>
          <w:pgMar w:top="1011" w:right="645" w:bottom="400" w:left="366" w:header="567" w:footer="567" w:gutter="0"/>
          <w:pgNumType w:fmt="decimal"/>
          <w:cols w:space="720" w:num="1"/>
        </w:sectPr>
      </w:pPr>
    </w:p>
    <w:p w14:paraId="4B8009CE">
      <w:pPr>
        <w:spacing w:before="18"/>
      </w:pPr>
    </w:p>
    <w:p w14:paraId="4436491E">
      <w:pPr>
        <w:spacing w:before="18"/>
      </w:pPr>
    </w:p>
    <w:tbl>
      <w:tblPr>
        <w:tblStyle w:val="50"/>
        <w:tblW w:w="14293" w:type="dxa"/>
        <w:tblInd w:w="65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77"/>
        <w:gridCol w:w="980"/>
        <w:gridCol w:w="1008"/>
        <w:gridCol w:w="1707"/>
        <w:gridCol w:w="3093"/>
        <w:gridCol w:w="5710"/>
        <w:gridCol w:w="1218"/>
      </w:tblGrid>
      <w:tr w14:paraId="484B52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4" w:hRule="atLeast"/>
        </w:trPr>
        <w:tc>
          <w:tcPr>
            <w:tcW w:w="577" w:type="dxa"/>
            <w:vAlign w:val="top"/>
          </w:tcPr>
          <w:p w14:paraId="5F34FF65">
            <w:pPr>
              <w:spacing w:before="241" w:line="234" w:lineRule="auto"/>
              <w:ind w:left="133"/>
              <w:rPr>
                <w:rFonts w:ascii="黑体" w:hAnsi="黑体" w:eastAsia="黑体" w:cs="黑体"/>
                <w:sz w:val="17"/>
                <w:szCs w:val="17"/>
              </w:rPr>
            </w:pPr>
            <w:r>
              <w:rPr>
                <w:rFonts w:ascii="黑体" w:hAnsi="黑体" w:eastAsia="黑体" w:cs="黑体"/>
                <w:spacing w:val="6"/>
                <w:sz w:val="17"/>
                <w:szCs w:val="17"/>
              </w:rPr>
              <w:t>序号</w:t>
            </w:r>
          </w:p>
        </w:tc>
        <w:tc>
          <w:tcPr>
            <w:tcW w:w="980" w:type="dxa"/>
            <w:vAlign w:val="top"/>
          </w:tcPr>
          <w:p w14:paraId="060A05ED">
            <w:pPr>
              <w:spacing w:before="90" w:line="232" w:lineRule="auto"/>
              <w:ind w:left="166"/>
              <w:rPr>
                <w:rFonts w:ascii="黑体" w:hAnsi="黑体" w:eastAsia="黑体" w:cs="黑体"/>
                <w:sz w:val="17"/>
                <w:szCs w:val="17"/>
              </w:rPr>
            </w:pPr>
            <w:r>
              <w:rPr>
                <w:rFonts w:ascii="黑体" w:hAnsi="黑体" w:eastAsia="黑体" w:cs="黑体"/>
                <w:spacing w:val="8"/>
                <w:sz w:val="17"/>
                <w:szCs w:val="17"/>
              </w:rPr>
              <w:t>食品亚类</w:t>
            </w:r>
          </w:p>
          <w:p w14:paraId="5706A77D">
            <w:pPr>
              <w:spacing w:before="86" w:line="227" w:lineRule="auto"/>
              <w:ind w:left="291"/>
              <w:rPr>
                <w:rFonts w:ascii="黑体" w:hAnsi="黑体" w:eastAsia="黑体" w:cs="黑体"/>
                <w:sz w:val="17"/>
                <w:szCs w:val="17"/>
              </w:rPr>
            </w:pPr>
            <w:r>
              <w:rPr>
                <w:rFonts w:ascii="黑体" w:hAnsi="黑体" w:eastAsia="黑体" w:cs="黑体"/>
                <w:spacing w:val="-4"/>
                <w:sz w:val="17"/>
                <w:szCs w:val="17"/>
              </w:rPr>
              <w:t>(二级)</w:t>
            </w:r>
          </w:p>
        </w:tc>
        <w:tc>
          <w:tcPr>
            <w:tcW w:w="1008" w:type="dxa"/>
            <w:vAlign w:val="top"/>
          </w:tcPr>
          <w:p w14:paraId="3DFEB0F7">
            <w:pPr>
              <w:spacing w:before="90" w:line="232" w:lineRule="auto"/>
              <w:ind w:left="182"/>
              <w:rPr>
                <w:rFonts w:ascii="黑体" w:hAnsi="黑体" w:eastAsia="黑体" w:cs="黑体"/>
                <w:sz w:val="17"/>
                <w:szCs w:val="17"/>
              </w:rPr>
            </w:pPr>
            <w:r>
              <w:rPr>
                <w:rFonts w:ascii="黑体" w:hAnsi="黑体" w:eastAsia="黑体" w:cs="黑体"/>
                <w:spacing w:val="8"/>
                <w:sz w:val="17"/>
                <w:szCs w:val="17"/>
              </w:rPr>
              <w:t>食品品种</w:t>
            </w:r>
          </w:p>
          <w:p w14:paraId="30D724CF">
            <w:pPr>
              <w:spacing w:before="86" w:line="227" w:lineRule="auto"/>
              <w:ind w:left="307"/>
              <w:rPr>
                <w:rFonts w:ascii="黑体" w:hAnsi="黑体" w:eastAsia="黑体" w:cs="黑体"/>
                <w:sz w:val="17"/>
                <w:szCs w:val="17"/>
              </w:rPr>
            </w:pPr>
            <w:r>
              <w:rPr>
                <w:rFonts w:ascii="黑体" w:hAnsi="黑体" w:eastAsia="黑体" w:cs="黑体"/>
                <w:spacing w:val="-4"/>
                <w:sz w:val="17"/>
                <w:szCs w:val="17"/>
              </w:rPr>
              <w:t>(三级)</w:t>
            </w:r>
          </w:p>
        </w:tc>
        <w:tc>
          <w:tcPr>
            <w:tcW w:w="1707" w:type="dxa"/>
            <w:vAlign w:val="top"/>
          </w:tcPr>
          <w:p w14:paraId="78CF9F19">
            <w:pPr>
              <w:spacing w:before="241" w:line="232" w:lineRule="auto"/>
              <w:ind w:left="287"/>
              <w:rPr>
                <w:rFonts w:ascii="黑体" w:hAnsi="黑体" w:eastAsia="黑体" w:cs="黑体"/>
                <w:sz w:val="17"/>
                <w:szCs w:val="17"/>
              </w:rPr>
            </w:pPr>
            <w:r>
              <w:rPr>
                <w:rFonts w:ascii="黑体" w:hAnsi="黑体" w:eastAsia="黑体" w:cs="黑体"/>
                <w:spacing w:val="7"/>
                <w:sz w:val="17"/>
                <w:szCs w:val="17"/>
              </w:rPr>
              <w:t>食品细类(四级)</w:t>
            </w:r>
          </w:p>
        </w:tc>
        <w:tc>
          <w:tcPr>
            <w:tcW w:w="3093" w:type="dxa"/>
            <w:vAlign w:val="top"/>
          </w:tcPr>
          <w:p w14:paraId="345E887D">
            <w:pPr>
              <w:spacing w:before="240" w:line="233" w:lineRule="auto"/>
              <w:ind w:left="1300"/>
              <w:rPr>
                <w:rFonts w:ascii="黑体" w:hAnsi="黑体" w:eastAsia="黑体" w:cs="黑体"/>
                <w:sz w:val="17"/>
                <w:szCs w:val="17"/>
              </w:rPr>
            </w:pPr>
            <w:r>
              <w:rPr>
                <w:rFonts w:ascii="黑体" w:hAnsi="黑体" w:eastAsia="黑体" w:cs="黑体"/>
                <w:spacing w:val="8"/>
                <w:sz w:val="17"/>
                <w:szCs w:val="17"/>
              </w:rPr>
              <w:t>必检项目</w:t>
            </w:r>
          </w:p>
        </w:tc>
        <w:tc>
          <w:tcPr>
            <w:tcW w:w="5710" w:type="dxa"/>
            <w:vAlign w:val="top"/>
          </w:tcPr>
          <w:p w14:paraId="19635197">
            <w:pPr>
              <w:spacing w:before="240" w:line="233" w:lineRule="auto"/>
              <w:ind w:left="2707"/>
              <w:rPr>
                <w:rFonts w:ascii="黑体" w:hAnsi="黑体" w:eastAsia="黑体" w:cs="黑体"/>
                <w:sz w:val="17"/>
                <w:szCs w:val="17"/>
              </w:rPr>
            </w:pPr>
            <w:r>
              <w:rPr>
                <w:rFonts w:ascii="黑体" w:hAnsi="黑体" w:eastAsia="黑体" w:cs="黑体"/>
                <w:spacing w:val="7"/>
                <w:sz w:val="17"/>
                <w:szCs w:val="17"/>
              </w:rPr>
              <w:t>可选项目</w:t>
            </w:r>
          </w:p>
        </w:tc>
        <w:tc>
          <w:tcPr>
            <w:tcW w:w="1218" w:type="dxa"/>
            <w:vAlign w:val="top"/>
          </w:tcPr>
          <w:p w14:paraId="7F30249F">
            <w:pPr>
              <w:spacing w:before="240" w:line="233" w:lineRule="auto"/>
              <w:ind w:left="313"/>
              <w:rPr>
                <w:rFonts w:ascii="黑体" w:hAnsi="黑体" w:eastAsia="黑体" w:cs="黑体"/>
                <w:sz w:val="17"/>
                <w:szCs w:val="17"/>
              </w:rPr>
            </w:pPr>
            <w:r>
              <w:rPr>
                <w:rFonts w:ascii="黑体" w:hAnsi="黑体" w:eastAsia="黑体" w:cs="黑体"/>
                <w:spacing w:val="1"/>
                <w:sz w:val="17"/>
                <w:szCs w:val="17"/>
              </w:rPr>
              <w:t>备</w:t>
            </w:r>
            <w:r>
              <w:rPr>
                <w:rFonts w:ascii="黑体" w:hAnsi="黑体" w:eastAsia="黑体" w:cs="黑体"/>
                <w:spacing w:val="9"/>
                <w:sz w:val="17"/>
                <w:szCs w:val="17"/>
              </w:rPr>
              <w:t xml:space="preserve">  </w:t>
            </w:r>
            <w:r>
              <w:rPr>
                <w:rFonts w:ascii="黑体" w:hAnsi="黑体" w:eastAsia="黑体" w:cs="黑体"/>
                <w:spacing w:val="1"/>
                <w:sz w:val="17"/>
                <w:szCs w:val="17"/>
              </w:rPr>
              <w:t>注</w:t>
            </w:r>
          </w:p>
        </w:tc>
      </w:tr>
      <w:tr w14:paraId="354F63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01" w:hRule="atLeast"/>
        </w:trPr>
        <w:tc>
          <w:tcPr>
            <w:tcW w:w="577" w:type="dxa"/>
            <w:vMerge w:val="restart"/>
            <w:tcBorders>
              <w:bottom w:val="nil"/>
            </w:tcBorders>
            <w:vAlign w:val="top"/>
          </w:tcPr>
          <w:p w14:paraId="6567FD1A">
            <w:pPr>
              <w:spacing w:line="316" w:lineRule="auto"/>
              <w:rPr>
                <w:rFonts w:ascii="Arial"/>
                <w:sz w:val="21"/>
              </w:rPr>
            </w:pPr>
          </w:p>
          <w:p w14:paraId="6FADEEB7">
            <w:pPr>
              <w:spacing w:line="316" w:lineRule="auto"/>
              <w:rPr>
                <w:rFonts w:ascii="Arial"/>
                <w:sz w:val="21"/>
              </w:rPr>
            </w:pPr>
          </w:p>
          <w:p w14:paraId="73BD6479">
            <w:pPr>
              <w:pStyle w:val="51"/>
              <w:spacing w:before="55" w:line="228" w:lineRule="exact"/>
              <w:ind w:left="268"/>
              <w:rPr>
                <w:sz w:val="17"/>
                <w:szCs w:val="17"/>
              </w:rPr>
            </w:pPr>
            <w:r>
              <w:rPr>
                <w:position w:val="1"/>
                <w:sz w:val="17"/>
                <w:szCs w:val="17"/>
              </w:rPr>
              <w:t>4</w:t>
            </w:r>
          </w:p>
        </w:tc>
        <w:tc>
          <w:tcPr>
            <w:tcW w:w="980" w:type="dxa"/>
            <w:vMerge w:val="restart"/>
            <w:tcBorders>
              <w:bottom w:val="nil"/>
            </w:tcBorders>
            <w:vAlign w:val="top"/>
          </w:tcPr>
          <w:p w14:paraId="118539F4">
            <w:pPr>
              <w:spacing w:line="316" w:lineRule="auto"/>
              <w:rPr>
                <w:rFonts w:ascii="Arial"/>
                <w:sz w:val="21"/>
              </w:rPr>
            </w:pPr>
          </w:p>
          <w:p w14:paraId="3B530E34">
            <w:pPr>
              <w:spacing w:line="316" w:lineRule="auto"/>
              <w:rPr>
                <w:rFonts w:ascii="Arial"/>
                <w:sz w:val="21"/>
              </w:rPr>
            </w:pPr>
          </w:p>
          <w:p w14:paraId="38E32493">
            <w:pPr>
              <w:pStyle w:val="51"/>
              <w:spacing w:before="55" w:line="228" w:lineRule="auto"/>
              <w:ind w:left="262"/>
              <w:rPr>
                <w:sz w:val="17"/>
                <w:szCs w:val="17"/>
              </w:rPr>
            </w:pPr>
            <w:r>
              <w:rPr>
                <w:spacing w:val="6"/>
                <w:sz w:val="17"/>
                <w:szCs w:val="17"/>
              </w:rPr>
              <w:t>水果类</w:t>
            </w:r>
          </w:p>
        </w:tc>
        <w:tc>
          <w:tcPr>
            <w:tcW w:w="1008" w:type="dxa"/>
            <w:vAlign w:val="top"/>
          </w:tcPr>
          <w:p w14:paraId="253050D1">
            <w:pPr>
              <w:pStyle w:val="51"/>
              <w:spacing w:before="238" w:line="325" w:lineRule="auto"/>
              <w:ind w:left="287" w:right="88" w:hanging="187"/>
              <w:rPr>
                <w:sz w:val="17"/>
                <w:szCs w:val="17"/>
              </w:rPr>
            </w:pPr>
            <w:r>
              <w:rPr>
                <w:spacing w:val="7"/>
                <w:sz w:val="17"/>
                <w:szCs w:val="17"/>
              </w:rPr>
              <w:t>热带和亚热</w:t>
            </w:r>
            <w:r>
              <w:rPr>
                <w:spacing w:val="2"/>
                <w:sz w:val="17"/>
                <w:szCs w:val="17"/>
              </w:rPr>
              <w:t>带水果</w:t>
            </w:r>
          </w:p>
        </w:tc>
        <w:tc>
          <w:tcPr>
            <w:tcW w:w="1707" w:type="dxa"/>
            <w:vAlign w:val="top"/>
          </w:tcPr>
          <w:p w14:paraId="6F1E3308">
            <w:pPr>
              <w:spacing w:line="329" w:lineRule="auto"/>
              <w:rPr>
                <w:rFonts w:ascii="Arial"/>
                <w:sz w:val="21"/>
              </w:rPr>
            </w:pPr>
          </w:p>
          <w:p w14:paraId="2BAE28B4">
            <w:pPr>
              <w:pStyle w:val="51"/>
              <w:spacing w:before="55" w:line="227" w:lineRule="auto"/>
              <w:ind w:left="743"/>
              <w:rPr>
                <w:sz w:val="17"/>
                <w:szCs w:val="17"/>
              </w:rPr>
            </w:pPr>
            <w:r>
              <w:rPr>
                <w:spacing w:val="3"/>
                <w:sz w:val="17"/>
                <w:szCs w:val="17"/>
              </w:rPr>
              <w:t>杨梅</w:t>
            </w:r>
          </w:p>
        </w:tc>
        <w:tc>
          <w:tcPr>
            <w:tcW w:w="3093" w:type="dxa"/>
            <w:vAlign w:val="top"/>
          </w:tcPr>
          <w:p w14:paraId="6BCB61DB">
            <w:pPr>
              <w:pStyle w:val="51"/>
              <w:spacing w:before="87" w:line="292" w:lineRule="auto"/>
              <w:ind w:left="30" w:right="21"/>
              <w:jc w:val="both"/>
              <w:rPr>
                <w:sz w:val="17"/>
                <w:szCs w:val="17"/>
              </w:rPr>
            </w:pPr>
            <w:r>
              <w:rPr>
                <w:spacing w:val="10"/>
                <w:sz w:val="17"/>
                <w:szCs w:val="17"/>
              </w:rPr>
              <w:t>脱氢乙酸及其钠盐(以脱氢乙酸计)、甜蜜</w:t>
            </w:r>
            <w:r>
              <w:rPr>
                <w:spacing w:val="5"/>
                <w:sz w:val="17"/>
                <w:szCs w:val="17"/>
              </w:rPr>
              <w:t>素(以环己基氨基磺酸计)、糖精钠(以糖精</w:t>
            </w:r>
            <w:r>
              <w:rPr>
                <w:spacing w:val="2"/>
                <w:sz w:val="17"/>
                <w:szCs w:val="17"/>
              </w:rPr>
              <w:t>计)、啶虫</w:t>
            </w:r>
            <w:r>
              <w:rPr>
                <w:spacing w:val="21"/>
                <w:sz w:val="17"/>
                <w:szCs w:val="17"/>
              </w:rPr>
              <w:t xml:space="preserve">  </w:t>
            </w:r>
            <w:r>
              <w:rPr>
                <w:spacing w:val="2"/>
                <w:sz w:val="17"/>
                <w:szCs w:val="17"/>
              </w:rPr>
              <w:t>脒</w:t>
            </w:r>
          </w:p>
        </w:tc>
        <w:tc>
          <w:tcPr>
            <w:tcW w:w="5710" w:type="dxa"/>
            <w:vAlign w:val="top"/>
          </w:tcPr>
          <w:p w14:paraId="05A02B2F">
            <w:pPr>
              <w:spacing w:line="328" w:lineRule="auto"/>
              <w:rPr>
                <w:rFonts w:ascii="Arial"/>
                <w:sz w:val="21"/>
              </w:rPr>
            </w:pPr>
          </w:p>
          <w:p w14:paraId="4B74DAB1">
            <w:pPr>
              <w:pStyle w:val="51"/>
              <w:spacing w:before="56" w:line="227" w:lineRule="auto"/>
              <w:ind w:left="47"/>
              <w:rPr>
                <w:sz w:val="17"/>
                <w:szCs w:val="17"/>
              </w:rPr>
            </w:pPr>
            <w:r>
              <w:rPr>
                <w:spacing w:val="7"/>
                <w:sz w:val="17"/>
                <w:szCs w:val="17"/>
              </w:rPr>
              <w:t>山梨酸及其钾盐(以山梨酸计)、三氯蔗糖、氧乐果、阿维菌素</w:t>
            </w:r>
            <w:r>
              <w:rPr>
                <w:spacing w:val="50"/>
                <w:sz w:val="17"/>
                <w:szCs w:val="17"/>
              </w:rPr>
              <w:t xml:space="preserve"> </w:t>
            </w:r>
            <w:r>
              <w:rPr>
                <w:spacing w:val="7"/>
                <w:sz w:val="17"/>
                <w:szCs w:val="17"/>
              </w:rPr>
              <w:t>、纽甜</w:t>
            </w:r>
          </w:p>
        </w:tc>
        <w:tc>
          <w:tcPr>
            <w:tcW w:w="1218" w:type="dxa"/>
            <w:vAlign w:val="top"/>
          </w:tcPr>
          <w:p w14:paraId="44C564E8">
            <w:pPr>
              <w:rPr>
                <w:rFonts w:ascii="Arial"/>
                <w:sz w:val="21"/>
              </w:rPr>
            </w:pPr>
          </w:p>
        </w:tc>
      </w:tr>
      <w:tr w14:paraId="727138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577" w:type="dxa"/>
            <w:vMerge w:val="continue"/>
            <w:tcBorders>
              <w:top w:val="nil"/>
            </w:tcBorders>
            <w:vAlign w:val="top"/>
          </w:tcPr>
          <w:p w14:paraId="41B3F33E">
            <w:pPr>
              <w:rPr>
                <w:rFonts w:ascii="Arial"/>
                <w:sz w:val="21"/>
              </w:rPr>
            </w:pPr>
          </w:p>
        </w:tc>
        <w:tc>
          <w:tcPr>
            <w:tcW w:w="980" w:type="dxa"/>
            <w:vMerge w:val="continue"/>
            <w:tcBorders>
              <w:top w:val="nil"/>
            </w:tcBorders>
            <w:vAlign w:val="top"/>
          </w:tcPr>
          <w:p w14:paraId="32B3433B">
            <w:pPr>
              <w:rPr>
                <w:rFonts w:ascii="Arial"/>
                <w:sz w:val="21"/>
              </w:rPr>
            </w:pPr>
          </w:p>
        </w:tc>
        <w:tc>
          <w:tcPr>
            <w:tcW w:w="1008" w:type="dxa"/>
            <w:vAlign w:val="top"/>
          </w:tcPr>
          <w:p w14:paraId="76600692">
            <w:pPr>
              <w:pStyle w:val="51"/>
              <w:spacing w:before="238" w:line="228" w:lineRule="auto"/>
              <w:ind w:left="99"/>
              <w:rPr>
                <w:sz w:val="17"/>
                <w:szCs w:val="17"/>
              </w:rPr>
            </w:pPr>
            <w:r>
              <w:rPr>
                <w:spacing w:val="7"/>
                <w:sz w:val="17"/>
                <w:szCs w:val="17"/>
              </w:rPr>
              <w:t>仁果类水果</w:t>
            </w:r>
          </w:p>
        </w:tc>
        <w:tc>
          <w:tcPr>
            <w:tcW w:w="1707" w:type="dxa"/>
            <w:vAlign w:val="top"/>
          </w:tcPr>
          <w:p w14:paraId="1410FA51">
            <w:pPr>
              <w:pStyle w:val="51"/>
              <w:spacing w:before="238" w:line="228" w:lineRule="auto"/>
              <w:ind w:left="832"/>
              <w:rPr>
                <w:sz w:val="17"/>
                <w:szCs w:val="17"/>
              </w:rPr>
            </w:pPr>
            <w:r>
              <w:rPr>
                <w:sz w:val="17"/>
                <w:szCs w:val="17"/>
              </w:rPr>
              <w:t>梨</w:t>
            </w:r>
          </w:p>
        </w:tc>
        <w:tc>
          <w:tcPr>
            <w:tcW w:w="3093" w:type="dxa"/>
            <w:vAlign w:val="top"/>
          </w:tcPr>
          <w:p w14:paraId="59820A83">
            <w:pPr>
              <w:pStyle w:val="51"/>
              <w:spacing w:before="86" w:line="276" w:lineRule="auto"/>
              <w:ind w:left="38" w:right="19" w:firstLine="5"/>
              <w:rPr>
                <w:sz w:val="17"/>
                <w:szCs w:val="17"/>
              </w:rPr>
            </w:pPr>
            <w:r>
              <w:rPr>
                <w:spacing w:val="10"/>
                <w:sz w:val="17"/>
                <w:szCs w:val="17"/>
              </w:rPr>
              <w:t>乙螨唑、咪鲜胺和咪鲜胺锰盐、苯醚甲环</w:t>
            </w:r>
            <w:r>
              <w:rPr>
                <w:spacing w:val="8"/>
                <w:sz w:val="17"/>
                <w:szCs w:val="17"/>
              </w:rPr>
              <w:t>唑、氯氟氰菊酯和高效氯氟氰菊酯</w:t>
            </w:r>
          </w:p>
        </w:tc>
        <w:tc>
          <w:tcPr>
            <w:tcW w:w="5710" w:type="dxa"/>
            <w:vAlign w:val="top"/>
          </w:tcPr>
          <w:p w14:paraId="2598205D">
            <w:pPr>
              <w:pStyle w:val="51"/>
              <w:spacing w:before="86" w:line="276" w:lineRule="auto"/>
              <w:ind w:left="32" w:right="16" w:firstLine="7"/>
              <w:rPr>
                <w:sz w:val="17"/>
                <w:szCs w:val="17"/>
              </w:rPr>
            </w:pPr>
            <w:r>
              <w:rPr>
                <w:spacing w:val="8"/>
                <w:sz w:val="17"/>
                <w:szCs w:val="17"/>
              </w:rPr>
              <w:t>吡虫啉、敌敌畏、毒死蜱、多菌灵、克百威、氧乐果、水胺硫磷、噻虫嗪、乙酰甲胺磷、阿维菌素</w:t>
            </w:r>
          </w:p>
        </w:tc>
        <w:tc>
          <w:tcPr>
            <w:tcW w:w="1218" w:type="dxa"/>
            <w:vAlign w:val="top"/>
          </w:tcPr>
          <w:p w14:paraId="0A2549EF">
            <w:pPr>
              <w:rPr>
                <w:rFonts w:ascii="Arial"/>
                <w:sz w:val="21"/>
              </w:rPr>
            </w:pPr>
          </w:p>
        </w:tc>
      </w:tr>
      <w:tr w14:paraId="3E0067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0" w:hRule="atLeast"/>
        </w:trPr>
        <w:tc>
          <w:tcPr>
            <w:tcW w:w="577" w:type="dxa"/>
            <w:vMerge w:val="restart"/>
            <w:tcBorders>
              <w:bottom w:val="nil"/>
            </w:tcBorders>
            <w:vAlign w:val="top"/>
          </w:tcPr>
          <w:p w14:paraId="4B0526C9">
            <w:pPr>
              <w:spacing w:line="260" w:lineRule="auto"/>
              <w:rPr>
                <w:rFonts w:ascii="Arial"/>
                <w:sz w:val="21"/>
              </w:rPr>
            </w:pPr>
          </w:p>
          <w:p w14:paraId="40A77D10">
            <w:pPr>
              <w:spacing w:line="261" w:lineRule="auto"/>
              <w:rPr>
                <w:rFonts w:ascii="Arial"/>
                <w:sz w:val="21"/>
              </w:rPr>
            </w:pPr>
          </w:p>
          <w:p w14:paraId="1BCC23FF">
            <w:pPr>
              <w:spacing w:line="261" w:lineRule="auto"/>
              <w:rPr>
                <w:rFonts w:ascii="Arial"/>
                <w:sz w:val="21"/>
              </w:rPr>
            </w:pPr>
          </w:p>
          <w:p w14:paraId="14E4EBEB">
            <w:pPr>
              <w:pStyle w:val="51"/>
              <w:spacing w:before="55" w:line="227" w:lineRule="exact"/>
              <w:ind w:left="272"/>
              <w:rPr>
                <w:sz w:val="17"/>
                <w:szCs w:val="17"/>
              </w:rPr>
            </w:pPr>
            <w:r>
              <w:rPr>
                <w:position w:val="1"/>
                <w:sz w:val="17"/>
                <w:szCs w:val="17"/>
              </w:rPr>
              <w:t>5</w:t>
            </w:r>
          </w:p>
        </w:tc>
        <w:tc>
          <w:tcPr>
            <w:tcW w:w="980" w:type="dxa"/>
            <w:vMerge w:val="restart"/>
            <w:tcBorders>
              <w:bottom w:val="nil"/>
            </w:tcBorders>
            <w:vAlign w:val="top"/>
          </w:tcPr>
          <w:p w14:paraId="4C4254F8">
            <w:pPr>
              <w:spacing w:line="260" w:lineRule="auto"/>
              <w:rPr>
                <w:rFonts w:ascii="Arial"/>
                <w:sz w:val="21"/>
              </w:rPr>
            </w:pPr>
          </w:p>
          <w:p w14:paraId="469208B0">
            <w:pPr>
              <w:spacing w:line="261" w:lineRule="auto"/>
              <w:rPr>
                <w:rFonts w:ascii="Arial"/>
                <w:sz w:val="21"/>
              </w:rPr>
            </w:pPr>
          </w:p>
          <w:p w14:paraId="047DCC4A">
            <w:pPr>
              <w:spacing w:line="261" w:lineRule="auto"/>
              <w:rPr>
                <w:rFonts w:ascii="Arial"/>
                <w:sz w:val="21"/>
              </w:rPr>
            </w:pPr>
          </w:p>
          <w:p w14:paraId="3B9875D5">
            <w:pPr>
              <w:pStyle w:val="51"/>
              <w:spacing w:before="55" w:line="228" w:lineRule="auto"/>
              <w:ind w:left="352"/>
              <w:rPr>
                <w:sz w:val="17"/>
                <w:szCs w:val="17"/>
              </w:rPr>
            </w:pPr>
            <w:r>
              <w:rPr>
                <w:spacing w:val="3"/>
                <w:sz w:val="17"/>
                <w:szCs w:val="17"/>
              </w:rPr>
              <w:t>鲜蛋</w:t>
            </w:r>
          </w:p>
        </w:tc>
        <w:tc>
          <w:tcPr>
            <w:tcW w:w="1008" w:type="dxa"/>
            <w:vMerge w:val="restart"/>
            <w:tcBorders>
              <w:bottom w:val="nil"/>
            </w:tcBorders>
            <w:vAlign w:val="top"/>
          </w:tcPr>
          <w:p w14:paraId="12C3E9B0">
            <w:pPr>
              <w:spacing w:line="260" w:lineRule="auto"/>
              <w:rPr>
                <w:rFonts w:ascii="Arial"/>
                <w:sz w:val="21"/>
              </w:rPr>
            </w:pPr>
          </w:p>
          <w:p w14:paraId="17593D94">
            <w:pPr>
              <w:spacing w:line="261" w:lineRule="auto"/>
              <w:rPr>
                <w:rFonts w:ascii="Arial"/>
                <w:sz w:val="21"/>
              </w:rPr>
            </w:pPr>
          </w:p>
          <w:p w14:paraId="0F3C930B">
            <w:pPr>
              <w:spacing w:line="261" w:lineRule="auto"/>
              <w:rPr>
                <w:rFonts w:ascii="Arial"/>
                <w:sz w:val="21"/>
              </w:rPr>
            </w:pPr>
          </w:p>
          <w:p w14:paraId="57F1361E">
            <w:pPr>
              <w:pStyle w:val="51"/>
              <w:spacing w:before="55" w:line="228" w:lineRule="auto"/>
              <w:ind w:left="367"/>
              <w:rPr>
                <w:sz w:val="17"/>
                <w:szCs w:val="17"/>
              </w:rPr>
            </w:pPr>
            <w:r>
              <w:rPr>
                <w:spacing w:val="3"/>
                <w:sz w:val="17"/>
                <w:szCs w:val="17"/>
              </w:rPr>
              <w:t>鲜蛋</w:t>
            </w:r>
          </w:p>
        </w:tc>
        <w:tc>
          <w:tcPr>
            <w:tcW w:w="1707" w:type="dxa"/>
            <w:vAlign w:val="top"/>
          </w:tcPr>
          <w:p w14:paraId="6083D05B">
            <w:pPr>
              <w:spacing w:line="331" w:lineRule="auto"/>
              <w:rPr>
                <w:rFonts w:ascii="Arial"/>
                <w:sz w:val="21"/>
              </w:rPr>
            </w:pPr>
          </w:p>
          <w:p w14:paraId="32F47C9E">
            <w:pPr>
              <w:pStyle w:val="51"/>
              <w:spacing w:before="56" w:line="230" w:lineRule="auto"/>
              <w:ind w:left="741"/>
              <w:rPr>
                <w:sz w:val="17"/>
                <w:szCs w:val="17"/>
              </w:rPr>
            </w:pPr>
            <w:r>
              <w:rPr>
                <w:spacing w:val="4"/>
                <w:sz w:val="17"/>
                <w:szCs w:val="17"/>
              </w:rPr>
              <w:t>鸡蛋</w:t>
            </w:r>
          </w:p>
        </w:tc>
        <w:tc>
          <w:tcPr>
            <w:tcW w:w="3093" w:type="dxa"/>
            <w:vAlign w:val="top"/>
          </w:tcPr>
          <w:p w14:paraId="5B039636">
            <w:pPr>
              <w:pStyle w:val="51"/>
              <w:spacing w:before="88" w:line="292" w:lineRule="auto"/>
              <w:ind w:left="30" w:right="49" w:firstLine="10"/>
              <w:jc w:val="both"/>
              <w:rPr>
                <w:sz w:val="17"/>
                <w:szCs w:val="17"/>
              </w:rPr>
            </w:pPr>
            <w:r>
              <w:rPr>
                <w:spacing w:val="8"/>
                <w:sz w:val="17"/>
                <w:szCs w:val="17"/>
              </w:rPr>
              <w:t>多西环素、甲氧苄啶、磺胺类(总量)、甲</w:t>
            </w:r>
            <w:r>
              <w:rPr>
                <w:spacing w:val="9"/>
                <w:sz w:val="17"/>
                <w:szCs w:val="17"/>
              </w:rPr>
              <w:t>硝唑、氟苯尼考、地美硝唑、恩诺沙星、</w:t>
            </w:r>
            <w:r>
              <w:rPr>
                <w:spacing w:val="7"/>
                <w:sz w:val="17"/>
                <w:szCs w:val="17"/>
              </w:rPr>
              <w:t>托曲珠利</w:t>
            </w:r>
          </w:p>
        </w:tc>
        <w:tc>
          <w:tcPr>
            <w:tcW w:w="5710" w:type="dxa"/>
            <w:vAlign w:val="top"/>
          </w:tcPr>
          <w:p w14:paraId="0DB65E94">
            <w:pPr>
              <w:pStyle w:val="51"/>
              <w:spacing w:before="238" w:line="326" w:lineRule="auto"/>
              <w:ind w:left="34" w:right="7" w:firstLine="4"/>
              <w:rPr>
                <w:sz w:val="17"/>
                <w:szCs w:val="17"/>
              </w:rPr>
            </w:pPr>
            <w:r>
              <w:rPr>
                <w:spacing w:val="8"/>
                <w:sz w:val="17"/>
                <w:szCs w:val="17"/>
              </w:rPr>
              <w:t>呋喃唑酮代谢物、呋喃西林代谢物、氟虫腈、氯霉素、甲砜霉素、氧氟沙星、沙拉沙星、地克珠利</w:t>
            </w:r>
          </w:p>
        </w:tc>
        <w:tc>
          <w:tcPr>
            <w:tcW w:w="1218" w:type="dxa"/>
            <w:vAlign w:val="top"/>
          </w:tcPr>
          <w:p w14:paraId="23331091">
            <w:pPr>
              <w:rPr>
                <w:rFonts w:ascii="Arial"/>
                <w:sz w:val="21"/>
              </w:rPr>
            </w:pPr>
          </w:p>
        </w:tc>
      </w:tr>
      <w:tr w14:paraId="590D71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9" w:hRule="atLeast"/>
        </w:trPr>
        <w:tc>
          <w:tcPr>
            <w:tcW w:w="577" w:type="dxa"/>
            <w:vMerge w:val="continue"/>
            <w:tcBorders>
              <w:top w:val="nil"/>
            </w:tcBorders>
            <w:vAlign w:val="top"/>
          </w:tcPr>
          <w:p w14:paraId="0145E190">
            <w:pPr>
              <w:rPr>
                <w:rFonts w:ascii="Arial"/>
                <w:sz w:val="21"/>
              </w:rPr>
            </w:pPr>
          </w:p>
        </w:tc>
        <w:tc>
          <w:tcPr>
            <w:tcW w:w="980" w:type="dxa"/>
            <w:vMerge w:val="continue"/>
            <w:tcBorders>
              <w:top w:val="nil"/>
            </w:tcBorders>
            <w:vAlign w:val="top"/>
          </w:tcPr>
          <w:p w14:paraId="605AFDC9">
            <w:pPr>
              <w:rPr>
                <w:rFonts w:ascii="Arial"/>
                <w:sz w:val="21"/>
              </w:rPr>
            </w:pPr>
          </w:p>
        </w:tc>
        <w:tc>
          <w:tcPr>
            <w:tcW w:w="1008" w:type="dxa"/>
            <w:vMerge w:val="continue"/>
            <w:tcBorders>
              <w:top w:val="nil"/>
            </w:tcBorders>
            <w:vAlign w:val="top"/>
          </w:tcPr>
          <w:p w14:paraId="53B66DBE">
            <w:pPr>
              <w:rPr>
                <w:rFonts w:ascii="Arial"/>
                <w:sz w:val="21"/>
              </w:rPr>
            </w:pPr>
          </w:p>
        </w:tc>
        <w:tc>
          <w:tcPr>
            <w:tcW w:w="1707" w:type="dxa"/>
            <w:vAlign w:val="top"/>
          </w:tcPr>
          <w:p w14:paraId="0021FB7C">
            <w:pPr>
              <w:spacing w:line="331" w:lineRule="auto"/>
              <w:rPr>
                <w:rFonts w:ascii="Arial"/>
                <w:sz w:val="21"/>
              </w:rPr>
            </w:pPr>
          </w:p>
          <w:p w14:paraId="15AAC473">
            <w:pPr>
              <w:pStyle w:val="51"/>
              <w:spacing w:before="55" w:line="227" w:lineRule="auto"/>
              <w:ind w:left="563"/>
              <w:rPr>
                <w:sz w:val="17"/>
                <w:szCs w:val="17"/>
              </w:rPr>
            </w:pPr>
            <w:r>
              <w:rPr>
                <w:spacing w:val="6"/>
                <w:sz w:val="17"/>
                <w:szCs w:val="17"/>
              </w:rPr>
              <w:t>其他禽蛋</w:t>
            </w:r>
          </w:p>
        </w:tc>
        <w:tc>
          <w:tcPr>
            <w:tcW w:w="3093" w:type="dxa"/>
            <w:vAlign w:val="top"/>
          </w:tcPr>
          <w:p w14:paraId="4F6CC4ED">
            <w:pPr>
              <w:spacing w:line="331" w:lineRule="auto"/>
              <w:rPr>
                <w:rFonts w:ascii="Arial"/>
                <w:sz w:val="21"/>
              </w:rPr>
            </w:pPr>
          </w:p>
          <w:p w14:paraId="08AF4B13">
            <w:pPr>
              <w:pStyle w:val="51"/>
              <w:spacing w:before="55" w:line="228" w:lineRule="auto"/>
              <w:ind w:left="41"/>
              <w:rPr>
                <w:sz w:val="17"/>
                <w:szCs w:val="17"/>
              </w:rPr>
            </w:pPr>
            <w:r>
              <w:rPr>
                <w:spacing w:val="7"/>
                <w:sz w:val="17"/>
                <w:szCs w:val="17"/>
              </w:rPr>
              <w:t>多西环素、磺胺类(总量 )</w:t>
            </w:r>
          </w:p>
        </w:tc>
        <w:tc>
          <w:tcPr>
            <w:tcW w:w="5710" w:type="dxa"/>
            <w:vAlign w:val="top"/>
          </w:tcPr>
          <w:p w14:paraId="5D29EBF5">
            <w:pPr>
              <w:spacing w:line="330" w:lineRule="auto"/>
              <w:rPr>
                <w:rFonts w:ascii="Arial"/>
                <w:sz w:val="21"/>
              </w:rPr>
            </w:pPr>
          </w:p>
          <w:p w14:paraId="172A1785">
            <w:pPr>
              <w:pStyle w:val="51"/>
              <w:spacing w:before="56" w:line="227" w:lineRule="auto"/>
              <w:ind w:left="39"/>
              <w:rPr>
                <w:sz w:val="17"/>
                <w:szCs w:val="17"/>
              </w:rPr>
            </w:pPr>
            <w:r>
              <w:rPr>
                <w:spacing w:val="8"/>
                <w:sz w:val="17"/>
                <w:szCs w:val="17"/>
              </w:rPr>
              <w:t>呋喃唑酮代谢物、氯霉素</w:t>
            </w:r>
          </w:p>
        </w:tc>
        <w:tc>
          <w:tcPr>
            <w:tcW w:w="1218" w:type="dxa"/>
            <w:vAlign w:val="top"/>
          </w:tcPr>
          <w:p w14:paraId="540E9853">
            <w:pPr>
              <w:pStyle w:val="51"/>
              <w:spacing w:before="87" w:line="292" w:lineRule="auto"/>
              <w:ind w:left="33" w:right="22" w:hanging="1"/>
              <w:jc w:val="both"/>
              <w:rPr>
                <w:sz w:val="17"/>
                <w:szCs w:val="17"/>
              </w:rPr>
            </w:pPr>
            <w:r>
              <w:rPr>
                <w:spacing w:val="13"/>
                <w:sz w:val="17"/>
                <w:szCs w:val="17"/>
              </w:rPr>
              <w:t>仅鸭蛋、鹅蛋</w:t>
            </w:r>
            <w:r>
              <w:rPr>
                <w:spacing w:val="-5"/>
                <w:sz w:val="17"/>
                <w:szCs w:val="17"/>
              </w:rPr>
              <w:t>检</w:t>
            </w:r>
            <w:r>
              <w:rPr>
                <w:spacing w:val="-20"/>
                <w:sz w:val="17"/>
                <w:szCs w:val="17"/>
              </w:rPr>
              <w:t xml:space="preserve"> </w:t>
            </w:r>
            <w:r>
              <w:rPr>
                <w:spacing w:val="-5"/>
                <w:sz w:val="17"/>
                <w:szCs w:val="17"/>
              </w:rPr>
              <w:t>测</w:t>
            </w:r>
            <w:r>
              <w:rPr>
                <w:spacing w:val="-10"/>
                <w:sz w:val="17"/>
                <w:szCs w:val="17"/>
              </w:rPr>
              <w:t xml:space="preserve"> </w:t>
            </w:r>
            <w:r>
              <w:rPr>
                <w:spacing w:val="-5"/>
                <w:sz w:val="17"/>
                <w:szCs w:val="17"/>
              </w:rPr>
              <w:t>多</w:t>
            </w:r>
            <w:r>
              <w:rPr>
                <w:spacing w:val="-18"/>
                <w:sz w:val="17"/>
                <w:szCs w:val="17"/>
              </w:rPr>
              <w:t xml:space="preserve"> </w:t>
            </w:r>
            <w:r>
              <w:rPr>
                <w:spacing w:val="-5"/>
                <w:sz w:val="17"/>
                <w:szCs w:val="17"/>
              </w:rPr>
              <w:t>西</w:t>
            </w:r>
            <w:r>
              <w:rPr>
                <w:spacing w:val="-20"/>
                <w:sz w:val="17"/>
                <w:szCs w:val="17"/>
              </w:rPr>
              <w:t xml:space="preserve"> </w:t>
            </w:r>
            <w:r>
              <w:rPr>
                <w:spacing w:val="-5"/>
                <w:sz w:val="17"/>
                <w:szCs w:val="17"/>
              </w:rPr>
              <w:t>环</w:t>
            </w:r>
            <w:r>
              <w:rPr>
                <w:spacing w:val="-6"/>
                <w:sz w:val="17"/>
                <w:szCs w:val="17"/>
              </w:rPr>
              <w:t>素。</w:t>
            </w:r>
          </w:p>
        </w:tc>
      </w:tr>
      <w:tr w14:paraId="3C9718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09" w:hRule="atLeast"/>
        </w:trPr>
        <w:tc>
          <w:tcPr>
            <w:tcW w:w="577" w:type="dxa"/>
            <w:vAlign w:val="top"/>
          </w:tcPr>
          <w:p w14:paraId="456EAEAB">
            <w:pPr>
              <w:spacing w:line="339" w:lineRule="auto"/>
              <w:rPr>
                <w:rFonts w:ascii="Arial"/>
                <w:sz w:val="21"/>
              </w:rPr>
            </w:pPr>
          </w:p>
          <w:p w14:paraId="7907AD0E">
            <w:pPr>
              <w:pStyle w:val="51"/>
              <w:spacing w:before="55" w:line="227" w:lineRule="exact"/>
              <w:ind w:left="270"/>
              <w:rPr>
                <w:sz w:val="17"/>
                <w:szCs w:val="17"/>
              </w:rPr>
            </w:pPr>
            <w:r>
              <w:rPr>
                <w:position w:val="1"/>
                <w:sz w:val="17"/>
                <w:szCs w:val="17"/>
              </w:rPr>
              <w:t>6</w:t>
            </w:r>
          </w:p>
        </w:tc>
        <w:tc>
          <w:tcPr>
            <w:tcW w:w="980" w:type="dxa"/>
            <w:vAlign w:val="top"/>
          </w:tcPr>
          <w:p w14:paraId="456CF623">
            <w:pPr>
              <w:pStyle w:val="51"/>
              <w:spacing w:before="245" w:line="327" w:lineRule="auto"/>
              <w:ind w:left="293" w:right="28" w:hanging="294"/>
              <w:rPr>
                <w:sz w:val="17"/>
                <w:szCs w:val="17"/>
              </w:rPr>
            </w:pPr>
            <w:r>
              <w:rPr>
                <w:spacing w:val="-1"/>
                <w:sz w:val="17"/>
                <w:szCs w:val="17"/>
              </w:rPr>
              <w:t>生干坚果与籽类食品</w:t>
            </w:r>
          </w:p>
        </w:tc>
        <w:tc>
          <w:tcPr>
            <w:tcW w:w="1008" w:type="dxa"/>
            <w:vAlign w:val="top"/>
          </w:tcPr>
          <w:p w14:paraId="402E5F4C">
            <w:pPr>
              <w:pStyle w:val="51"/>
              <w:spacing w:before="244" w:line="326" w:lineRule="auto"/>
              <w:ind w:left="188" w:right="88" w:hanging="79"/>
              <w:rPr>
                <w:sz w:val="17"/>
                <w:szCs w:val="17"/>
              </w:rPr>
            </w:pPr>
            <w:r>
              <w:rPr>
                <w:spacing w:val="5"/>
                <w:sz w:val="17"/>
                <w:szCs w:val="17"/>
              </w:rPr>
              <w:t>生干坚果与</w:t>
            </w:r>
            <w:r>
              <w:rPr>
                <w:spacing w:val="6"/>
                <w:sz w:val="17"/>
                <w:szCs w:val="17"/>
              </w:rPr>
              <w:t>籽类食品</w:t>
            </w:r>
          </w:p>
        </w:tc>
        <w:tc>
          <w:tcPr>
            <w:tcW w:w="1707" w:type="dxa"/>
            <w:vAlign w:val="top"/>
          </w:tcPr>
          <w:p w14:paraId="1F5CBF2B">
            <w:pPr>
              <w:spacing w:line="338" w:lineRule="auto"/>
              <w:rPr>
                <w:rFonts w:ascii="Arial"/>
                <w:sz w:val="21"/>
              </w:rPr>
            </w:pPr>
          </w:p>
          <w:p w14:paraId="3065C55A">
            <w:pPr>
              <w:pStyle w:val="51"/>
              <w:spacing w:before="56" w:line="226" w:lineRule="auto"/>
              <w:ind w:left="743"/>
              <w:rPr>
                <w:sz w:val="17"/>
                <w:szCs w:val="17"/>
              </w:rPr>
            </w:pPr>
            <w:r>
              <w:rPr>
                <w:spacing w:val="3"/>
                <w:sz w:val="17"/>
                <w:szCs w:val="17"/>
              </w:rPr>
              <w:t>花生</w:t>
            </w:r>
          </w:p>
        </w:tc>
        <w:tc>
          <w:tcPr>
            <w:tcW w:w="3093" w:type="dxa"/>
            <w:vAlign w:val="top"/>
          </w:tcPr>
          <w:p w14:paraId="4CD70BC9">
            <w:pPr>
              <w:spacing w:line="339" w:lineRule="auto"/>
              <w:rPr>
                <w:rFonts w:ascii="Arial"/>
                <w:sz w:val="21"/>
              </w:rPr>
            </w:pPr>
          </w:p>
          <w:p w14:paraId="14178740">
            <w:pPr>
              <w:pStyle w:val="51"/>
              <w:spacing w:before="55" w:line="241" w:lineRule="auto"/>
              <w:ind w:left="30"/>
              <w:rPr>
                <w:sz w:val="8"/>
                <w:szCs w:val="8"/>
              </w:rPr>
            </w:pPr>
            <w:r>
              <w:rPr>
                <w:spacing w:val="7"/>
                <w:sz w:val="17"/>
                <w:szCs w:val="17"/>
              </w:rPr>
              <w:t>酸价、黄曲霉毒素B</w:t>
            </w:r>
            <w:r>
              <w:rPr>
                <w:spacing w:val="7"/>
                <w:position w:val="-2"/>
                <w:sz w:val="8"/>
                <w:szCs w:val="8"/>
              </w:rPr>
              <w:t>1</w:t>
            </w:r>
          </w:p>
        </w:tc>
        <w:tc>
          <w:tcPr>
            <w:tcW w:w="5710" w:type="dxa"/>
            <w:vAlign w:val="top"/>
          </w:tcPr>
          <w:p w14:paraId="04DF0863">
            <w:pPr>
              <w:spacing w:line="339" w:lineRule="auto"/>
              <w:rPr>
                <w:rFonts w:ascii="Arial"/>
                <w:sz w:val="21"/>
              </w:rPr>
            </w:pPr>
          </w:p>
          <w:p w14:paraId="468A0EC6">
            <w:pPr>
              <w:pStyle w:val="51"/>
              <w:spacing w:before="55" w:line="228" w:lineRule="auto"/>
              <w:ind w:left="33"/>
              <w:rPr>
                <w:sz w:val="17"/>
                <w:szCs w:val="17"/>
              </w:rPr>
            </w:pPr>
            <w:r>
              <w:rPr>
                <w:spacing w:val="9"/>
                <w:sz w:val="17"/>
                <w:szCs w:val="17"/>
              </w:rPr>
              <w:t>过氧化值(以脂肪计)、铅(以</w:t>
            </w:r>
            <w:r>
              <w:rPr>
                <w:sz w:val="17"/>
                <w:szCs w:val="17"/>
              </w:rPr>
              <w:t>Pb</w:t>
            </w:r>
            <w:r>
              <w:rPr>
                <w:spacing w:val="9"/>
                <w:sz w:val="17"/>
                <w:szCs w:val="17"/>
              </w:rPr>
              <w:t>计)、镉(以</w:t>
            </w:r>
            <w:r>
              <w:rPr>
                <w:sz w:val="17"/>
                <w:szCs w:val="17"/>
              </w:rPr>
              <w:t>Cd</w:t>
            </w:r>
            <w:r>
              <w:rPr>
                <w:spacing w:val="9"/>
                <w:sz w:val="17"/>
                <w:szCs w:val="17"/>
              </w:rPr>
              <w:t>计</w:t>
            </w:r>
            <w:r>
              <w:rPr>
                <w:spacing w:val="8"/>
                <w:sz w:val="17"/>
                <w:szCs w:val="17"/>
              </w:rPr>
              <w:t>)、噻虫嗪、噻虫胺</w:t>
            </w:r>
          </w:p>
        </w:tc>
        <w:tc>
          <w:tcPr>
            <w:tcW w:w="1218" w:type="dxa"/>
            <w:vAlign w:val="top"/>
          </w:tcPr>
          <w:p w14:paraId="1301E6CD">
            <w:pPr>
              <w:rPr>
                <w:rFonts w:ascii="Arial"/>
                <w:sz w:val="21"/>
              </w:rPr>
            </w:pPr>
          </w:p>
        </w:tc>
      </w:tr>
      <w:tr w14:paraId="2C7177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4" w:hRule="atLeast"/>
        </w:trPr>
        <w:tc>
          <w:tcPr>
            <w:tcW w:w="14293" w:type="dxa"/>
            <w:gridSpan w:val="7"/>
            <w:vAlign w:val="top"/>
          </w:tcPr>
          <w:p w14:paraId="49B98443">
            <w:pPr>
              <w:pStyle w:val="51"/>
              <w:spacing w:before="89" w:line="325" w:lineRule="auto"/>
              <w:ind w:left="34" w:right="23" w:firstLine="5"/>
              <w:rPr>
                <w:sz w:val="17"/>
                <w:szCs w:val="17"/>
              </w:rPr>
            </w:pPr>
            <w:r>
              <w:rPr>
                <w:spacing w:val="10"/>
                <w:sz w:val="17"/>
                <w:szCs w:val="17"/>
              </w:rPr>
              <w:t>注：1.部分项目检测结果说明：恩诺沙星检验结果以恩诺沙星与环丙沙星之和计；孔雀石绿检验结果以孔</w:t>
            </w:r>
            <w:r>
              <w:rPr>
                <w:spacing w:val="9"/>
                <w:sz w:val="17"/>
                <w:szCs w:val="17"/>
              </w:rPr>
              <w:t>雀石绿与隐色孔雀石绿之和计，以孔雀石绿表示；磺胺类(总量)包含的具体磺胺药物按</w:t>
            </w:r>
            <w:r>
              <w:rPr>
                <w:spacing w:val="8"/>
                <w:sz w:val="17"/>
                <w:szCs w:val="17"/>
              </w:rPr>
              <w:t>食品安全监督抽检实施细则(2026年版)中相应食</w:t>
            </w:r>
            <w:r>
              <w:rPr>
                <w:spacing w:val="7"/>
                <w:sz w:val="17"/>
                <w:szCs w:val="17"/>
              </w:rPr>
              <w:t>品类别要求检验。</w:t>
            </w:r>
          </w:p>
          <w:p w14:paraId="2980D489">
            <w:pPr>
              <w:pStyle w:val="51"/>
              <w:spacing w:line="226" w:lineRule="auto"/>
              <w:ind w:left="31"/>
              <w:rPr>
                <w:sz w:val="17"/>
                <w:szCs w:val="17"/>
              </w:rPr>
            </w:pPr>
            <w:r>
              <w:rPr>
                <w:spacing w:val="8"/>
                <w:sz w:val="17"/>
                <w:szCs w:val="17"/>
              </w:rPr>
              <w:t>2.脂肪含量低的莲子、板栗类等食品，其酸价、过氧化值不作要求。</w:t>
            </w:r>
          </w:p>
          <w:p w14:paraId="17C8DB84">
            <w:pPr>
              <w:pStyle w:val="51"/>
              <w:spacing w:before="91" w:line="226" w:lineRule="auto"/>
              <w:ind w:left="32"/>
              <w:rPr>
                <w:sz w:val="17"/>
                <w:szCs w:val="17"/>
              </w:rPr>
            </w:pPr>
            <w:r>
              <w:rPr>
                <w:spacing w:val="4"/>
                <w:sz w:val="17"/>
                <w:szCs w:val="17"/>
              </w:rPr>
              <w:t>3.可选项目选择原则：</w:t>
            </w:r>
          </w:p>
          <w:p w14:paraId="0B5B7B7A">
            <w:pPr>
              <w:pStyle w:val="51"/>
              <w:spacing w:before="92" w:line="225" w:lineRule="auto"/>
              <w:ind w:left="60"/>
              <w:rPr>
                <w:sz w:val="17"/>
                <w:szCs w:val="17"/>
              </w:rPr>
            </w:pPr>
            <w:r>
              <w:rPr>
                <w:spacing w:val="9"/>
                <w:sz w:val="17"/>
                <w:szCs w:val="17"/>
              </w:rPr>
              <w:t>(1)金刚烷胺、利巴韦林等药物在相关限量标准发布实施前不得纳入监督抽检；鉴于检测方法等问题</w:t>
            </w:r>
            <w:r>
              <w:rPr>
                <w:spacing w:val="8"/>
                <w:sz w:val="17"/>
                <w:szCs w:val="17"/>
              </w:rPr>
              <w:t>，虾、蟹中呋喃西林代谢物不纳入监督抽检。</w:t>
            </w:r>
          </w:p>
          <w:p w14:paraId="4F728559">
            <w:pPr>
              <w:pStyle w:val="51"/>
              <w:spacing w:before="93" w:line="225" w:lineRule="auto"/>
              <w:ind w:left="60"/>
              <w:rPr>
                <w:sz w:val="17"/>
                <w:szCs w:val="17"/>
              </w:rPr>
            </w:pPr>
            <w:r>
              <w:rPr>
                <w:spacing w:val="5"/>
                <w:sz w:val="17"/>
                <w:szCs w:val="17"/>
              </w:rPr>
              <w:t>(2)可选项目应根据当地农业投入品使用情况及既往抽检不合格、当地舆情等情况选择，如在本表可选项目之外确定检测项目时</w:t>
            </w:r>
            <w:r>
              <w:rPr>
                <w:spacing w:val="4"/>
                <w:sz w:val="17"/>
                <w:szCs w:val="17"/>
              </w:rPr>
              <w:t>，应注意：农药残留项目在</w:t>
            </w:r>
            <w:r>
              <w:rPr>
                <w:sz w:val="17"/>
                <w:szCs w:val="17"/>
              </w:rPr>
              <w:t>GB</w:t>
            </w:r>
            <w:r>
              <w:rPr>
                <w:spacing w:val="-30"/>
                <w:sz w:val="17"/>
                <w:szCs w:val="17"/>
              </w:rPr>
              <w:t xml:space="preserve"> </w:t>
            </w:r>
            <w:r>
              <w:rPr>
                <w:spacing w:val="4"/>
                <w:sz w:val="17"/>
                <w:szCs w:val="17"/>
              </w:rPr>
              <w:t>2763—2026或</w:t>
            </w:r>
            <w:r>
              <w:rPr>
                <w:sz w:val="17"/>
                <w:szCs w:val="17"/>
              </w:rPr>
              <w:t>GB</w:t>
            </w:r>
            <w:r>
              <w:rPr>
                <w:spacing w:val="4"/>
                <w:sz w:val="17"/>
                <w:szCs w:val="17"/>
              </w:rPr>
              <w:t>2763—2021、</w:t>
            </w:r>
            <w:r>
              <w:rPr>
                <w:sz w:val="17"/>
                <w:szCs w:val="17"/>
              </w:rPr>
              <w:t>GB</w:t>
            </w:r>
            <w:r>
              <w:rPr>
                <w:spacing w:val="-32"/>
                <w:sz w:val="17"/>
                <w:szCs w:val="17"/>
              </w:rPr>
              <w:t xml:space="preserve"> </w:t>
            </w:r>
            <w:r>
              <w:rPr>
                <w:spacing w:val="4"/>
                <w:sz w:val="17"/>
                <w:szCs w:val="17"/>
              </w:rPr>
              <w:t>2763.1</w:t>
            </w:r>
          </w:p>
          <w:p w14:paraId="5C6D56B8">
            <w:pPr>
              <w:pStyle w:val="51"/>
              <w:spacing w:before="93" w:line="325" w:lineRule="auto"/>
              <w:ind w:left="34" w:right="23" w:hanging="6"/>
              <w:rPr>
                <w:sz w:val="17"/>
                <w:szCs w:val="17"/>
              </w:rPr>
            </w:pPr>
            <w:r>
              <w:rPr>
                <w:spacing w:val="8"/>
                <w:sz w:val="17"/>
                <w:szCs w:val="17"/>
              </w:rPr>
              <w:t>—2022(生产日期在2026年3月1</w:t>
            </w:r>
            <w:r>
              <w:rPr>
                <w:spacing w:val="-37"/>
                <w:sz w:val="17"/>
                <w:szCs w:val="17"/>
              </w:rPr>
              <w:t xml:space="preserve"> </w:t>
            </w:r>
            <w:r>
              <w:rPr>
                <w:spacing w:val="8"/>
                <w:sz w:val="17"/>
                <w:szCs w:val="17"/>
              </w:rPr>
              <w:t>日前的产品)标准中有该品种最大允许残留限量及相应指</w:t>
            </w:r>
            <w:r>
              <w:rPr>
                <w:spacing w:val="7"/>
                <w:sz w:val="17"/>
                <w:szCs w:val="17"/>
              </w:rPr>
              <w:t>定检测方法；兽药项目在</w:t>
            </w:r>
            <w:r>
              <w:rPr>
                <w:sz w:val="17"/>
                <w:szCs w:val="17"/>
              </w:rPr>
              <w:t>GB</w:t>
            </w:r>
            <w:r>
              <w:rPr>
                <w:spacing w:val="-30"/>
                <w:sz w:val="17"/>
                <w:szCs w:val="17"/>
              </w:rPr>
              <w:t xml:space="preserve"> </w:t>
            </w:r>
            <w:r>
              <w:rPr>
                <w:spacing w:val="7"/>
                <w:sz w:val="17"/>
                <w:szCs w:val="17"/>
              </w:rPr>
              <w:t>31650—2019、</w:t>
            </w:r>
            <w:r>
              <w:rPr>
                <w:sz w:val="17"/>
                <w:szCs w:val="17"/>
              </w:rPr>
              <w:t>GB</w:t>
            </w:r>
            <w:r>
              <w:rPr>
                <w:spacing w:val="7"/>
                <w:sz w:val="17"/>
                <w:szCs w:val="17"/>
              </w:rPr>
              <w:t>31650.1—2022有该动物类别相应组织部位的允许限量，或农</w:t>
            </w:r>
            <w:r>
              <w:rPr>
                <w:spacing w:val="9"/>
                <w:sz w:val="17"/>
                <w:szCs w:val="17"/>
              </w:rPr>
              <w:t>业农村部公告250号有禁用要求，且有适用检测方法(检测范围应包含该动物及相应组织部位),符合上述要求的农兽药项目方可</w:t>
            </w:r>
            <w:r>
              <w:rPr>
                <w:spacing w:val="8"/>
                <w:sz w:val="17"/>
                <w:szCs w:val="17"/>
              </w:rPr>
              <w:t>纳入监督抽检。</w:t>
            </w:r>
          </w:p>
          <w:p w14:paraId="63C002F5">
            <w:pPr>
              <w:pStyle w:val="51"/>
              <w:spacing w:before="1" w:line="276" w:lineRule="auto"/>
              <w:ind w:left="34" w:right="23" w:hanging="6"/>
              <w:rPr>
                <w:sz w:val="17"/>
                <w:szCs w:val="17"/>
              </w:rPr>
            </w:pPr>
            <w:r>
              <w:rPr>
                <w:spacing w:val="9"/>
                <w:sz w:val="17"/>
                <w:szCs w:val="17"/>
              </w:rPr>
              <w:t>4.因其他水产品中包含除重点品种牛蛙、鱿鱼外的其他水产品，其他禽蛋包含除鸭蛋、鹅蛋外的其他禽蛋无适用的多西环素检测方法，因此“</w:t>
            </w:r>
            <w:r>
              <w:rPr>
                <w:spacing w:val="-41"/>
                <w:sz w:val="17"/>
                <w:szCs w:val="17"/>
              </w:rPr>
              <w:t xml:space="preserve"> </w:t>
            </w:r>
            <w:r>
              <w:rPr>
                <w:spacing w:val="9"/>
                <w:sz w:val="17"/>
                <w:szCs w:val="17"/>
              </w:rPr>
              <w:t>国抽信息系统</w:t>
            </w:r>
            <w:r>
              <w:rPr>
                <w:spacing w:val="-61"/>
                <w:sz w:val="17"/>
                <w:szCs w:val="17"/>
              </w:rPr>
              <w:t xml:space="preserve"> </w:t>
            </w:r>
            <w:r>
              <w:rPr>
                <w:spacing w:val="9"/>
                <w:sz w:val="17"/>
                <w:szCs w:val="17"/>
              </w:rPr>
              <w:t>”不作必检项限制，但各承检机构应</w:t>
            </w:r>
            <w:r>
              <w:rPr>
                <w:spacing w:val="8"/>
                <w:sz w:val="17"/>
                <w:szCs w:val="17"/>
              </w:rPr>
              <w:t>按承检区域必检项目要求实施检验，不得漏检漏报。</w:t>
            </w:r>
          </w:p>
          <w:p w14:paraId="21664AFB">
            <w:pPr>
              <w:pStyle w:val="51"/>
              <w:spacing w:before="92" w:line="225" w:lineRule="auto"/>
              <w:ind w:left="32"/>
              <w:rPr>
                <w:sz w:val="17"/>
                <w:szCs w:val="17"/>
              </w:rPr>
            </w:pPr>
            <w:r>
              <w:rPr>
                <w:spacing w:val="9"/>
                <w:sz w:val="17"/>
                <w:szCs w:val="17"/>
              </w:rPr>
              <w:t>5.抽样前，应制定抽样方案，抽取样品量、检验及复检备份所需样品量应根据采用的检测方法标准要求确定。</w:t>
            </w:r>
          </w:p>
        </w:tc>
      </w:tr>
    </w:tbl>
    <w:p w14:paraId="5BFB58D4">
      <w:pPr>
        <w:pageBreakBefore w:val="0"/>
        <w:numPr>
          <w:ilvl w:val="0"/>
          <w:numId w:val="0"/>
        </w:numPr>
        <w:wordWrap/>
        <w:overflowPunct/>
        <w:topLinePunct w:val="0"/>
        <w:bidi w:val="0"/>
        <w:spacing w:line="480" w:lineRule="exact"/>
        <w:outlineLvl w:val="9"/>
        <w:rPr>
          <w:rFonts w:hint="eastAsia" w:asciiTheme="minorHAnsi" w:hAnsiTheme="minorHAnsi" w:eastAsiaTheme="minorEastAsia" w:cstheme="minorBidi"/>
          <w:b/>
          <w:bCs/>
          <w:color w:val="auto"/>
          <w:kern w:val="2"/>
          <w:sz w:val="32"/>
          <w:szCs w:val="28"/>
          <w:lang w:val="en-US" w:eastAsia="zh-CN" w:bidi="ar-SA"/>
        </w:rPr>
      </w:pPr>
      <w:bookmarkStart w:id="7" w:name="_Toc13286"/>
    </w:p>
    <w:p w14:paraId="14337D4E">
      <w:pPr>
        <w:pageBreakBefore w:val="0"/>
        <w:numPr>
          <w:ilvl w:val="0"/>
          <w:numId w:val="0"/>
        </w:numPr>
        <w:wordWrap/>
        <w:overflowPunct/>
        <w:topLinePunct w:val="0"/>
        <w:bidi w:val="0"/>
        <w:spacing w:line="480" w:lineRule="exact"/>
        <w:outlineLvl w:val="9"/>
        <w:rPr>
          <w:color w:val="auto"/>
        </w:rPr>
      </w:pPr>
      <w:r>
        <w:rPr>
          <w:rFonts w:hint="eastAsia" w:asciiTheme="minorHAnsi" w:hAnsiTheme="minorHAnsi" w:eastAsiaTheme="minorEastAsia" w:cstheme="minorBidi"/>
          <w:b/>
          <w:bCs/>
          <w:color w:val="auto"/>
          <w:kern w:val="2"/>
          <w:sz w:val="32"/>
          <w:szCs w:val="28"/>
          <w:lang w:val="en-US" w:eastAsia="zh-CN" w:bidi="ar-SA"/>
        </w:rPr>
        <w:t>二、</w:t>
      </w:r>
      <w:r>
        <w:rPr>
          <w:b/>
          <w:bCs/>
          <w:color w:val="auto"/>
          <w:sz w:val="32"/>
          <w:szCs w:val="28"/>
        </w:rPr>
        <w:t>项目商务要求</w:t>
      </w:r>
      <w:bookmarkEnd w:id="7"/>
      <w:r>
        <w:rPr>
          <w:b/>
          <w:bCs/>
          <w:color w:val="auto"/>
          <w:sz w:val="32"/>
          <w:szCs w:val="28"/>
        </w:rPr>
        <w:tab/>
      </w:r>
    </w:p>
    <w:p w14:paraId="0A304C40">
      <w:pPr>
        <w:pStyle w:val="11"/>
        <w:keepNext w:val="0"/>
        <w:keepLines w:val="0"/>
        <w:pageBreakBefore w:val="0"/>
        <w:widowControl w:val="0"/>
        <w:kinsoku/>
        <w:wordWrap w:val="0"/>
        <w:overflowPunct/>
        <w:topLinePunct/>
        <w:autoSpaceDE/>
        <w:autoSpaceDN/>
        <w:bidi w:val="0"/>
        <w:adjustRightInd/>
        <w:snapToGrid/>
        <w:spacing w:line="480" w:lineRule="exact"/>
        <w:textAlignment w:val="auto"/>
        <w:rPr>
          <w:color w:val="auto"/>
        </w:rPr>
      </w:pPr>
      <w:r>
        <w:rPr>
          <w:rFonts w:hint="eastAsia"/>
          <w:color w:val="auto"/>
        </w:rPr>
        <w:t>1.</w:t>
      </w:r>
      <w:r>
        <w:rPr>
          <w:rFonts w:hint="eastAsia"/>
          <w:color w:val="auto"/>
          <w:lang w:val="en-US" w:eastAsia="zh-CN"/>
        </w:rPr>
        <w:t>服务期限：2027年6月30日前完成所有抽检项目；</w:t>
      </w:r>
    </w:p>
    <w:p w14:paraId="06831BC7">
      <w:pPr>
        <w:pStyle w:val="11"/>
        <w:keepNext w:val="0"/>
        <w:keepLines w:val="0"/>
        <w:pageBreakBefore w:val="0"/>
        <w:widowControl w:val="0"/>
        <w:kinsoku/>
        <w:wordWrap w:val="0"/>
        <w:overflowPunct/>
        <w:topLinePunct/>
        <w:autoSpaceDE/>
        <w:autoSpaceDN/>
        <w:bidi w:val="0"/>
        <w:adjustRightInd/>
        <w:snapToGrid/>
        <w:spacing w:line="480" w:lineRule="exact"/>
        <w:textAlignment w:val="auto"/>
        <w:rPr>
          <w:color w:val="auto"/>
        </w:rPr>
      </w:pPr>
      <w:r>
        <w:rPr>
          <w:rFonts w:hint="eastAsia"/>
          <w:color w:val="auto"/>
          <w:lang w:val="en-US" w:eastAsia="zh-CN"/>
        </w:rPr>
        <w:t>2</w:t>
      </w:r>
      <w:r>
        <w:rPr>
          <w:rFonts w:hint="eastAsia"/>
          <w:color w:val="auto"/>
        </w:rPr>
        <w:t>.</w:t>
      </w:r>
      <w:r>
        <w:rPr>
          <w:rFonts w:hint="eastAsia"/>
          <w:color w:val="auto"/>
          <w:lang w:val="en-US" w:eastAsia="zh-CN"/>
        </w:rPr>
        <w:t>项目实施地点：</w:t>
      </w:r>
      <w:r>
        <w:rPr>
          <w:rFonts w:hint="eastAsia" w:ascii="宋体" w:hAnsi="宋体" w:eastAsia="宋体" w:cs="宋体"/>
          <w:color w:val="auto"/>
          <w:kern w:val="0"/>
          <w:sz w:val="24"/>
          <w:szCs w:val="24"/>
          <w:lang w:val="en-US" w:eastAsia="zh-CN" w:bidi="ar"/>
        </w:rPr>
        <w:t>采购人指定地点</w:t>
      </w:r>
      <w:r>
        <w:rPr>
          <w:rFonts w:hint="eastAsia"/>
          <w:color w:val="auto"/>
          <w:lang w:val="en-US" w:eastAsia="zh-CN"/>
        </w:rPr>
        <w:t>；</w:t>
      </w:r>
    </w:p>
    <w:p w14:paraId="0AC3ABB1">
      <w:pPr>
        <w:pStyle w:val="11"/>
        <w:keepNext w:val="0"/>
        <w:keepLines w:val="0"/>
        <w:pageBreakBefore w:val="0"/>
        <w:widowControl w:val="0"/>
        <w:kinsoku/>
        <w:wordWrap w:val="0"/>
        <w:overflowPunct/>
        <w:topLinePunct/>
        <w:autoSpaceDE/>
        <w:autoSpaceDN/>
        <w:bidi w:val="0"/>
        <w:adjustRightInd/>
        <w:snapToGrid/>
        <w:spacing w:line="480" w:lineRule="exact"/>
        <w:textAlignment w:val="auto"/>
        <w:rPr>
          <w:rFonts w:hint="eastAsia"/>
          <w:color w:val="auto"/>
          <w:lang w:val="en-US" w:eastAsia="zh-CN"/>
        </w:rPr>
      </w:pPr>
      <w:r>
        <w:rPr>
          <w:rFonts w:hint="eastAsia"/>
          <w:color w:val="auto"/>
          <w:lang w:val="en-US" w:eastAsia="zh-CN"/>
        </w:rPr>
        <w:t>3</w:t>
      </w:r>
      <w:r>
        <w:rPr>
          <w:rFonts w:hint="eastAsia"/>
          <w:color w:val="auto"/>
        </w:rPr>
        <w:t>.</w:t>
      </w:r>
      <w:r>
        <w:rPr>
          <w:rFonts w:hint="eastAsia"/>
          <w:color w:val="auto"/>
          <w:lang w:val="en-US" w:eastAsia="zh-CN"/>
        </w:rPr>
        <w:t>质量标准</w:t>
      </w:r>
      <w:r>
        <w:rPr>
          <w:rFonts w:hint="eastAsia"/>
          <w:color w:val="auto"/>
        </w:rPr>
        <w:t>：</w:t>
      </w:r>
      <w:r>
        <w:rPr>
          <w:rFonts w:hint="eastAsia"/>
          <w:color w:val="auto"/>
          <w:lang w:val="en-US" w:eastAsia="zh-CN"/>
        </w:rPr>
        <w:t>符合国家相关行业质量合格标准，符合采购人采购需求标准；</w:t>
      </w:r>
    </w:p>
    <w:p w14:paraId="47B7E488">
      <w:pPr>
        <w:pStyle w:val="11"/>
        <w:keepNext w:val="0"/>
        <w:keepLines w:val="0"/>
        <w:pageBreakBefore w:val="0"/>
        <w:widowControl w:val="0"/>
        <w:kinsoku/>
        <w:wordWrap w:val="0"/>
        <w:overflowPunct/>
        <w:topLinePunct/>
        <w:autoSpaceDE/>
        <w:autoSpaceDN/>
        <w:bidi w:val="0"/>
        <w:adjustRightInd/>
        <w:snapToGrid/>
        <w:spacing w:line="480" w:lineRule="exact"/>
        <w:textAlignment w:val="auto"/>
        <w:rPr>
          <w:rFonts w:hint="eastAsia"/>
          <w:color w:val="auto"/>
          <w:lang w:val="en-US" w:eastAsia="zh-CN"/>
        </w:rPr>
      </w:pPr>
      <w:r>
        <w:rPr>
          <w:rFonts w:hint="eastAsia"/>
          <w:color w:val="auto"/>
          <w:lang w:val="en-US" w:eastAsia="zh-CN"/>
        </w:rPr>
        <w:t>4</w:t>
      </w:r>
      <w:r>
        <w:rPr>
          <w:rFonts w:hint="eastAsia"/>
          <w:color w:val="auto"/>
        </w:rPr>
        <w:t>.付款方式：项目全部抽检完毕，平台验收合格后支付合同全部金额100%</w:t>
      </w:r>
      <w:r>
        <w:rPr>
          <w:rFonts w:hint="eastAsia"/>
          <w:color w:val="auto"/>
          <w:lang w:val="en-US" w:eastAsia="zh-CN"/>
        </w:rPr>
        <w:t>。</w:t>
      </w:r>
    </w:p>
    <w:p w14:paraId="0CCFB1CD">
      <w:pPr>
        <w:keepNext w:val="0"/>
        <w:keepLines w:val="0"/>
        <w:pageBreakBefore w:val="0"/>
        <w:widowControl/>
        <w:kinsoku/>
        <w:wordWrap/>
        <w:overflowPunct/>
        <w:topLinePunct w:val="0"/>
        <w:autoSpaceDE/>
        <w:autoSpaceDN/>
        <w:bidi w:val="0"/>
        <w:adjustRightInd/>
        <w:snapToGrid/>
        <w:spacing w:line="600" w:lineRule="exact"/>
        <w:jc w:val="both"/>
        <w:textAlignment w:val="auto"/>
        <w:rPr>
          <w:rFonts w:hint="eastAsia" w:ascii="Times New Roman" w:hAnsi="Times New Roman" w:eastAsia="宋体" w:cs="Times New Roman"/>
          <w:kern w:val="2"/>
          <w:sz w:val="24"/>
          <w:szCs w:val="20"/>
          <w:lang w:val="en-US" w:eastAsia="zh-CN" w:bidi="ar-SA"/>
        </w:rPr>
        <w:sectPr>
          <w:pgSz w:w="16840" w:h="11910" w:orient="landscape"/>
          <w:pgMar w:top="860" w:right="1320" w:bottom="840" w:left="1000" w:header="567" w:footer="567" w:gutter="0"/>
          <w:pgNumType w:fmt="decimal"/>
          <w:cols w:space="720" w:num="1"/>
        </w:sectPr>
      </w:pPr>
    </w:p>
    <w:p w14:paraId="61ECDA64">
      <w:pPr>
        <w:pStyle w:val="2"/>
      </w:pPr>
      <w:bookmarkStart w:id="8" w:name="_Toc22875"/>
      <w:bookmarkStart w:id="9" w:name="_Toc16863"/>
      <w:r>
        <w:rPr>
          <w:rFonts w:hint="eastAsia"/>
        </w:rPr>
        <w:t>第三章   供应商须知</w:t>
      </w:r>
      <w:bookmarkEnd w:id="8"/>
      <w:bookmarkEnd w:id="9"/>
    </w:p>
    <w:p w14:paraId="2593849A">
      <w:pPr>
        <w:pStyle w:val="13"/>
        <w:spacing w:line="220" w:lineRule="auto"/>
        <w:ind w:left="3861" w:firstLine="556" w:firstLineChars="200"/>
        <w:rPr>
          <w:spacing w:val="-1"/>
          <w:sz w:val="28"/>
          <w:szCs w:val="28"/>
          <w:lang w:eastAsia="zh-CN"/>
          <w14:textOutline w14:w="1803" w14:cap="flat" w14:cmpd="sng" w14:algn="ctr">
            <w14:solidFill>
              <w14:srgbClr w14:val="000000"/>
            </w14:solidFill>
            <w14:prstDash w14:val="solid"/>
            <w14:miter w14:val="0"/>
          </w14:textOutline>
        </w:rPr>
      </w:pPr>
      <w:r>
        <w:rPr>
          <w:spacing w:val="-1"/>
          <w:sz w:val="28"/>
          <w:szCs w:val="28"/>
          <w:lang w:eastAsia="zh-CN"/>
          <w14:textOutline w14:w="1803" w14:cap="flat" w14:cmpd="sng" w14:algn="ctr">
            <w14:solidFill>
              <w14:srgbClr w14:val="000000"/>
            </w14:solidFill>
            <w14:prstDash w14:val="solid"/>
            <w14:miter w14:val="0"/>
          </w14:textOutline>
        </w:rPr>
        <w:t>供应商须知表</w:t>
      </w:r>
    </w:p>
    <w:tbl>
      <w:tblPr>
        <w:tblStyle w:val="30"/>
        <w:tblW w:w="1018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44"/>
        <w:gridCol w:w="8339"/>
      </w:tblGrid>
      <w:tr w14:paraId="676CC6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1" w:hRule="atLeast"/>
          <w:jc w:val="center"/>
        </w:trPr>
        <w:tc>
          <w:tcPr>
            <w:tcW w:w="1844" w:type="dxa"/>
            <w:tcBorders>
              <w:top w:val="single" w:color="auto" w:sz="12" w:space="0"/>
              <w:left w:val="single" w:color="auto" w:sz="12" w:space="0"/>
              <w:bottom w:val="single" w:color="auto" w:sz="6" w:space="0"/>
              <w:right w:val="single" w:color="auto" w:sz="6" w:space="0"/>
            </w:tcBorders>
            <w:vAlign w:val="center"/>
          </w:tcPr>
          <w:p w14:paraId="6058EB1B">
            <w:pPr>
              <w:spacing w:line="240" w:lineRule="atLeast"/>
              <w:jc w:val="center"/>
              <w:rPr>
                <w:rFonts w:asciiTheme="minorEastAsia" w:hAnsiTheme="minorEastAsia" w:cstheme="minorEastAsia"/>
                <w:szCs w:val="24"/>
              </w:rPr>
            </w:pPr>
            <w:r>
              <w:rPr>
                <w:rFonts w:hint="eastAsia" w:asciiTheme="minorEastAsia" w:hAnsiTheme="minorEastAsia" w:cstheme="minorEastAsia"/>
                <w:szCs w:val="24"/>
              </w:rPr>
              <w:t>条款名称</w:t>
            </w:r>
          </w:p>
        </w:tc>
        <w:tc>
          <w:tcPr>
            <w:tcW w:w="8339" w:type="dxa"/>
            <w:tcBorders>
              <w:top w:val="single" w:color="auto" w:sz="12" w:space="0"/>
              <w:left w:val="single" w:color="auto" w:sz="6" w:space="0"/>
              <w:bottom w:val="single" w:color="auto" w:sz="6" w:space="0"/>
              <w:right w:val="single" w:color="auto" w:sz="12" w:space="0"/>
            </w:tcBorders>
            <w:vAlign w:val="center"/>
          </w:tcPr>
          <w:p w14:paraId="3536CD5C">
            <w:pPr>
              <w:spacing w:line="240" w:lineRule="atLeast"/>
              <w:ind w:left="1157" w:leftChars="257" w:hanging="540"/>
              <w:jc w:val="center"/>
              <w:rPr>
                <w:rFonts w:asciiTheme="minorEastAsia" w:hAnsiTheme="minorEastAsia" w:cstheme="minorEastAsia"/>
                <w:b/>
                <w:szCs w:val="24"/>
              </w:rPr>
            </w:pPr>
            <w:r>
              <w:rPr>
                <w:rFonts w:hint="eastAsia" w:asciiTheme="minorEastAsia" w:hAnsiTheme="minorEastAsia" w:cstheme="minorEastAsia"/>
                <w:bCs/>
                <w:szCs w:val="24"/>
              </w:rPr>
              <w:t>内      容</w:t>
            </w:r>
          </w:p>
        </w:tc>
      </w:tr>
      <w:tr w14:paraId="5AEEB7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3" w:hRule="atLeast"/>
          <w:jc w:val="center"/>
        </w:trPr>
        <w:tc>
          <w:tcPr>
            <w:tcW w:w="1844" w:type="dxa"/>
            <w:tcBorders>
              <w:top w:val="single" w:color="auto" w:sz="6" w:space="0"/>
              <w:left w:val="single" w:color="auto" w:sz="12" w:space="0"/>
              <w:bottom w:val="single" w:color="auto" w:sz="6" w:space="0"/>
              <w:right w:val="single" w:color="auto" w:sz="6" w:space="0"/>
            </w:tcBorders>
            <w:vAlign w:val="center"/>
          </w:tcPr>
          <w:p w14:paraId="585B7AFF">
            <w:pPr>
              <w:spacing w:before="78" w:line="221" w:lineRule="auto"/>
              <w:jc w:val="center"/>
              <w:rPr>
                <w:rFonts w:asciiTheme="minorEastAsia" w:hAnsiTheme="minorEastAsia" w:cstheme="minorEastAsia"/>
                <w:szCs w:val="24"/>
              </w:rPr>
            </w:pPr>
            <w:r>
              <w:rPr>
                <w:rFonts w:hint="eastAsia" w:asciiTheme="minorEastAsia" w:hAnsiTheme="minorEastAsia" w:cstheme="minorEastAsia"/>
                <w:spacing w:val="-3"/>
                <w:szCs w:val="24"/>
              </w:rPr>
              <w:t>项目属性</w:t>
            </w:r>
          </w:p>
        </w:tc>
        <w:tc>
          <w:tcPr>
            <w:tcW w:w="8339" w:type="dxa"/>
            <w:tcBorders>
              <w:top w:val="single" w:color="auto" w:sz="6" w:space="0"/>
              <w:left w:val="single" w:color="auto" w:sz="6" w:space="0"/>
              <w:bottom w:val="single" w:color="auto" w:sz="6" w:space="0"/>
              <w:right w:val="single" w:color="auto" w:sz="12" w:space="0"/>
            </w:tcBorders>
            <w:vAlign w:val="center"/>
          </w:tcPr>
          <w:p w14:paraId="1BE720E1">
            <w:pPr>
              <w:pStyle w:val="51"/>
              <w:spacing w:line="220" w:lineRule="auto"/>
              <w:ind w:left="126"/>
              <w:jc w:val="center"/>
              <w:rPr>
                <w:rFonts w:asciiTheme="minorEastAsia" w:hAnsiTheme="minorEastAsia" w:eastAsiaTheme="minorEastAsia" w:cstheme="minorEastAsia"/>
                <w:szCs w:val="24"/>
              </w:rPr>
            </w:pPr>
            <w:r>
              <w:rPr>
                <w:rFonts w:hint="eastAsia" w:asciiTheme="minorEastAsia" w:hAnsiTheme="minorEastAsia" w:eastAsiaTheme="minorEastAsia" w:cstheme="minorEastAsia"/>
                <w:spacing w:val="19"/>
                <w:szCs w:val="24"/>
                <w:lang w:eastAsia="zh-CN"/>
              </w:rPr>
              <w:t>☑</w:t>
            </w:r>
            <w:r>
              <w:rPr>
                <w:rFonts w:hint="eastAsia" w:asciiTheme="minorEastAsia" w:hAnsiTheme="minorEastAsia" w:eastAsiaTheme="minorEastAsia" w:cstheme="minorEastAsia"/>
                <w:spacing w:val="19"/>
                <w:szCs w:val="24"/>
              </w:rPr>
              <w:t>服务</w:t>
            </w:r>
          </w:p>
          <w:p w14:paraId="24D07AE2">
            <w:pPr>
              <w:pStyle w:val="51"/>
              <w:spacing w:before="25" w:line="207" w:lineRule="auto"/>
              <w:ind w:left="126"/>
              <w:jc w:val="center"/>
              <w:rPr>
                <w:rFonts w:asciiTheme="minorEastAsia" w:hAnsiTheme="minorEastAsia" w:eastAsiaTheme="minorEastAsia" w:cstheme="minorEastAsia"/>
                <w:spacing w:val="19"/>
                <w:szCs w:val="24"/>
              </w:rPr>
            </w:pPr>
            <w:r>
              <w:rPr>
                <w:rFonts w:hint="eastAsia" w:asciiTheme="minorEastAsia" w:hAnsiTheme="minorEastAsia" w:eastAsiaTheme="minorEastAsia" w:cstheme="minorEastAsia"/>
                <w:spacing w:val="19"/>
                <w:szCs w:val="24"/>
              </w:rPr>
              <w:t>□货物</w:t>
            </w:r>
          </w:p>
          <w:p w14:paraId="51C07B5B">
            <w:pPr>
              <w:pStyle w:val="51"/>
              <w:spacing w:before="25" w:line="207" w:lineRule="auto"/>
              <w:ind w:left="126"/>
              <w:jc w:val="center"/>
              <w:rPr>
                <w:rFonts w:asciiTheme="minorEastAsia" w:hAnsiTheme="minorEastAsia" w:eastAsiaTheme="minorEastAsia" w:cstheme="minorEastAsia"/>
                <w:spacing w:val="19"/>
                <w:szCs w:val="24"/>
                <w:lang w:eastAsia="zh-CN"/>
              </w:rPr>
            </w:pPr>
            <w:r>
              <w:rPr>
                <w:rFonts w:hint="eastAsia" w:ascii="Segoe UI Symbol" w:hAnsi="Segoe UI Symbol" w:cs="Segoe UI Symbol" w:eastAsiaTheme="minorEastAsia"/>
                <w:spacing w:val="19"/>
                <w:szCs w:val="24"/>
                <w:lang w:eastAsia="zh-CN"/>
              </w:rPr>
              <w:t>□</w:t>
            </w:r>
            <w:r>
              <w:rPr>
                <w:rFonts w:hint="eastAsia" w:asciiTheme="minorEastAsia" w:hAnsiTheme="minorEastAsia" w:eastAsiaTheme="minorEastAsia" w:cstheme="minorEastAsia"/>
                <w:spacing w:val="19"/>
                <w:szCs w:val="24"/>
                <w:lang w:eastAsia="zh-CN"/>
              </w:rPr>
              <w:t>工程</w:t>
            </w:r>
          </w:p>
        </w:tc>
      </w:tr>
      <w:tr w14:paraId="423B2A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1" w:hRule="atLeast"/>
          <w:jc w:val="center"/>
        </w:trPr>
        <w:tc>
          <w:tcPr>
            <w:tcW w:w="1844" w:type="dxa"/>
            <w:tcBorders>
              <w:top w:val="single" w:color="auto" w:sz="6" w:space="0"/>
              <w:left w:val="single" w:color="auto" w:sz="12" w:space="0"/>
              <w:bottom w:val="single" w:color="auto" w:sz="6" w:space="0"/>
              <w:right w:val="single" w:color="auto" w:sz="6" w:space="0"/>
            </w:tcBorders>
            <w:vAlign w:val="center"/>
          </w:tcPr>
          <w:p w14:paraId="78B153C8">
            <w:pPr>
              <w:spacing w:before="78" w:line="219" w:lineRule="auto"/>
              <w:ind w:left="134"/>
              <w:jc w:val="center"/>
              <w:rPr>
                <w:rFonts w:asciiTheme="minorEastAsia" w:hAnsiTheme="minorEastAsia" w:cstheme="minorEastAsia"/>
                <w:szCs w:val="24"/>
              </w:rPr>
            </w:pPr>
            <w:r>
              <w:rPr>
                <w:rFonts w:hint="eastAsia" w:asciiTheme="minorEastAsia" w:hAnsiTheme="minorEastAsia" w:cstheme="minorEastAsia"/>
                <w:spacing w:val="-2"/>
                <w:szCs w:val="24"/>
              </w:rPr>
              <w:t>科研仪器设备</w:t>
            </w:r>
          </w:p>
        </w:tc>
        <w:tc>
          <w:tcPr>
            <w:tcW w:w="8339" w:type="dxa"/>
            <w:tcBorders>
              <w:top w:val="single" w:color="auto" w:sz="6" w:space="0"/>
              <w:left w:val="single" w:color="auto" w:sz="6" w:space="0"/>
              <w:bottom w:val="single" w:color="auto" w:sz="6" w:space="0"/>
              <w:right w:val="single" w:color="auto" w:sz="12" w:space="0"/>
            </w:tcBorders>
          </w:tcPr>
          <w:p w14:paraId="223CCCA4">
            <w:pPr>
              <w:spacing w:before="37" w:line="238" w:lineRule="auto"/>
              <w:ind w:left="118"/>
              <w:jc w:val="center"/>
              <w:rPr>
                <w:rFonts w:asciiTheme="minorEastAsia" w:hAnsiTheme="minorEastAsia" w:cstheme="minorEastAsia"/>
                <w:szCs w:val="24"/>
              </w:rPr>
            </w:pPr>
            <w:r>
              <w:rPr>
                <w:rFonts w:hint="eastAsia" w:asciiTheme="minorEastAsia" w:hAnsiTheme="minorEastAsia" w:cstheme="minorEastAsia"/>
                <w:spacing w:val="-5"/>
                <w:szCs w:val="24"/>
              </w:rPr>
              <w:t>是否属于科研仪器设备采购项目：</w:t>
            </w:r>
          </w:p>
          <w:p w14:paraId="6C92362D">
            <w:pPr>
              <w:pStyle w:val="51"/>
              <w:spacing w:line="223" w:lineRule="auto"/>
              <w:ind w:left="126"/>
              <w:jc w:val="center"/>
              <w:rPr>
                <w:rFonts w:asciiTheme="minorEastAsia" w:hAnsiTheme="minorEastAsia" w:eastAsiaTheme="minorEastAsia" w:cstheme="minorEastAsia"/>
                <w:szCs w:val="24"/>
              </w:rPr>
            </w:pPr>
            <w:r>
              <w:rPr>
                <w:rFonts w:hint="eastAsia" w:asciiTheme="minorEastAsia" w:hAnsiTheme="minorEastAsia" w:eastAsiaTheme="minorEastAsia" w:cstheme="minorEastAsia"/>
                <w:spacing w:val="29"/>
                <w:szCs w:val="24"/>
              </w:rPr>
              <w:t>□是</w:t>
            </w:r>
          </w:p>
          <w:p w14:paraId="54AA24BC">
            <w:pPr>
              <w:pStyle w:val="51"/>
              <w:spacing w:before="21" w:line="207" w:lineRule="auto"/>
              <w:ind w:left="126"/>
              <w:jc w:val="center"/>
              <w:rPr>
                <w:rFonts w:asciiTheme="minorEastAsia" w:hAnsiTheme="minorEastAsia" w:eastAsiaTheme="minorEastAsia" w:cstheme="minorEastAsia"/>
                <w:szCs w:val="24"/>
                <w:lang w:eastAsia="zh-CN"/>
              </w:rPr>
            </w:pPr>
            <w:r>
              <w:rPr>
                <w:rFonts w:ascii="Segoe UI Symbol" w:hAnsi="Segoe UI Symbol" w:cs="Segoe UI Symbol" w:eastAsiaTheme="minorEastAsia"/>
                <w:spacing w:val="29"/>
                <w:szCs w:val="24"/>
              </w:rPr>
              <w:t>☑</w:t>
            </w:r>
            <w:r>
              <w:rPr>
                <w:rFonts w:hint="eastAsia" w:asciiTheme="minorEastAsia" w:hAnsiTheme="minorEastAsia" w:eastAsiaTheme="minorEastAsia" w:cstheme="minorEastAsia"/>
                <w:spacing w:val="29"/>
                <w:szCs w:val="24"/>
              </w:rPr>
              <w:t>否</w:t>
            </w:r>
          </w:p>
        </w:tc>
      </w:tr>
      <w:tr w14:paraId="5AEA73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1" w:hRule="atLeast"/>
          <w:jc w:val="center"/>
        </w:trPr>
        <w:tc>
          <w:tcPr>
            <w:tcW w:w="1844" w:type="dxa"/>
            <w:tcBorders>
              <w:top w:val="single" w:color="auto" w:sz="6" w:space="0"/>
              <w:left w:val="single" w:color="auto" w:sz="12" w:space="0"/>
              <w:bottom w:val="single" w:color="auto" w:sz="6" w:space="0"/>
              <w:right w:val="single" w:color="auto" w:sz="6" w:space="0"/>
            </w:tcBorders>
          </w:tcPr>
          <w:p w14:paraId="0CFA1893">
            <w:pPr>
              <w:pStyle w:val="51"/>
              <w:jc w:val="center"/>
              <w:rPr>
                <w:rFonts w:asciiTheme="minorEastAsia" w:hAnsiTheme="minorEastAsia" w:eastAsiaTheme="minorEastAsia" w:cstheme="minorEastAsia"/>
              </w:rPr>
            </w:pPr>
          </w:p>
          <w:p w14:paraId="2497A39C">
            <w:pPr>
              <w:jc w:val="center"/>
              <w:rPr>
                <w:rFonts w:asciiTheme="minorEastAsia" w:hAnsiTheme="minorEastAsia" w:cstheme="minorEastAsia"/>
                <w:szCs w:val="24"/>
              </w:rPr>
            </w:pPr>
            <w:r>
              <w:rPr>
                <w:rFonts w:hint="eastAsia" w:asciiTheme="minorEastAsia" w:hAnsiTheme="minorEastAsia" w:cstheme="minorEastAsia"/>
                <w:spacing w:val="-3"/>
                <w:szCs w:val="24"/>
              </w:rPr>
              <w:t>现场考察</w:t>
            </w:r>
          </w:p>
        </w:tc>
        <w:tc>
          <w:tcPr>
            <w:tcW w:w="8339" w:type="dxa"/>
            <w:tcBorders>
              <w:top w:val="single" w:color="auto" w:sz="6" w:space="0"/>
              <w:left w:val="single" w:color="auto" w:sz="6" w:space="0"/>
              <w:bottom w:val="single" w:color="auto" w:sz="6" w:space="0"/>
              <w:right w:val="single" w:color="auto" w:sz="12" w:space="0"/>
            </w:tcBorders>
          </w:tcPr>
          <w:p w14:paraId="0C364CB6">
            <w:pPr>
              <w:pStyle w:val="51"/>
              <w:rPr>
                <w:rFonts w:asciiTheme="minorEastAsia" w:hAnsiTheme="minorEastAsia" w:eastAsiaTheme="minorEastAsia" w:cstheme="minorEastAsia"/>
                <w:szCs w:val="24"/>
                <w:lang w:eastAsia="zh-CN"/>
              </w:rPr>
            </w:pPr>
            <w:r>
              <w:rPr>
                <w:rFonts w:ascii="Segoe UI Symbol" w:hAnsi="Segoe UI Symbol" w:cs="Segoe UI Symbol" w:eastAsiaTheme="minorEastAsia"/>
                <w:spacing w:val="14"/>
                <w:szCs w:val="24"/>
                <w:lang w:eastAsia="zh-CN"/>
              </w:rPr>
              <w:t>☑</w:t>
            </w:r>
            <w:r>
              <w:rPr>
                <w:rFonts w:hint="eastAsia" w:asciiTheme="minorEastAsia" w:hAnsiTheme="minorEastAsia" w:eastAsiaTheme="minorEastAsia" w:cstheme="minorEastAsia"/>
                <w:spacing w:val="14"/>
                <w:szCs w:val="24"/>
                <w:lang w:eastAsia="zh-CN"/>
              </w:rPr>
              <w:t>不组织</w:t>
            </w:r>
          </w:p>
          <w:p w14:paraId="7C0BA60F">
            <w:pPr>
              <w:pStyle w:val="51"/>
              <w:rPr>
                <w:rFonts w:asciiTheme="minorEastAsia" w:hAnsiTheme="minorEastAsia" w:eastAsiaTheme="minorEastAsia" w:cstheme="minorEastAsia"/>
                <w:szCs w:val="24"/>
                <w:lang w:eastAsia="zh-CN"/>
              </w:rPr>
            </w:pPr>
            <w:r>
              <w:rPr>
                <w:rFonts w:hint="eastAsia" w:asciiTheme="minorEastAsia" w:hAnsiTheme="minorEastAsia" w:eastAsiaTheme="minorEastAsia" w:cstheme="minorEastAsia"/>
                <w:spacing w:val="-12"/>
                <w:szCs w:val="24"/>
                <w:lang w:eastAsia="zh-CN"/>
              </w:rPr>
              <w:t>□组织，考察时间：__年_月_</w:t>
            </w:r>
            <w:r>
              <w:rPr>
                <w:rFonts w:hint="eastAsia" w:asciiTheme="minorEastAsia" w:hAnsiTheme="minorEastAsia" w:eastAsiaTheme="minorEastAsia" w:cstheme="minorEastAsia"/>
                <w:spacing w:val="-18"/>
                <w:szCs w:val="24"/>
                <w:lang w:eastAsia="zh-CN"/>
              </w:rPr>
              <w:t xml:space="preserve"> </w:t>
            </w:r>
            <w:r>
              <w:rPr>
                <w:rFonts w:hint="eastAsia" w:asciiTheme="minorEastAsia" w:hAnsiTheme="minorEastAsia" w:eastAsiaTheme="minorEastAsia" w:cstheme="minorEastAsia"/>
                <w:spacing w:val="-12"/>
                <w:szCs w:val="24"/>
                <w:lang w:eastAsia="zh-CN"/>
              </w:rPr>
              <w:t>日_点_分</w:t>
            </w:r>
          </w:p>
          <w:p w14:paraId="34840BDE">
            <w:pPr>
              <w:rPr>
                <w:rFonts w:asciiTheme="minorEastAsia" w:hAnsiTheme="minorEastAsia" w:cstheme="minorEastAsia"/>
                <w:szCs w:val="24"/>
              </w:rPr>
            </w:pPr>
            <w:r>
              <w:rPr>
                <w:rFonts w:hint="eastAsia" w:asciiTheme="minorEastAsia" w:hAnsiTheme="minorEastAsia" w:cstheme="minorEastAsia"/>
                <w:spacing w:val="-25"/>
                <w:szCs w:val="24"/>
              </w:rPr>
              <w:t>考察地点：</w:t>
            </w:r>
            <w:r>
              <w:rPr>
                <w:rFonts w:hint="eastAsia" w:asciiTheme="minorEastAsia" w:hAnsiTheme="minorEastAsia" w:cstheme="minorEastAsia"/>
                <w:spacing w:val="17"/>
                <w:szCs w:val="24"/>
              </w:rPr>
              <w:t xml:space="preserve"> </w:t>
            </w:r>
            <w:r>
              <w:rPr>
                <w:rFonts w:hint="eastAsia" w:asciiTheme="minorEastAsia" w:hAnsiTheme="minorEastAsia" w:cstheme="minorEastAsia"/>
                <w:szCs w:val="24"/>
                <w:u w:val="single"/>
              </w:rPr>
              <w:t xml:space="preserve">            </w:t>
            </w:r>
            <w:r>
              <w:rPr>
                <w:rFonts w:hint="eastAsia" w:asciiTheme="minorEastAsia" w:hAnsiTheme="minorEastAsia" w:cstheme="minorEastAsia"/>
                <w:spacing w:val="-25"/>
                <w:szCs w:val="24"/>
              </w:rPr>
              <w:t>。</w:t>
            </w:r>
          </w:p>
        </w:tc>
      </w:tr>
      <w:tr w14:paraId="68E066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39" w:hRule="atLeast"/>
          <w:jc w:val="center"/>
        </w:trPr>
        <w:tc>
          <w:tcPr>
            <w:tcW w:w="1844" w:type="dxa"/>
            <w:tcBorders>
              <w:top w:val="single" w:color="auto" w:sz="6" w:space="0"/>
              <w:left w:val="single" w:color="auto" w:sz="12" w:space="0"/>
              <w:bottom w:val="single" w:color="auto" w:sz="6" w:space="0"/>
              <w:right w:val="single" w:color="auto" w:sz="6" w:space="0"/>
            </w:tcBorders>
            <w:vAlign w:val="center"/>
          </w:tcPr>
          <w:p w14:paraId="1D78B868">
            <w:pPr>
              <w:jc w:val="center"/>
              <w:rPr>
                <w:rFonts w:asciiTheme="minorEastAsia" w:hAnsiTheme="minorEastAsia" w:cstheme="minorEastAsia"/>
                <w:szCs w:val="24"/>
              </w:rPr>
            </w:pPr>
            <w:r>
              <w:rPr>
                <w:rFonts w:hint="eastAsia" w:asciiTheme="minorEastAsia" w:hAnsiTheme="minorEastAsia" w:cstheme="minorEastAsia"/>
                <w:spacing w:val="-2"/>
                <w:szCs w:val="24"/>
              </w:rPr>
              <w:t>磋商前答疑会</w:t>
            </w:r>
          </w:p>
        </w:tc>
        <w:tc>
          <w:tcPr>
            <w:tcW w:w="8339" w:type="dxa"/>
            <w:tcBorders>
              <w:top w:val="single" w:color="auto" w:sz="6" w:space="0"/>
              <w:left w:val="single" w:color="auto" w:sz="6" w:space="0"/>
              <w:bottom w:val="single" w:color="auto" w:sz="6" w:space="0"/>
              <w:right w:val="single" w:color="auto" w:sz="12" w:space="0"/>
            </w:tcBorders>
          </w:tcPr>
          <w:p w14:paraId="0F6B4225">
            <w:pPr>
              <w:pStyle w:val="51"/>
              <w:rPr>
                <w:rFonts w:asciiTheme="minorEastAsia" w:hAnsiTheme="minorEastAsia" w:eastAsiaTheme="minorEastAsia" w:cstheme="minorEastAsia"/>
                <w:szCs w:val="24"/>
                <w:lang w:eastAsia="zh-CN"/>
              </w:rPr>
            </w:pPr>
            <w:r>
              <w:rPr>
                <w:rFonts w:ascii="Segoe UI Symbol" w:hAnsi="Segoe UI Symbol" w:cs="Segoe UI Symbol" w:eastAsiaTheme="minorEastAsia"/>
                <w:spacing w:val="14"/>
                <w:szCs w:val="24"/>
                <w:lang w:eastAsia="zh-CN"/>
              </w:rPr>
              <w:t>☑</w:t>
            </w:r>
            <w:r>
              <w:rPr>
                <w:rFonts w:hint="eastAsia" w:asciiTheme="minorEastAsia" w:hAnsiTheme="minorEastAsia" w:eastAsiaTheme="minorEastAsia" w:cstheme="minorEastAsia"/>
                <w:spacing w:val="14"/>
                <w:szCs w:val="24"/>
                <w:lang w:eastAsia="zh-CN"/>
              </w:rPr>
              <w:t>不召开</w:t>
            </w:r>
          </w:p>
          <w:p w14:paraId="03E27A98">
            <w:pPr>
              <w:pStyle w:val="51"/>
              <w:rPr>
                <w:rFonts w:asciiTheme="minorEastAsia" w:hAnsiTheme="minorEastAsia" w:eastAsiaTheme="minorEastAsia" w:cstheme="minorEastAsia"/>
                <w:szCs w:val="24"/>
                <w:lang w:eastAsia="zh-CN"/>
              </w:rPr>
            </w:pPr>
            <w:r>
              <w:rPr>
                <w:rFonts w:hint="eastAsia" w:asciiTheme="minorEastAsia" w:hAnsiTheme="minorEastAsia" w:eastAsiaTheme="minorEastAsia" w:cstheme="minorEastAsia"/>
                <w:spacing w:val="-12"/>
                <w:szCs w:val="24"/>
                <w:lang w:eastAsia="zh-CN"/>
              </w:rPr>
              <w:t>□召开，召开时间：</w:t>
            </w:r>
            <w:r>
              <w:rPr>
                <w:rFonts w:hint="eastAsia" w:asciiTheme="minorEastAsia" w:hAnsiTheme="minorEastAsia" w:eastAsiaTheme="minorEastAsia" w:cstheme="minorEastAsia"/>
                <w:spacing w:val="60"/>
                <w:szCs w:val="24"/>
                <w:lang w:eastAsia="zh-CN"/>
              </w:rPr>
              <w:t xml:space="preserve"> </w:t>
            </w:r>
            <w:r>
              <w:rPr>
                <w:rFonts w:hint="eastAsia" w:asciiTheme="minorEastAsia" w:hAnsiTheme="minorEastAsia" w:eastAsiaTheme="minorEastAsia" w:cstheme="minorEastAsia"/>
                <w:spacing w:val="-12"/>
                <w:szCs w:val="24"/>
                <w:lang w:eastAsia="zh-CN"/>
              </w:rPr>
              <w:t>__年_月_</w:t>
            </w:r>
            <w:r>
              <w:rPr>
                <w:rFonts w:hint="eastAsia" w:asciiTheme="minorEastAsia" w:hAnsiTheme="minorEastAsia" w:eastAsiaTheme="minorEastAsia" w:cstheme="minorEastAsia"/>
                <w:spacing w:val="-18"/>
                <w:szCs w:val="24"/>
                <w:lang w:eastAsia="zh-CN"/>
              </w:rPr>
              <w:t xml:space="preserve"> </w:t>
            </w:r>
            <w:r>
              <w:rPr>
                <w:rFonts w:hint="eastAsia" w:asciiTheme="minorEastAsia" w:hAnsiTheme="minorEastAsia" w:eastAsiaTheme="minorEastAsia" w:cstheme="minorEastAsia"/>
                <w:spacing w:val="-12"/>
                <w:szCs w:val="24"/>
                <w:lang w:eastAsia="zh-CN"/>
              </w:rPr>
              <w:t>日_点_分</w:t>
            </w:r>
          </w:p>
          <w:p w14:paraId="2EC0A1B7">
            <w:pPr>
              <w:rPr>
                <w:rFonts w:asciiTheme="minorEastAsia" w:hAnsiTheme="minorEastAsia" w:cstheme="minorEastAsia"/>
                <w:szCs w:val="24"/>
              </w:rPr>
            </w:pPr>
            <w:r>
              <w:rPr>
                <w:rFonts w:hint="eastAsia" w:asciiTheme="minorEastAsia" w:hAnsiTheme="minorEastAsia" w:cstheme="minorEastAsia"/>
                <w:spacing w:val="-26"/>
                <w:szCs w:val="24"/>
              </w:rPr>
              <w:t>召开地点：</w:t>
            </w:r>
            <w:r>
              <w:rPr>
                <w:rFonts w:hint="eastAsia" w:asciiTheme="minorEastAsia" w:hAnsiTheme="minorEastAsia" w:cstheme="minorEastAsia"/>
                <w:spacing w:val="14"/>
                <w:szCs w:val="24"/>
              </w:rPr>
              <w:t xml:space="preserve"> </w:t>
            </w:r>
            <w:r>
              <w:rPr>
                <w:rFonts w:hint="eastAsia" w:asciiTheme="minorEastAsia" w:hAnsiTheme="minorEastAsia" w:cstheme="minorEastAsia"/>
                <w:szCs w:val="24"/>
                <w:u w:val="single"/>
              </w:rPr>
              <w:t xml:space="preserve">            </w:t>
            </w:r>
            <w:r>
              <w:rPr>
                <w:rFonts w:hint="eastAsia" w:asciiTheme="minorEastAsia" w:hAnsiTheme="minorEastAsia" w:cstheme="minorEastAsia"/>
                <w:spacing w:val="-26"/>
                <w:szCs w:val="24"/>
              </w:rPr>
              <w:t>。</w:t>
            </w:r>
          </w:p>
        </w:tc>
      </w:tr>
      <w:tr w14:paraId="48F10E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4" w:hRule="atLeast"/>
          <w:jc w:val="center"/>
        </w:trPr>
        <w:tc>
          <w:tcPr>
            <w:tcW w:w="1844" w:type="dxa"/>
            <w:tcBorders>
              <w:top w:val="single" w:color="auto" w:sz="6" w:space="0"/>
              <w:left w:val="single" w:color="auto" w:sz="12" w:space="0"/>
              <w:bottom w:val="single" w:color="auto" w:sz="6" w:space="0"/>
              <w:right w:val="single" w:color="auto" w:sz="6" w:space="0"/>
            </w:tcBorders>
            <w:vAlign w:val="center"/>
          </w:tcPr>
          <w:p w14:paraId="328A0364">
            <w:pPr>
              <w:spacing w:line="240" w:lineRule="atLeast"/>
              <w:jc w:val="center"/>
              <w:rPr>
                <w:rFonts w:asciiTheme="minorEastAsia" w:hAnsiTheme="minorEastAsia" w:cstheme="minorEastAsia"/>
                <w:szCs w:val="24"/>
              </w:rPr>
            </w:pPr>
            <w:r>
              <w:rPr>
                <w:rFonts w:hint="eastAsia" w:asciiTheme="minorEastAsia" w:hAnsiTheme="minorEastAsia" w:cstheme="minorEastAsia"/>
                <w:szCs w:val="24"/>
              </w:rPr>
              <w:t>中小企业</w:t>
            </w:r>
          </w:p>
        </w:tc>
        <w:tc>
          <w:tcPr>
            <w:tcW w:w="8339" w:type="dxa"/>
            <w:tcBorders>
              <w:top w:val="single" w:color="auto" w:sz="6" w:space="0"/>
              <w:left w:val="single" w:color="auto" w:sz="6" w:space="0"/>
              <w:bottom w:val="single" w:color="auto" w:sz="6" w:space="0"/>
              <w:right w:val="single" w:color="auto" w:sz="12" w:space="0"/>
            </w:tcBorders>
            <w:vAlign w:val="center"/>
          </w:tcPr>
          <w:p w14:paraId="37774EFB">
            <w:pPr>
              <w:rPr>
                <w:rFonts w:asciiTheme="minorEastAsia" w:hAnsiTheme="minorEastAsia" w:cstheme="minorEastAsia"/>
                <w:spacing w:val="14"/>
                <w:szCs w:val="24"/>
              </w:rPr>
            </w:pPr>
            <w:r>
              <w:rPr>
                <w:rFonts w:hint="eastAsia" w:asciiTheme="minorEastAsia" w:hAnsiTheme="minorEastAsia" w:cstheme="minorEastAsia"/>
                <w:spacing w:val="14"/>
                <w:szCs w:val="24"/>
              </w:rPr>
              <w:t>1、本项目采购标的按照中小企业划分标准属于</w:t>
            </w:r>
            <w:r>
              <w:rPr>
                <w:rFonts w:hint="eastAsia" w:asciiTheme="minorEastAsia" w:hAnsiTheme="minorEastAsia" w:cstheme="minorEastAsia"/>
                <w:spacing w:val="14"/>
                <w:szCs w:val="24"/>
                <w:u w:val="single"/>
              </w:rPr>
              <w:t xml:space="preserve"> </w:t>
            </w:r>
            <w:r>
              <w:rPr>
                <w:rFonts w:hint="eastAsia" w:ascii="宋体" w:hAnsi="宋体" w:cs="宋体"/>
                <w:color w:val="auto"/>
                <w:spacing w:val="14"/>
                <w:sz w:val="24"/>
                <w:highlight w:val="none"/>
                <w:u w:val="single"/>
              </w:rPr>
              <w:t>其他未列明行业</w:t>
            </w:r>
            <w:r>
              <w:rPr>
                <w:rFonts w:hint="eastAsia" w:asciiTheme="minorEastAsia" w:hAnsiTheme="minorEastAsia" w:cstheme="minorEastAsia"/>
                <w:spacing w:val="14"/>
                <w:szCs w:val="24"/>
                <w:u w:val="single"/>
              </w:rPr>
              <w:t xml:space="preserve"> </w:t>
            </w:r>
            <w:r>
              <w:rPr>
                <w:rFonts w:hint="eastAsia" w:asciiTheme="minorEastAsia" w:hAnsiTheme="minorEastAsia" w:cstheme="minorEastAsia"/>
                <w:spacing w:val="14"/>
                <w:szCs w:val="24"/>
              </w:rPr>
              <w:t>；</w:t>
            </w:r>
          </w:p>
          <w:p w14:paraId="6C133F0B">
            <w:pPr>
              <w:pStyle w:val="51"/>
              <w:rPr>
                <w:rFonts w:asciiTheme="minorEastAsia" w:hAnsiTheme="minorEastAsia" w:eastAsiaTheme="minorEastAsia" w:cstheme="minorEastAsia"/>
                <w:szCs w:val="24"/>
                <w:lang w:eastAsia="zh-CN"/>
              </w:rPr>
            </w:pPr>
            <w:r>
              <w:rPr>
                <w:rFonts w:hint="eastAsia" w:asciiTheme="minorEastAsia" w:hAnsiTheme="minorEastAsia" w:eastAsiaTheme="minorEastAsia" w:cstheme="minorEastAsia"/>
                <w:spacing w:val="29"/>
                <w:szCs w:val="24"/>
                <w:lang w:eastAsia="zh-CN"/>
              </w:rPr>
              <w:t>☑本项目专门面向中小企业采购。</w:t>
            </w:r>
          </w:p>
          <w:p w14:paraId="7BBF1E1A">
            <w:pPr>
              <w:rPr>
                <w:rFonts w:asciiTheme="minorEastAsia" w:hAnsiTheme="minorEastAsia" w:cstheme="minorEastAsia"/>
                <w:spacing w:val="14"/>
                <w:szCs w:val="24"/>
              </w:rPr>
            </w:pPr>
            <w:r>
              <w:rPr>
                <w:rFonts w:hint="eastAsia" w:ascii="Segoe UI Symbol" w:hAnsi="Segoe UI Symbol" w:cs="Segoe UI Symbol"/>
                <w:spacing w:val="-13"/>
                <w:szCs w:val="24"/>
                <w:lang w:eastAsia="zh-CN"/>
              </w:rPr>
              <w:t>□</w:t>
            </w:r>
            <w:r>
              <w:rPr>
                <w:rFonts w:hint="eastAsia" w:asciiTheme="minorEastAsia" w:hAnsiTheme="minorEastAsia" w:cstheme="minorEastAsia"/>
                <w:spacing w:val="29"/>
                <w:szCs w:val="24"/>
              </w:rPr>
              <w:t>本项目小微企业价格折扣比例</w:t>
            </w:r>
            <w:r>
              <w:rPr>
                <w:rFonts w:hint="eastAsia" w:asciiTheme="minorEastAsia" w:hAnsiTheme="minorEastAsia" w:eastAsiaTheme="minorEastAsia" w:cstheme="minorEastAsia"/>
                <w:snapToGrid w:val="0"/>
                <w:color w:val="000000"/>
                <w:spacing w:val="29"/>
                <w:kern w:val="0"/>
                <w:sz w:val="24"/>
                <w:szCs w:val="24"/>
                <w:u w:val="single"/>
                <w:lang w:val="en-US" w:eastAsia="zh-CN" w:bidi="ar-SA"/>
              </w:rPr>
              <w:t xml:space="preserve"> </w:t>
            </w:r>
            <w:r>
              <w:rPr>
                <w:rFonts w:hint="eastAsia" w:asciiTheme="minorEastAsia" w:hAnsiTheme="minorEastAsia" w:cstheme="minorEastAsia"/>
                <w:snapToGrid w:val="0"/>
                <w:color w:val="000000"/>
                <w:spacing w:val="29"/>
                <w:kern w:val="0"/>
                <w:sz w:val="24"/>
                <w:szCs w:val="24"/>
                <w:u w:val="single"/>
                <w:lang w:val="en-US" w:eastAsia="zh-CN" w:bidi="ar-SA"/>
              </w:rPr>
              <w:t>20</w:t>
            </w:r>
            <w:r>
              <w:rPr>
                <w:rFonts w:hint="eastAsia" w:asciiTheme="minorEastAsia" w:hAnsiTheme="minorEastAsia" w:eastAsiaTheme="minorEastAsia" w:cstheme="minorEastAsia"/>
                <w:snapToGrid w:val="0"/>
                <w:color w:val="000000"/>
                <w:spacing w:val="29"/>
                <w:kern w:val="0"/>
                <w:sz w:val="24"/>
                <w:szCs w:val="24"/>
                <w:u w:val="single"/>
                <w:lang w:val="en-US" w:eastAsia="zh-CN" w:bidi="ar-SA"/>
              </w:rPr>
              <w:t xml:space="preserve"> </w:t>
            </w:r>
            <w:r>
              <w:rPr>
                <w:rFonts w:hint="eastAsia" w:asciiTheme="minorEastAsia" w:hAnsiTheme="minorEastAsia" w:cstheme="minorEastAsia"/>
                <w:spacing w:val="29"/>
                <w:szCs w:val="24"/>
              </w:rPr>
              <w:t>%。</w:t>
            </w:r>
          </w:p>
          <w:p w14:paraId="7DF54D8D">
            <w:pPr>
              <w:rPr>
                <w:rFonts w:asciiTheme="minorEastAsia" w:hAnsiTheme="minorEastAsia" w:cstheme="minorEastAsia"/>
                <w:b/>
                <w:szCs w:val="24"/>
              </w:rPr>
            </w:pPr>
            <w:r>
              <w:rPr>
                <w:rFonts w:hint="eastAsia" w:asciiTheme="minorEastAsia" w:hAnsiTheme="minorEastAsia" w:cstheme="minorEastAsia"/>
                <w:spacing w:val="14"/>
                <w:szCs w:val="24"/>
              </w:rPr>
              <w:t>2、成交供应商享受《政府采购促进中小企业发展管理办法》规定的中小企业扶持政策的，采购人、采购代理机构将随中标结果公开成交供应商的《中小企业声明函》。</w:t>
            </w:r>
          </w:p>
        </w:tc>
      </w:tr>
      <w:tr w14:paraId="2F0531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81" w:hRule="atLeast"/>
          <w:jc w:val="center"/>
        </w:trPr>
        <w:tc>
          <w:tcPr>
            <w:tcW w:w="1844" w:type="dxa"/>
            <w:tcBorders>
              <w:top w:val="single" w:color="auto" w:sz="6" w:space="0"/>
              <w:left w:val="single" w:color="auto" w:sz="12" w:space="0"/>
              <w:bottom w:val="single" w:color="auto" w:sz="6" w:space="0"/>
              <w:right w:val="single" w:color="auto" w:sz="6" w:space="0"/>
            </w:tcBorders>
          </w:tcPr>
          <w:p w14:paraId="2C6371B9">
            <w:pPr>
              <w:pStyle w:val="51"/>
              <w:spacing w:line="269" w:lineRule="auto"/>
              <w:rPr>
                <w:rFonts w:asciiTheme="minorEastAsia" w:hAnsiTheme="minorEastAsia" w:eastAsiaTheme="minorEastAsia" w:cstheme="minorEastAsia"/>
                <w:lang w:eastAsia="zh-CN"/>
              </w:rPr>
            </w:pPr>
          </w:p>
          <w:p w14:paraId="3E479255">
            <w:pPr>
              <w:spacing w:before="78" w:line="219" w:lineRule="auto"/>
              <w:ind w:left="377"/>
              <w:rPr>
                <w:rFonts w:asciiTheme="minorEastAsia" w:hAnsiTheme="minorEastAsia" w:cstheme="minorEastAsia"/>
                <w:szCs w:val="24"/>
              </w:rPr>
            </w:pPr>
            <w:r>
              <w:rPr>
                <w:rFonts w:hint="eastAsia" w:asciiTheme="minorEastAsia" w:hAnsiTheme="minorEastAsia" w:cstheme="minorEastAsia"/>
                <w:spacing w:val="-3"/>
                <w:szCs w:val="24"/>
              </w:rPr>
              <w:t>磋商报价</w:t>
            </w:r>
          </w:p>
        </w:tc>
        <w:tc>
          <w:tcPr>
            <w:tcW w:w="8339" w:type="dxa"/>
            <w:tcBorders>
              <w:top w:val="single" w:color="auto" w:sz="6" w:space="0"/>
              <w:left w:val="single" w:color="auto" w:sz="6" w:space="0"/>
              <w:bottom w:val="single" w:color="auto" w:sz="6" w:space="0"/>
              <w:right w:val="single" w:color="auto" w:sz="12" w:space="0"/>
            </w:tcBorders>
          </w:tcPr>
          <w:p w14:paraId="359F288B">
            <w:pPr>
              <w:spacing w:before="40"/>
              <w:ind w:left="117"/>
              <w:rPr>
                <w:rFonts w:asciiTheme="minorEastAsia" w:hAnsiTheme="minorEastAsia" w:cstheme="minorEastAsia"/>
                <w:szCs w:val="24"/>
              </w:rPr>
            </w:pPr>
            <w:r>
              <w:rPr>
                <w:rFonts w:hint="eastAsia" w:asciiTheme="minorEastAsia" w:hAnsiTheme="minorEastAsia" w:cstheme="minorEastAsia"/>
                <w:spacing w:val="-7"/>
                <w:szCs w:val="24"/>
              </w:rPr>
              <w:t>磋商报价的特殊规定：</w:t>
            </w:r>
          </w:p>
          <w:p w14:paraId="507BF996">
            <w:pPr>
              <w:pStyle w:val="51"/>
              <w:spacing w:before="1" w:line="220" w:lineRule="auto"/>
              <w:ind w:left="126"/>
              <w:rPr>
                <w:rFonts w:asciiTheme="minorEastAsia" w:hAnsiTheme="minorEastAsia" w:eastAsiaTheme="minorEastAsia" w:cstheme="minorEastAsia"/>
                <w:szCs w:val="24"/>
                <w:lang w:eastAsia="zh-CN"/>
              </w:rPr>
            </w:pPr>
            <w:r>
              <w:rPr>
                <w:rFonts w:ascii="Segoe UI Symbol" w:hAnsi="Segoe UI Symbol" w:cs="Segoe UI Symbol" w:eastAsiaTheme="minorEastAsia"/>
                <w:spacing w:val="29"/>
                <w:szCs w:val="24"/>
                <w:lang w:eastAsia="zh-CN"/>
              </w:rPr>
              <w:t>☑</w:t>
            </w:r>
            <w:r>
              <w:rPr>
                <w:rFonts w:hint="eastAsia" w:asciiTheme="minorEastAsia" w:hAnsiTheme="minorEastAsia" w:eastAsiaTheme="minorEastAsia" w:cstheme="minorEastAsia"/>
                <w:spacing w:val="29"/>
                <w:szCs w:val="24"/>
                <w:lang w:eastAsia="zh-CN"/>
              </w:rPr>
              <w:t>无</w:t>
            </w:r>
          </w:p>
          <w:p w14:paraId="3F31352D">
            <w:pPr>
              <w:pStyle w:val="51"/>
              <w:spacing w:before="23" w:line="189" w:lineRule="auto"/>
              <w:ind w:left="126"/>
              <w:rPr>
                <w:rFonts w:asciiTheme="minorEastAsia" w:hAnsiTheme="minorEastAsia" w:eastAsiaTheme="minorEastAsia" w:cstheme="minorEastAsia"/>
                <w:szCs w:val="24"/>
              </w:rPr>
            </w:pPr>
            <w:r>
              <w:rPr>
                <w:rFonts w:hint="eastAsia" w:asciiTheme="minorEastAsia" w:hAnsiTheme="minorEastAsia" w:eastAsiaTheme="minorEastAsia" w:cstheme="minorEastAsia"/>
                <w:spacing w:val="-13"/>
                <w:szCs w:val="24"/>
              </w:rPr>
              <w:t>□有，具体情形：</w:t>
            </w:r>
            <w:r>
              <w:rPr>
                <w:rFonts w:hint="eastAsia" w:asciiTheme="minorEastAsia" w:hAnsiTheme="minorEastAsia" w:eastAsiaTheme="minorEastAsia" w:cstheme="minorEastAsia"/>
                <w:szCs w:val="24"/>
                <w:u w:val="single"/>
              </w:rPr>
              <w:t xml:space="preserve">            </w:t>
            </w:r>
            <w:r>
              <w:rPr>
                <w:rFonts w:hint="eastAsia" w:asciiTheme="minorEastAsia" w:hAnsiTheme="minorEastAsia" w:eastAsiaTheme="minorEastAsia" w:cstheme="minorEastAsia"/>
                <w:spacing w:val="-13"/>
                <w:szCs w:val="24"/>
              </w:rPr>
              <w:t>。</w:t>
            </w:r>
          </w:p>
          <w:p w14:paraId="680117A2">
            <w:pPr>
              <w:pStyle w:val="51"/>
              <w:spacing w:line="19" w:lineRule="exact"/>
              <w:ind w:left="2008"/>
              <w:rPr>
                <w:rFonts w:asciiTheme="minorEastAsia" w:hAnsiTheme="minorEastAsia" w:eastAsiaTheme="minorEastAsia" w:cstheme="minorEastAsia"/>
                <w:szCs w:val="24"/>
                <w:lang w:eastAsia="zh-CN"/>
              </w:rPr>
            </w:pPr>
            <w:r>
              <w:rPr>
                <w:rFonts w:hint="eastAsia" w:asciiTheme="minorEastAsia" w:hAnsiTheme="minorEastAsia" w:eastAsiaTheme="minorEastAsia" w:cstheme="minorEastAsia"/>
                <w:spacing w:val="-11"/>
                <w:position w:val="5"/>
                <w:szCs w:val="24"/>
              </w:rPr>
              <w:t>_____</w:t>
            </w:r>
          </w:p>
        </w:tc>
      </w:tr>
      <w:tr w14:paraId="527FDC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30" w:hRule="atLeast"/>
          <w:jc w:val="center"/>
        </w:trPr>
        <w:tc>
          <w:tcPr>
            <w:tcW w:w="1844" w:type="dxa"/>
            <w:tcBorders>
              <w:top w:val="single" w:color="auto" w:sz="6" w:space="0"/>
              <w:left w:val="single" w:color="auto" w:sz="12" w:space="0"/>
              <w:bottom w:val="single" w:color="auto" w:sz="6" w:space="0"/>
              <w:right w:val="single" w:color="auto" w:sz="6" w:space="0"/>
            </w:tcBorders>
            <w:vAlign w:val="center"/>
          </w:tcPr>
          <w:p w14:paraId="7014FB16">
            <w:pPr>
              <w:spacing w:line="240" w:lineRule="atLeast"/>
              <w:jc w:val="center"/>
              <w:rPr>
                <w:rFonts w:asciiTheme="minorEastAsia" w:hAnsiTheme="minorEastAsia" w:cstheme="minorEastAsia"/>
                <w:szCs w:val="24"/>
              </w:rPr>
            </w:pPr>
            <w:r>
              <w:rPr>
                <w:rFonts w:hint="eastAsia" w:asciiTheme="minorEastAsia" w:hAnsiTheme="minorEastAsia" w:cstheme="minorEastAsia"/>
                <w:szCs w:val="24"/>
              </w:rPr>
              <w:t>项目预算</w:t>
            </w:r>
          </w:p>
        </w:tc>
        <w:tc>
          <w:tcPr>
            <w:tcW w:w="8339" w:type="dxa"/>
            <w:tcBorders>
              <w:top w:val="single" w:color="auto" w:sz="6" w:space="0"/>
              <w:left w:val="single" w:color="auto" w:sz="6" w:space="0"/>
              <w:bottom w:val="single" w:color="auto" w:sz="6" w:space="0"/>
              <w:right w:val="single" w:color="auto" w:sz="12" w:space="0"/>
            </w:tcBorders>
            <w:vAlign w:val="center"/>
          </w:tcPr>
          <w:p w14:paraId="09266FD4">
            <w:pPr>
              <w:spacing w:line="240" w:lineRule="atLeast"/>
              <w:rPr>
                <w:rFonts w:hint="eastAsia" w:asciiTheme="minorEastAsia" w:hAnsiTheme="minorEastAsia" w:cstheme="minorEastAsia"/>
                <w:bCs/>
                <w:szCs w:val="24"/>
                <w:u w:val="none"/>
              </w:rPr>
            </w:pPr>
            <w:r>
              <w:rPr>
                <w:rFonts w:hint="eastAsia" w:asciiTheme="minorEastAsia" w:hAnsiTheme="minorEastAsia" w:cstheme="minorEastAsia"/>
                <w:bCs/>
                <w:szCs w:val="24"/>
                <w:u w:val="none"/>
                <w:lang w:val="en-US" w:eastAsia="zh-CN"/>
              </w:rPr>
              <w:t>一标段招标</w:t>
            </w:r>
            <w:r>
              <w:rPr>
                <w:rFonts w:hint="eastAsia" w:asciiTheme="minorEastAsia" w:hAnsiTheme="minorEastAsia" w:cstheme="minorEastAsia"/>
                <w:bCs/>
                <w:szCs w:val="24"/>
                <w:u w:val="none"/>
              </w:rPr>
              <w:t>控制价：</w:t>
            </w:r>
          </w:p>
          <w:p w14:paraId="47D0B2F1">
            <w:pPr>
              <w:spacing w:line="240" w:lineRule="atLeast"/>
              <w:rPr>
                <w:rFonts w:hint="eastAsia" w:asciiTheme="minorEastAsia" w:hAnsiTheme="minorEastAsia" w:cstheme="minorEastAsia"/>
                <w:bCs/>
                <w:szCs w:val="24"/>
                <w:u w:val="none"/>
                <w:lang w:val="en-US"/>
              </w:rPr>
            </w:pPr>
            <w:r>
              <w:rPr>
                <w:rFonts w:hint="eastAsia" w:asciiTheme="minorEastAsia" w:hAnsiTheme="minorEastAsia" w:cstheme="minorEastAsia"/>
                <w:bCs/>
                <w:szCs w:val="24"/>
                <w:u w:val="none"/>
              </w:rPr>
              <w:t>小写：</w:t>
            </w:r>
            <w:r>
              <w:rPr>
                <w:rFonts w:hint="eastAsia" w:asciiTheme="minorEastAsia" w:hAnsiTheme="minorEastAsia" w:cstheme="minorEastAsia"/>
                <w:bCs/>
                <w:szCs w:val="24"/>
                <w:u w:val="none"/>
                <w:lang w:val="en-US" w:eastAsia="zh-CN"/>
              </w:rPr>
              <w:t>260000.00元</w:t>
            </w:r>
          </w:p>
          <w:p w14:paraId="7716337C">
            <w:pPr>
              <w:spacing w:line="240" w:lineRule="atLeast"/>
              <w:rPr>
                <w:rFonts w:hint="eastAsia" w:asciiTheme="minorEastAsia" w:hAnsiTheme="minorEastAsia" w:cstheme="minorEastAsia"/>
                <w:bCs/>
                <w:szCs w:val="24"/>
                <w:u w:val="none"/>
                <w:lang w:eastAsia="zh-CN"/>
              </w:rPr>
            </w:pPr>
            <w:r>
              <w:rPr>
                <w:rFonts w:hint="eastAsia" w:asciiTheme="minorEastAsia" w:hAnsiTheme="minorEastAsia" w:cstheme="minorEastAsia"/>
                <w:bCs/>
                <w:szCs w:val="24"/>
                <w:u w:val="none"/>
              </w:rPr>
              <w:t>大写：</w:t>
            </w:r>
            <w:r>
              <w:rPr>
                <w:rFonts w:hint="eastAsia" w:asciiTheme="minorEastAsia" w:hAnsiTheme="minorEastAsia" w:cstheme="minorEastAsia"/>
                <w:bCs/>
                <w:szCs w:val="24"/>
                <w:u w:val="none"/>
                <w:lang w:val="en-US" w:eastAsia="zh-CN"/>
              </w:rPr>
              <w:t>贰拾陆万元整</w:t>
            </w:r>
          </w:p>
          <w:p w14:paraId="67847F6F">
            <w:pPr>
              <w:spacing w:line="240" w:lineRule="atLeast"/>
              <w:rPr>
                <w:rFonts w:hint="eastAsia" w:asciiTheme="minorEastAsia" w:hAnsiTheme="minorEastAsia" w:cstheme="minorEastAsia"/>
                <w:bCs/>
                <w:szCs w:val="24"/>
                <w:u w:val="none"/>
              </w:rPr>
            </w:pPr>
            <w:r>
              <w:rPr>
                <w:rFonts w:hint="eastAsia" w:asciiTheme="minorEastAsia" w:hAnsiTheme="minorEastAsia" w:cstheme="minorEastAsia"/>
                <w:bCs/>
                <w:szCs w:val="24"/>
                <w:u w:val="none"/>
                <w:lang w:val="en-US" w:eastAsia="zh-CN"/>
              </w:rPr>
              <w:t>二标段招标控制价</w:t>
            </w:r>
            <w:r>
              <w:rPr>
                <w:rFonts w:hint="eastAsia" w:asciiTheme="minorEastAsia" w:hAnsiTheme="minorEastAsia" w:cstheme="minorEastAsia"/>
                <w:bCs/>
                <w:szCs w:val="24"/>
                <w:u w:val="none"/>
              </w:rPr>
              <w:t>：</w:t>
            </w:r>
          </w:p>
          <w:p w14:paraId="161DE88F">
            <w:pPr>
              <w:spacing w:line="240" w:lineRule="atLeast"/>
              <w:rPr>
                <w:rFonts w:hint="eastAsia" w:asciiTheme="minorEastAsia" w:hAnsiTheme="minorEastAsia" w:cstheme="minorEastAsia"/>
                <w:bCs/>
                <w:szCs w:val="24"/>
                <w:u w:val="none"/>
                <w:lang w:val="en-US"/>
              </w:rPr>
            </w:pPr>
            <w:r>
              <w:rPr>
                <w:rFonts w:hint="eastAsia" w:asciiTheme="minorEastAsia" w:hAnsiTheme="minorEastAsia" w:cstheme="minorEastAsia"/>
                <w:bCs/>
                <w:szCs w:val="24"/>
                <w:u w:val="none"/>
              </w:rPr>
              <w:t>小写：</w:t>
            </w:r>
            <w:r>
              <w:rPr>
                <w:rFonts w:hint="eastAsia" w:asciiTheme="minorEastAsia" w:hAnsiTheme="minorEastAsia" w:cstheme="minorEastAsia"/>
                <w:bCs/>
                <w:szCs w:val="24"/>
                <w:u w:val="none"/>
                <w:lang w:val="en-US" w:eastAsia="zh-CN"/>
              </w:rPr>
              <w:t>260000.00元</w:t>
            </w:r>
          </w:p>
          <w:p w14:paraId="16C80582">
            <w:pPr>
              <w:spacing w:line="240" w:lineRule="atLeast"/>
              <w:rPr>
                <w:rFonts w:hint="eastAsia" w:asciiTheme="minorEastAsia" w:hAnsiTheme="minorEastAsia" w:cstheme="minorEastAsia"/>
                <w:bCs/>
                <w:szCs w:val="24"/>
                <w:u w:val="none"/>
                <w:lang w:eastAsia="zh-CN"/>
              </w:rPr>
            </w:pPr>
            <w:r>
              <w:rPr>
                <w:rFonts w:hint="eastAsia" w:asciiTheme="minorEastAsia" w:hAnsiTheme="minorEastAsia" w:cstheme="minorEastAsia"/>
                <w:bCs/>
                <w:szCs w:val="24"/>
                <w:u w:val="none"/>
              </w:rPr>
              <w:t>大写：</w:t>
            </w:r>
            <w:r>
              <w:rPr>
                <w:rFonts w:hint="eastAsia" w:asciiTheme="minorEastAsia" w:hAnsiTheme="minorEastAsia" w:cstheme="minorEastAsia"/>
                <w:bCs/>
                <w:szCs w:val="24"/>
                <w:u w:val="none"/>
                <w:lang w:val="en-US" w:eastAsia="zh-CN"/>
              </w:rPr>
              <w:t>贰拾陆万元整</w:t>
            </w:r>
          </w:p>
          <w:p w14:paraId="34878F69">
            <w:pPr>
              <w:spacing w:line="240" w:lineRule="atLeast"/>
              <w:rPr>
                <w:rFonts w:hint="eastAsia" w:asciiTheme="minorEastAsia" w:hAnsiTheme="minorEastAsia" w:cstheme="minorEastAsia"/>
                <w:bCs/>
                <w:szCs w:val="24"/>
                <w:u w:val="none"/>
              </w:rPr>
            </w:pPr>
            <w:r>
              <w:rPr>
                <w:rFonts w:hint="eastAsia" w:asciiTheme="minorEastAsia" w:hAnsiTheme="minorEastAsia" w:cstheme="minorEastAsia"/>
                <w:bCs/>
                <w:szCs w:val="24"/>
                <w:u w:val="none"/>
                <w:lang w:val="en-US" w:eastAsia="zh-CN"/>
              </w:rPr>
              <w:t>三标段招标</w:t>
            </w:r>
            <w:r>
              <w:rPr>
                <w:rFonts w:hint="eastAsia" w:asciiTheme="minorEastAsia" w:hAnsiTheme="minorEastAsia" w:cstheme="minorEastAsia"/>
                <w:bCs/>
                <w:szCs w:val="24"/>
                <w:u w:val="none"/>
              </w:rPr>
              <w:t>控制价：</w:t>
            </w:r>
          </w:p>
          <w:p w14:paraId="751449E3">
            <w:pPr>
              <w:spacing w:line="240" w:lineRule="atLeast"/>
              <w:rPr>
                <w:rFonts w:hint="eastAsia" w:asciiTheme="minorEastAsia" w:hAnsiTheme="minorEastAsia" w:cstheme="minorEastAsia"/>
                <w:bCs/>
                <w:szCs w:val="24"/>
                <w:u w:val="none"/>
                <w:lang w:val="en-US"/>
              </w:rPr>
            </w:pPr>
            <w:r>
              <w:rPr>
                <w:rFonts w:hint="eastAsia" w:asciiTheme="minorEastAsia" w:hAnsiTheme="minorEastAsia" w:cstheme="minorEastAsia"/>
                <w:bCs/>
                <w:szCs w:val="24"/>
                <w:u w:val="none"/>
              </w:rPr>
              <w:t>小写：</w:t>
            </w:r>
            <w:r>
              <w:rPr>
                <w:rFonts w:hint="eastAsia" w:asciiTheme="minorEastAsia" w:hAnsiTheme="minorEastAsia" w:cstheme="minorEastAsia"/>
                <w:bCs/>
                <w:szCs w:val="24"/>
                <w:u w:val="none"/>
                <w:lang w:val="en-US" w:eastAsia="zh-CN"/>
              </w:rPr>
              <w:t>260000.00元</w:t>
            </w:r>
          </w:p>
          <w:p w14:paraId="4B9071CB">
            <w:pPr>
              <w:spacing w:line="240" w:lineRule="atLeast"/>
              <w:rPr>
                <w:rFonts w:hint="eastAsia" w:asciiTheme="minorEastAsia" w:hAnsiTheme="minorEastAsia" w:cstheme="minorEastAsia"/>
                <w:bCs/>
                <w:szCs w:val="24"/>
                <w:u w:val="none"/>
                <w:lang w:eastAsia="zh-CN"/>
              </w:rPr>
            </w:pPr>
            <w:r>
              <w:rPr>
                <w:rFonts w:hint="eastAsia" w:asciiTheme="minorEastAsia" w:hAnsiTheme="minorEastAsia" w:cstheme="minorEastAsia"/>
                <w:bCs/>
                <w:szCs w:val="24"/>
                <w:u w:val="none"/>
              </w:rPr>
              <w:t>大写：</w:t>
            </w:r>
            <w:r>
              <w:rPr>
                <w:rFonts w:hint="eastAsia" w:asciiTheme="minorEastAsia" w:hAnsiTheme="minorEastAsia" w:cstheme="minorEastAsia"/>
                <w:bCs/>
                <w:szCs w:val="24"/>
                <w:u w:val="none"/>
                <w:lang w:val="en-US" w:eastAsia="zh-CN"/>
              </w:rPr>
              <w:t>贰拾陆万元整</w:t>
            </w:r>
          </w:p>
          <w:p w14:paraId="120B55C3">
            <w:pPr>
              <w:spacing w:line="240" w:lineRule="atLeast"/>
              <w:rPr>
                <w:rFonts w:hint="eastAsia" w:asciiTheme="minorEastAsia" w:hAnsiTheme="minorEastAsia" w:cstheme="minorEastAsia"/>
                <w:bCs/>
                <w:szCs w:val="24"/>
                <w:u w:val="none"/>
              </w:rPr>
            </w:pPr>
            <w:r>
              <w:rPr>
                <w:rFonts w:hint="eastAsia" w:asciiTheme="minorEastAsia" w:hAnsiTheme="minorEastAsia" w:cstheme="minorEastAsia"/>
                <w:bCs/>
                <w:szCs w:val="24"/>
                <w:u w:val="none"/>
                <w:lang w:val="en-US" w:eastAsia="zh-CN"/>
              </w:rPr>
              <w:t>四标段招标控制价</w:t>
            </w:r>
            <w:r>
              <w:rPr>
                <w:rFonts w:hint="eastAsia" w:asciiTheme="minorEastAsia" w:hAnsiTheme="minorEastAsia" w:cstheme="minorEastAsia"/>
                <w:bCs/>
                <w:szCs w:val="24"/>
                <w:u w:val="none"/>
              </w:rPr>
              <w:t>：</w:t>
            </w:r>
          </w:p>
          <w:p w14:paraId="03385BF2">
            <w:pPr>
              <w:spacing w:line="240" w:lineRule="atLeast"/>
              <w:rPr>
                <w:rFonts w:hint="eastAsia" w:asciiTheme="minorEastAsia" w:hAnsiTheme="minorEastAsia" w:cstheme="minorEastAsia"/>
                <w:bCs/>
                <w:szCs w:val="24"/>
                <w:u w:val="none"/>
                <w:lang w:val="en-US"/>
              </w:rPr>
            </w:pPr>
            <w:r>
              <w:rPr>
                <w:rFonts w:hint="eastAsia" w:asciiTheme="minorEastAsia" w:hAnsiTheme="minorEastAsia" w:cstheme="minorEastAsia"/>
                <w:bCs/>
                <w:szCs w:val="24"/>
                <w:u w:val="none"/>
              </w:rPr>
              <w:t>小写：</w:t>
            </w:r>
            <w:r>
              <w:rPr>
                <w:rFonts w:hint="eastAsia" w:asciiTheme="minorEastAsia" w:hAnsiTheme="minorEastAsia" w:cstheme="minorEastAsia"/>
                <w:bCs/>
                <w:szCs w:val="24"/>
                <w:u w:val="none"/>
                <w:lang w:val="en-US" w:eastAsia="zh-CN"/>
              </w:rPr>
              <w:t>260000.00元</w:t>
            </w:r>
          </w:p>
          <w:p w14:paraId="14082AA9">
            <w:pPr>
              <w:spacing w:line="240" w:lineRule="atLeast"/>
              <w:rPr>
                <w:rFonts w:hint="eastAsia" w:asciiTheme="minorEastAsia" w:hAnsiTheme="minorEastAsia" w:cstheme="minorEastAsia"/>
                <w:bCs/>
                <w:szCs w:val="24"/>
                <w:u w:val="none"/>
                <w:lang w:eastAsia="zh-CN"/>
              </w:rPr>
            </w:pPr>
            <w:r>
              <w:rPr>
                <w:rFonts w:hint="eastAsia" w:asciiTheme="minorEastAsia" w:hAnsiTheme="minorEastAsia" w:cstheme="minorEastAsia"/>
                <w:bCs/>
                <w:szCs w:val="24"/>
                <w:u w:val="none"/>
              </w:rPr>
              <w:t>大写：</w:t>
            </w:r>
            <w:r>
              <w:rPr>
                <w:rFonts w:hint="eastAsia" w:asciiTheme="minorEastAsia" w:hAnsiTheme="minorEastAsia" w:cstheme="minorEastAsia"/>
                <w:bCs/>
                <w:szCs w:val="24"/>
                <w:u w:val="none"/>
                <w:lang w:val="en-US" w:eastAsia="zh-CN"/>
              </w:rPr>
              <w:t>贰拾陆万元整</w:t>
            </w:r>
          </w:p>
          <w:p w14:paraId="0AA972C3">
            <w:pPr>
              <w:spacing w:line="240" w:lineRule="atLeast"/>
              <w:rPr>
                <w:rFonts w:hint="eastAsia" w:asciiTheme="minorEastAsia" w:hAnsiTheme="minorEastAsia" w:cstheme="minorEastAsia"/>
                <w:bCs/>
                <w:szCs w:val="24"/>
                <w:u w:val="none"/>
              </w:rPr>
            </w:pPr>
            <w:r>
              <w:rPr>
                <w:rFonts w:hint="eastAsia" w:asciiTheme="minorEastAsia" w:hAnsiTheme="minorEastAsia" w:cstheme="minorEastAsia"/>
                <w:bCs/>
                <w:szCs w:val="24"/>
                <w:u w:val="none"/>
                <w:lang w:val="en-US" w:eastAsia="zh-CN"/>
              </w:rPr>
              <w:t>五标段招标控制价</w:t>
            </w:r>
            <w:r>
              <w:rPr>
                <w:rFonts w:hint="eastAsia" w:asciiTheme="minorEastAsia" w:hAnsiTheme="minorEastAsia" w:cstheme="minorEastAsia"/>
                <w:bCs/>
                <w:szCs w:val="24"/>
                <w:u w:val="none"/>
              </w:rPr>
              <w:t>：</w:t>
            </w:r>
          </w:p>
          <w:p w14:paraId="4678A24F">
            <w:pPr>
              <w:spacing w:line="240" w:lineRule="atLeast"/>
              <w:rPr>
                <w:rFonts w:hint="eastAsia" w:asciiTheme="minorEastAsia" w:hAnsiTheme="minorEastAsia" w:cstheme="minorEastAsia"/>
                <w:bCs/>
                <w:szCs w:val="24"/>
                <w:u w:val="none"/>
                <w:lang w:val="en-US"/>
              </w:rPr>
            </w:pPr>
            <w:r>
              <w:rPr>
                <w:rFonts w:hint="eastAsia" w:asciiTheme="minorEastAsia" w:hAnsiTheme="minorEastAsia" w:cstheme="minorEastAsia"/>
                <w:bCs/>
                <w:szCs w:val="24"/>
                <w:u w:val="none"/>
              </w:rPr>
              <w:t>小写：</w:t>
            </w:r>
            <w:r>
              <w:rPr>
                <w:rFonts w:hint="eastAsia" w:asciiTheme="minorEastAsia" w:hAnsiTheme="minorEastAsia" w:cstheme="minorEastAsia"/>
                <w:bCs/>
                <w:szCs w:val="24"/>
                <w:u w:val="none"/>
                <w:lang w:val="en-US" w:eastAsia="zh-CN"/>
              </w:rPr>
              <w:t>260000.00元</w:t>
            </w:r>
          </w:p>
          <w:p w14:paraId="15F300DC">
            <w:pPr>
              <w:spacing w:line="240" w:lineRule="atLeast"/>
              <w:rPr>
                <w:rFonts w:hint="eastAsia" w:asciiTheme="minorEastAsia" w:hAnsiTheme="minorEastAsia" w:cstheme="minorEastAsia"/>
                <w:bCs/>
                <w:szCs w:val="24"/>
                <w:u w:val="none"/>
                <w:lang w:eastAsia="zh-CN"/>
              </w:rPr>
            </w:pPr>
            <w:r>
              <w:rPr>
                <w:rFonts w:hint="eastAsia" w:asciiTheme="minorEastAsia" w:hAnsiTheme="minorEastAsia" w:cstheme="minorEastAsia"/>
                <w:bCs/>
                <w:szCs w:val="24"/>
                <w:u w:val="none"/>
              </w:rPr>
              <w:t>大写：</w:t>
            </w:r>
            <w:r>
              <w:rPr>
                <w:rFonts w:hint="eastAsia" w:asciiTheme="minorEastAsia" w:hAnsiTheme="minorEastAsia" w:cstheme="minorEastAsia"/>
                <w:bCs/>
                <w:szCs w:val="24"/>
                <w:u w:val="none"/>
                <w:lang w:val="en-US" w:eastAsia="zh-CN"/>
              </w:rPr>
              <w:t>贰拾陆万元整</w:t>
            </w:r>
          </w:p>
          <w:p w14:paraId="368ADE7C">
            <w:pPr>
              <w:spacing w:line="240" w:lineRule="atLeast"/>
              <w:rPr>
                <w:rFonts w:asciiTheme="minorEastAsia" w:hAnsiTheme="minorEastAsia" w:cstheme="minorEastAsia"/>
                <w:b/>
                <w:szCs w:val="24"/>
              </w:rPr>
            </w:pPr>
            <w:r>
              <w:rPr>
                <w:rFonts w:hint="eastAsia" w:asciiTheme="minorEastAsia" w:hAnsiTheme="minorEastAsia" w:cstheme="minorEastAsia"/>
                <w:bCs/>
                <w:szCs w:val="24"/>
                <w:u w:val="none"/>
              </w:rPr>
              <w:t>注：供应商的</w:t>
            </w:r>
            <w:r>
              <w:rPr>
                <w:rFonts w:hint="eastAsia" w:asciiTheme="minorEastAsia" w:hAnsiTheme="minorEastAsia" w:cstheme="minorEastAsia"/>
                <w:bCs/>
                <w:szCs w:val="24"/>
                <w:u w:val="none"/>
                <w:lang w:val="en-US" w:eastAsia="zh-CN"/>
              </w:rPr>
              <w:t>投标</w:t>
            </w:r>
            <w:r>
              <w:rPr>
                <w:rFonts w:hint="eastAsia" w:asciiTheme="minorEastAsia" w:hAnsiTheme="minorEastAsia" w:cstheme="minorEastAsia"/>
                <w:bCs/>
                <w:szCs w:val="24"/>
                <w:u w:val="none"/>
              </w:rPr>
              <w:t>报价不得超过</w:t>
            </w:r>
            <w:r>
              <w:rPr>
                <w:rFonts w:hint="eastAsia" w:asciiTheme="minorEastAsia" w:hAnsiTheme="minorEastAsia" w:cstheme="minorEastAsia"/>
                <w:bCs/>
                <w:szCs w:val="24"/>
                <w:u w:val="none"/>
                <w:lang w:val="en-US" w:eastAsia="zh-CN"/>
              </w:rPr>
              <w:t>招标</w:t>
            </w:r>
            <w:r>
              <w:rPr>
                <w:rFonts w:hint="eastAsia" w:asciiTheme="minorEastAsia" w:hAnsiTheme="minorEastAsia" w:cstheme="minorEastAsia"/>
                <w:bCs/>
                <w:szCs w:val="24"/>
                <w:u w:val="none"/>
              </w:rPr>
              <w:t>控制价，否则按废标处理。</w:t>
            </w:r>
          </w:p>
        </w:tc>
      </w:tr>
      <w:tr w14:paraId="714617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8" w:hRule="atLeast"/>
          <w:jc w:val="center"/>
        </w:trPr>
        <w:tc>
          <w:tcPr>
            <w:tcW w:w="1844" w:type="dxa"/>
            <w:tcBorders>
              <w:top w:val="single" w:color="auto" w:sz="6" w:space="0"/>
              <w:left w:val="single" w:color="auto" w:sz="12" w:space="0"/>
              <w:bottom w:val="single" w:color="auto" w:sz="6" w:space="0"/>
              <w:right w:val="single" w:color="auto" w:sz="6" w:space="0"/>
            </w:tcBorders>
            <w:vAlign w:val="center"/>
          </w:tcPr>
          <w:p w14:paraId="02D89923">
            <w:pPr>
              <w:spacing w:line="240" w:lineRule="atLeast"/>
              <w:jc w:val="center"/>
              <w:rPr>
                <w:rFonts w:asciiTheme="minorEastAsia" w:hAnsiTheme="minorEastAsia" w:cstheme="minorEastAsia"/>
                <w:szCs w:val="24"/>
              </w:rPr>
            </w:pPr>
            <w:r>
              <w:rPr>
                <w:rFonts w:hint="eastAsia" w:asciiTheme="minorEastAsia" w:hAnsiTheme="minorEastAsia" w:cstheme="minorEastAsia"/>
                <w:szCs w:val="24"/>
                <w:lang w:val="en-US" w:eastAsia="zh-CN"/>
              </w:rPr>
              <w:t>质量标准</w:t>
            </w:r>
          </w:p>
        </w:tc>
        <w:tc>
          <w:tcPr>
            <w:tcW w:w="8339" w:type="dxa"/>
            <w:tcBorders>
              <w:top w:val="single" w:color="auto" w:sz="6" w:space="0"/>
              <w:left w:val="single" w:color="auto" w:sz="6" w:space="0"/>
              <w:bottom w:val="single" w:color="auto" w:sz="6" w:space="0"/>
              <w:right w:val="single" w:color="auto" w:sz="12" w:space="0"/>
            </w:tcBorders>
            <w:vAlign w:val="center"/>
          </w:tcPr>
          <w:p w14:paraId="644117F4">
            <w:pPr>
              <w:spacing w:line="240" w:lineRule="atLeast"/>
              <w:rPr>
                <w:rFonts w:asciiTheme="minorEastAsia" w:hAnsiTheme="minorEastAsia" w:cstheme="minorEastAsia"/>
                <w:bCs/>
                <w:szCs w:val="24"/>
              </w:rPr>
            </w:pPr>
            <w:r>
              <w:rPr>
                <w:rFonts w:hint="eastAsia" w:asciiTheme="minorEastAsia" w:hAnsiTheme="minorEastAsia" w:cstheme="minorEastAsia"/>
                <w:bCs/>
                <w:szCs w:val="24"/>
                <w:lang w:val="en-US" w:eastAsia="zh-CN"/>
              </w:rPr>
              <w:t>符合国家相关行业质量合格标准，符合采购人采购需求标准</w:t>
            </w:r>
          </w:p>
        </w:tc>
      </w:tr>
      <w:tr w14:paraId="3EA846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05" w:hRule="atLeast"/>
          <w:jc w:val="center"/>
        </w:trPr>
        <w:tc>
          <w:tcPr>
            <w:tcW w:w="1844" w:type="dxa"/>
            <w:tcBorders>
              <w:top w:val="single" w:color="auto" w:sz="6" w:space="0"/>
              <w:left w:val="single" w:color="auto" w:sz="12" w:space="0"/>
              <w:bottom w:val="single" w:color="auto" w:sz="6" w:space="0"/>
              <w:right w:val="single" w:color="auto" w:sz="6" w:space="0"/>
            </w:tcBorders>
            <w:vAlign w:val="center"/>
          </w:tcPr>
          <w:p w14:paraId="494A90C0">
            <w:pPr>
              <w:spacing w:line="240" w:lineRule="atLeast"/>
              <w:jc w:val="center"/>
              <w:rPr>
                <w:rFonts w:hint="eastAsia" w:asciiTheme="minorEastAsia" w:hAnsiTheme="minorEastAsia" w:cstheme="minorEastAsia"/>
                <w:szCs w:val="24"/>
              </w:rPr>
            </w:pPr>
            <w:r>
              <w:rPr>
                <w:rFonts w:hint="eastAsia" w:asciiTheme="minorEastAsia" w:hAnsiTheme="minorEastAsia" w:cstheme="minorEastAsia"/>
                <w:szCs w:val="24"/>
                <w:lang w:val="en-US" w:eastAsia="zh-CN"/>
              </w:rPr>
              <w:t>服务期限</w:t>
            </w:r>
          </w:p>
        </w:tc>
        <w:tc>
          <w:tcPr>
            <w:tcW w:w="8339" w:type="dxa"/>
            <w:tcBorders>
              <w:top w:val="single" w:color="auto" w:sz="6" w:space="0"/>
              <w:left w:val="single" w:color="auto" w:sz="6" w:space="0"/>
              <w:bottom w:val="single" w:color="auto" w:sz="6" w:space="0"/>
              <w:right w:val="single" w:color="auto" w:sz="12" w:space="0"/>
            </w:tcBorders>
            <w:vAlign w:val="center"/>
          </w:tcPr>
          <w:p w14:paraId="6444B068">
            <w:pPr>
              <w:spacing w:line="240" w:lineRule="atLeast"/>
              <w:jc w:val="left"/>
              <w:rPr>
                <w:rFonts w:hint="default" w:asciiTheme="minorEastAsia" w:hAnsiTheme="minorEastAsia" w:cstheme="minorEastAsia"/>
                <w:szCs w:val="24"/>
                <w:lang w:val="en-US"/>
              </w:rPr>
            </w:pPr>
            <w:r>
              <w:rPr>
                <w:rFonts w:hint="default" w:asciiTheme="minorEastAsia" w:hAnsiTheme="minorEastAsia" w:cstheme="minorEastAsia"/>
                <w:szCs w:val="24"/>
                <w:lang w:val="en-US" w:eastAsia="zh-CN"/>
              </w:rPr>
              <w:t>2027年6月30日前完成所有抽检项目</w:t>
            </w:r>
          </w:p>
        </w:tc>
      </w:tr>
      <w:tr w14:paraId="72D3AC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4" w:hRule="atLeast"/>
          <w:jc w:val="center"/>
        </w:trPr>
        <w:tc>
          <w:tcPr>
            <w:tcW w:w="1844" w:type="dxa"/>
            <w:tcBorders>
              <w:top w:val="single" w:color="auto" w:sz="6" w:space="0"/>
              <w:left w:val="single" w:color="auto" w:sz="12" w:space="0"/>
              <w:bottom w:val="single" w:color="auto" w:sz="6" w:space="0"/>
              <w:right w:val="single" w:color="auto" w:sz="6" w:space="0"/>
            </w:tcBorders>
            <w:vAlign w:val="center"/>
          </w:tcPr>
          <w:p w14:paraId="5FC516FA">
            <w:pPr>
              <w:spacing w:line="240" w:lineRule="atLeast"/>
              <w:jc w:val="center"/>
              <w:rPr>
                <w:rFonts w:asciiTheme="minorEastAsia" w:hAnsiTheme="minorEastAsia" w:cstheme="minorEastAsia"/>
                <w:szCs w:val="24"/>
              </w:rPr>
            </w:pPr>
            <w:r>
              <w:rPr>
                <w:rFonts w:hint="eastAsia" w:asciiTheme="minorEastAsia" w:hAnsiTheme="minorEastAsia" w:cstheme="minorEastAsia"/>
                <w:szCs w:val="24"/>
              </w:rPr>
              <w:t>响应有效期</w:t>
            </w:r>
          </w:p>
        </w:tc>
        <w:tc>
          <w:tcPr>
            <w:tcW w:w="8339" w:type="dxa"/>
            <w:tcBorders>
              <w:top w:val="single" w:color="auto" w:sz="6" w:space="0"/>
              <w:left w:val="single" w:color="auto" w:sz="6" w:space="0"/>
              <w:bottom w:val="single" w:color="auto" w:sz="6" w:space="0"/>
              <w:right w:val="single" w:color="auto" w:sz="12" w:space="0"/>
            </w:tcBorders>
            <w:vAlign w:val="center"/>
          </w:tcPr>
          <w:p w14:paraId="2B59A09C">
            <w:pPr>
              <w:spacing w:line="240" w:lineRule="atLeast"/>
              <w:rPr>
                <w:rFonts w:asciiTheme="minorEastAsia" w:hAnsiTheme="minorEastAsia" w:cstheme="minorEastAsia"/>
                <w:szCs w:val="24"/>
              </w:rPr>
            </w:pPr>
            <w:r>
              <w:rPr>
                <w:rFonts w:hint="eastAsia" w:asciiTheme="minorEastAsia" w:hAnsiTheme="minorEastAsia" w:cstheme="minorEastAsia"/>
                <w:szCs w:val="24"/>
              </w:rPr>
              <w:t>开标之日起60日历日</w:t>
            </w:r>
          </w:p>
        </w:tc>
      </w:tr>
      <w:tr w14:paraId="6256A8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1844" w:type="dxa"/>
            <w:tcBorders>
              <w:top w:val="single" w:color="auto" w:sz="6" w:space="0"/>
              <w:left w:val="single" w:color="auto" w:sz="12" w:space="0"/>
              <w:bottom w:val="single" w:color="auto" w:sz="6" w:space="0"/>
              <w:right w:val="single" w:color="auto" w:sz="6" w:space="0"/>
            </w:tcBorders>
            <w:vAlign w:val="center"/>
          </w:tcPr>
          <w:p w14:paraId="028B29E2">
            <w:pPr>
              <w:spacing w:line="240" w:lineRule="atLeast"/>
              <w:rPr>
                <w:rFonts w:asciiTheme="minorEastAsia" w:hAnsiTheme="minorEastAsia" w:cstheme="minorEastAsia"/>
                <w:szCs w:val="24"/>
              </w:rPr>
            </w:pPr>
            <w:r>
              <w:rPr>
                <w:rFonts w:hint="eastAsia" w:asciiTheme="minorEastAsia" w:hAnsiTheme="minorEastAsia" w:cstheme="minorEastAsia"/>
                <w:szCs w:val="24"/>
              </w:rPr>
              <w:t>供应商资格要求（须同时满足）</w:t>
            </w:r>
          </w:p>
        </w:tc>
        <w:tc>
          <w:tcPr>
            <w:tcW w:w="8339" w:type="dxa"/>
            <w:tcBorders>
              <w:top w:val="single" w:color="auto" w:sz="6" w:space="0"/>
              <w:left w:val="single" w:color="auto" w:sz="6" w:space="0"/>
              <w:bottom w:val="single" w:color="auto" w:sz="6" w:space="0"/>
              <w:right w:val="single" w:color="auto" w:sz="12" w:space="0"/>
            </w:tcBorders>
            <w:vAlign w:val="center"/>
          </w:tcPr>
          <w:p w14:paraId="55DF2D17">
            <w:pPr>
              <w:spacing w:line="240" w:lineRule="atLeast"/>
              <w:ind w:left="0" w:leftChars="0"/>
              <w:jc w:val="left"/>
              <w:rPr>
                <w:rFonts w:hint="default" w:asciiTheme="minorEastAsia" w:hAnsiTheme="minorEastAsia" w:eastAsiaTheme="minorEastAsia" w:cstheme="minorEastAsia"/>
                <w:spacing w:val="-1"/>
                <w:szCs w:val="24"/>
                <w:lang w:val="en-US" w:eastAsia="zh-CN"/>
                <w14:textOutline w14:w="1536" w14:cap="flat" w14:cmpd="sng" w14:algn="ctr">
                  <w14:solidFill>
                    <w14:srgbClr w14:val="000000"/>
                  </w14:solidFill>
                  <w14:prstDash w14:val="solid"/>
                  <w14:miter w14:val="0"/>
                </w14:textOutline>
              </w:rPr>
            </w:pPr>
            <w:r>
              <w:rPr>
                <w:rFonts w:hint="eastAsia" w:asciiTheme="minorEastAsia" w:hAnsiTheme="minorEastAsia" w:cstheme="minorEastAsia"/>
                <w:spacing w:val="-1"/>
                <w:szCs w:val="24"/>
                <w:lang w:val="en-US" w:eastAsia="zh-CN"/>
                <w14:textOutline w14:w="1536" w14:cap="flat" w14:cmpd="sng" w14:algn="ctr">
                  <w14:solidFill>
                    <w14:srgbClr w14:val="000000"/>
                  </w14:solidFill>
                  <w14:prstDash w14:val="solid"/>
                  <w14:miter w14:val="0"/>
                </w14:textOutline>
              </w:rPr>
              <w:t>详见竞争性磋商公告</w:t>
            </w:r>
          </w:p>
        </w:tc>
      </w:tr>
      <w:tr w14:paraId="01A14B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5" w:hRule="atLeast"/>
          <w:jc w:val="center"/>
        </w:trPr>
        <w:tc>
          <w:tcPr>
            <w:tcW w:w="1844" w:type="dxa"/>
            <w:tcBorders>
              <w:top w:val="single" w:color="auto" w:sz="6" w:space="0"/>
              <w:left w:val="single" w:color="auto" w:sz="12" w:space="0"/>
              <w:bottom w:val="single" w:color="auto" w:sz="6" w:space="0"/>
              <w:right w:val="single" w:color="auto" w:sz="6" w:space="0"/>
            </w:tcBorders>
            <w:vAlign w:val="center"/>
          </w:tcPr>
          <w:p w14:paraId="0F61E1DC">
            <w:pPr>
              <w:keepNext w:val="0"/>
              <w:keepLines w:val="0"/>
              <w:pageBreakBefore w:val="0"/>
              <w:kinsoku/>
              <w:wordWrap w:val="0"/>
              <w:overflowPunct/>
              <w:topLinePunct w:val="0"/>
              <w:bidi w:val="0"/>
              <w:spacing w:line="240" w:lineRule="atLeast"/>
              <w:ind w:firstLine="240" w:firstLineChars="100"/>
              <w:jc w:val="both"/>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val="en-US" w:eastAsia="zh-CN"/>
              </w:rPr>
              <w:t>磋商保证金</w:t>
            </w:r>
          </w:p>
        </w:tc>
        <w:tc>
          <w:tcPr>
            <w:tcW w:w="8339" w:type="dxa"/>
            <w:tcBorders>
              <w:top w:val="single" w:color="auto" w:sz="6" w:space="0"/>
              <w:left w:val="single" w:color="auto" w:sz="6" w:space="0"/>
              <w:bottom w:val="single" w:color="auto" w:sz="6" w:space="0"/>
              <w:right w:val="single" w:color="auto" w:sz="12" w:space="0"/>
            </w:tcBorders>
            <w:vAlign w:val="center"/>
          </w:tcPr>
          <w:p w14:paraId="080F248A">
            <w:pPr>
              <w:keepNext w:val="0"/>
              <w:keepLines w:val="0"/>
              <w:pageBreakBefore w:val="0"/>
              <w:kinsoku/>
              <w:wordWrap w:val="0"/>
              <w:overflowPunct/>
              <w:topLinePunct w:val="0"/>
              <w:bidi w:val="0"/>
              <w:spacing w:line="240" w:lineRule="atLeast"/>
              <w:jc w:val="both"/>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val="en-US" w:eastAsia="zh-CN"/>
              </w:rPr>
              <w:t>本项目不收投标保证金。</w:t>
            </w:r>
          </w:p>
        </w:tc>
      </w:tr>
      <w:tr w14:paraId="688397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5" w:hRule="atLeast"/>
          <w:jc w:val="center"/>
        </w:trPr>
        <w:tc>
          <w:tcPr>
            <w:tcW w:w="1844" w:type="dxa"/>
            <w:tcBorders>
              <w:top w:val="single" w:color="auto" w:sz="6" w:space="0"/>
              <w:left w:val="single" w:color="auto" w:sz="12" w:space="0"/>
              <w:bottom w:val="single" w:color="auto" w:sz="6" w:space="0"/>
              <w:right w:val="single" w:color="auto" w:sz="6" w:space="0"/>
            </w:tcBorders>
            <w:vAlign w:val="center"/>
          </w:tcPr>
          <w:p w14:paraId="13413A60">
            <w:pPr>
              <w:keepNext w:val="0"/>
              <w:keepLines w:val="0"/>
              <w:pageBreakBefore w:val="0"/>
              <w:kinsoku/>
              <w:wordWrap w:val="0"/>
              <w:overflowPunct/>
              <w:topLinePunct w:val="0"/>
              <w:bidi w:val="0"/>
              <w:spacing w:line="240" w:lineRule="atLeast"/>
              <w:ind w:firstLine="240" w:firstLineChars="100"/>
              <w:jc w:val="both"/>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val="en-US" w:eastAsia="zh-CN"/>
              </w:rPr>
              <w:t>履约保证金</w:t>
            </w:r>
          </w:p>
        </w:tc>
        <w:tc>
          <w:tcPr>
            <w:tcW w:w="8339" w:type="dxa"/>
            <w:tcBorders>
              <w:top w:val="single" w:color="auto" w:sz="6" w:space="0"/>
              <w:left w:val="single" w:color="auto" w:sz="6" w:space="0"/>
              <w:bottom w:val="single" w:color="auto" w:sz="6" w:space="0"/>
              <w:right w:val="single" w:color="auto" w:sz="12" w:space="0"/>
            </w:tcBorders>
            <w:vAlign w:val="center"/>
          </w:tcPr>
          <w:p w14:paraId="7F9241AC">
            <w:pPr>
              <w:keepNext w:val="0"/>
              <w:keepLines w:val="0"/>
              <w:pageBreakBefore w:val="0"/>
              <w:kinsoku/>
              <w:wordWrap w:val="0"/>
              <w:overflowPunct/>
              <w:topLinePunct w:val="0"/>
              <w:bidi w:val="0"/>
              <w:spacing w:line="240" w:lineRule="atLeast"/>
              <w:jc w:val="both"/>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val="en-US" w:eastAsia="zh-CN"/>
              </w:rPr>
              <w:t>本项目免收履约保证金。</w:t>
            </w:r>
          </w:p>
        </w:tc>
      </w:tr>
      <w:tr w14:paraId="225DBE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5" w:hRule="atLeast"/>
          <w:jc w:val="center"/>
        </w:trPr>
        <w:tc>
          <w:tcPr>
            <w:tcW w:w="1844" w:type="dxa"/>
            <w:tcBorders>
              <w:top w:val="single" w:color="auto" w:sz="6" w:space="0"/>
              <w:left w:val="single" w:color="auto" w:sz="12" w:space="0"/>
              <w:bottom w:val="single" w:color="auto" w:sz="6" w:space="0"/>
              <w:right w:val="single" w:color="auto" w:sz="6" w:space="0"/>
            </w:tcBorders>
            <w:vAlign w:val="center"/>
          </w:tcPr>
          <w:p w14:paraId="0490F3E1">
            <w:pPr>
              <w:spacing w:line="240" w:lineRule="atLeast"/>
              <w:jc w:val="center"/>
              <w:rPr>
                <w:rFonts w:asciiTheme="minorEastAsia" w:hAnsiTheme="minorEastAsia" w:cstheme="minorEastAsia"/>
                <w:szCs w:val="24"/>
              </w:rPr>
            </w:pPr>
            <w:r>
              <w:rPr>
                <w:rFonts w:hint="eastAsia" w:asciiTheme="minorEastAsia" w:hAnsiTheme="minorEastAsia" w:cstheme="minorEastAsia"/>
                <w:szCs w:val="24"/>
              </w:rPr>
              <w:t>响应文件数量</w:t>
            </w:r>
          </w:p>
        </w:tc>
        <w:tc>
          <w:tcPr>
            <w:tcW w:w="8339" w:type="dxa"/>
            <w:tcBorders>
              <w:top w:val="single" w:color="auto" w:sz="6" w:space="0"/>
              <w:left w:val="single" w:color="auto" w:sz="6" w:space="0"/>
              <w:bottom w:val="single" w:color="auto" w:sz="6" w:space="0"/>
              <w:right w:val="single" w:color="auto" w:sz="12" w:space="0"/>
            </w:tcBorders>
            <w:vAlign w:val="center"/>
          </w:tcPr>
          <w:p w14:paraId="0BAAF4A6">
            <w:pPr>
              <w:spacing w:line="240" w:lineRule="atLeast"/>
              <w:rPr>
                <w:rFonts w:asciiTheme="minorEastAsia" w:hAnsiTheme="minorEastAsia" w:cstheme="minorEastAsia"/>
                <w:szCs w:val="24"/>
              </w:rPr>
            </w:pPr>
            <w:r>
              <w:rPr>
                <w:rFonts w:hint="eastAsia" w:asciiTheme="minorEastAsia" w:hAnsiTheme="minorEastAsia" w:cstheme="minorEastAsia"/>
                <w:szCs w:val="24"/>
              </w:rPr>
              <w:t>电子响应文件：1份</w:t>
            </w:r>
          </w:p>
        </w:tc>
      </w:tr>
      <w:tr w14:paraId="5A0F47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5" w:hRule="atLeast"/>
          <w:jc w:val="center"/>
        </w:trPr>
        <w:tc>
          <w:tcPr>
            <w:tcW w:w="1844" w:type="dxa"/>
            <w:tcBorders>
              <w:top w:val="single" w:color="auto" w:sz="6" w:space="0"/>
              <w:left w:val="single" w:color="auto" w:sz="12" w:space="0"/>
              <w:bottom w:val="single" w:color="auto" w:sz="6" w:space="0"/>
              <w:right w:val="single" w:color="auto" w:sz="6" w:space="0"/>
            </w:tcBorders>
            <w:vAlign w:val="center"/>
          </w:tcPr>
          <w:p w14:paraId="372DCB68">
            <w:pPr>
              <w:spacing w:line="240" w:lineRule="atLeast"/>
              <w:jc w:val="center"/>
              <w:rPr>
                <w:rFonts w:asciiTheme="minorEastAsia" w:hAnsiTheme="minorEastAsia" w:cstheme="minorEastAsia"/>
                <w:szCs w:val="24"/>
              </w:rPr>
            </w:pPr>
            <w:r>
              <w:rPr>
                <w:rFonts w:hint="eastAsia" w:asciiTheme="minorEastAsia" w:hAnsiTheme="minorEastAsia" w:cstheme="minorEastAsia"/>
                <w:szCs w:val="24"/>
              </w:rPr>
              <w:t>电子投标文件递交</w:t>
            </w:r>
          </w:p>
        </w:tc>
        <w:tc>
          <w:tcPr>
            <w:tcW w:w="8339" w:type="dxa"/>
            <w:tcBorders>
              <w:top w:val="single" w:color="auto" w:sz="6" w:space="0"/>
              <w:left w:val="single" w:color="auto" w:sz="6" w:space="0"/>
              <w:bottom w:val="single" w:color="auto" w:sz="6" w:space="0"/>
              <w:right w:val="single" w:color="auto" w:sz="12" w:space="0"/>
            </w:tcBorders>
            <w:vAlign w:val="center"/>
          </w:tcPr>
          <w:p w14:paraId="529E42A1">
            <w:pPr>
              <w:spacing w:line="240" w:lineRule="atLeast"/>
              <w:jc w:val="left"/>
              <w:rPr>
                <w:rFonts w:asciiTheme="minorEastAsia" w:hAnsiTheme="minorEastAsia" w:cstheme="minorEastAsia"/>
                <w:szCs w:val="24"/>
              </w:rPr>
            </w:pPr>
            <w:r>
              <w:rPr>
                <w:rFonts w:asciiTheme="minorEastAsia" w:hAnsiTheme="minorEastAsia" w:cstheme="minorEastAsia"/>
                <w:szCs w:val="24"/>
              </w:rPr>
              <w:t>1、供应商应需要使用“新点响应文件制作软件”制作(加密电子响应文件格式后缀为.nytf)。供应商上传时必须得到系统“上传 成功”的确认回复，并认真检查电子响应文件是否完整、正确。递交网址:</w:t>
            </w:r>
            <w:r>
              <w:rPr>
                <w:rFonts w:hint="eastAsia" w:asciiTheme="minorEastAsia" w:hAnsiTheme="minorEastAsia" w:cstheme="minorEastAsia"/>
                <w:szCs w:val="24"/>
                <w:lang w:val="en-US" w:eastAsia="zh-CN"/>
              </w:rPr>
              <w:t>http://ggzyjy.tanghe.gov.cn</w:t>
            </w:r>
          </w:p>
          <w:p w14:paraId="3B9D8FCA">
            <w:pPr>
              <w:spacing w:line="240" w:lineRule="atLeast"/>
              <w:jc w:val="left"/>
              <w:rPr>
                <w:rFonts w:asciiTheme="minorEastAsia" w:hAnsiTheme="minorEastAsia" w:cstheme="minorEastAsia"/>
                <w:szCs w:val="24"/>
              </w:rPr>
            </w:pPr>
            <w:r>
              <w:rPr>
                <w:rFonts w:asciiTheme="minorEastAsia" w:hAnsiTheme="minorEastAsia" w:cstheme="minorEastAsia"/>
                <w:szCs w:val="24"/>
              </w:rPr>
              <w:t>2、供应商的电子响应文件应在磋商文件规定的磋商截止时间前到达交易系统。逾期到达交易系统的电子响应文件视为放弃本次磋商。</w:t>
            </w:r>
          </w:p>
          <w:p w14:paraId="6E20983A">
            <w:pPr>
              <w:spacing w:line="240" w:lineRule="atLeast"/>
              <w:jc w:val="left"/>
              <w:rPr>
                <w:rFonts w:asciiTheme="minorEastAsia" w:hAnsiTheme="minorEastAsia" w:cstheme="minorEastAsia"/>
                <w:szCs w:val="24"/>
              </w:rPr>
            </w:pPr>
            <w:r>
              <w:rPr>
                <w:rFonts w:asciiTheme="minorEastAsia" w:hAnsiTheme="minorEastAsia" w:cstheme="minorEastAsia"/>
                <w:szCs w:val="24"/>
              </w:rPr>
              <w:t>3、供应商所递交的电子响应文件在磋商截止时间之后不予退回。</w:t>
            </w:r>
          </w:p>
        </w:tc>
      </w:tr>
      <w:tr w14:paraId="01C995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7" w:hRule="atLeast"/>
          <w:jc w:val="center"/>
        </w:trPr>
        <w:tc>
          <w:tcPr>
            <w:tcW w:w="1844" w:type="dxa"/>
            <w:tcBorders>
              <w:top w:val="single" w:color="auto" w:sz="6" w:space="0"/>
              <w:left w:val="single" w:color="auto" w:sz="12" w:space="0"/>
              <w:bottom w:val="single" w:color="auto" w:sz="6" w:space="0"/>
              <w:right w:val="single" w:color="auto" w:sz="6" w:space="0"/>
            </w:tcBorders>
            <w:vAlign w:val="center"/>
          </w:tcPr>
          <w:p w14:paraId="0C45C640">
            <w:pPr>
              <w:spacing w:line="240" w:lineRule="atLeast"/>
              <w:jc w:val="center"/>
              <w:rPr>
                <w:rFonts w:asciiTheme="minorEastAsia" w:hAnsiTheme="minorEastAsia" w:cstheme="minorEastAsia"/>
                <w:szCs w:val="24"/>
              </w:rPr>
            </w:pPr>
            <w:r>
              <w:rPr>
                <w:rFonts w:hint="eastAsia" w:asciiTheme="minorEastAsia" w:hAnsiTheme="minorEastAsia" w:cstheme="minorEastAsia"/>
                <w:szCs w:val="24"/>
              </w:rPr>
              <w:t>上传截止时间</w:t>
            </w:r>
          </w:p>
        </w:tc>
        <w:tc>
          <w:tcPr>
            <w:tcW w:w="8339" w:type="dxa"/>
            <w:tcBorders>
              <w:top w:val="single" w:color="auto" w:sz="6" w:space="0"/>
              <w:left w:val="single" w:color="auto" w:sz="6" w:space="0"/>
              <w:bottom w:val="single" w:color="auto" w:sz="6" w:space="0"/>
              <w:right w:val="single" w:color="auto" w:sz="12" w:space="0"/>
            </w:tcBorders>
            <w:vAlign w:val="center"/>
          </w:tcPr>
          <w:p w14:paraId="10F02A58">
            <w:pPr>
              <w:spacing w:line="240" w:lineRule="atLeast"/>
              <w:rPr>
                <w:rFonts w:asciiTheme="minorEastAsia" w:hAnsiTheme="minorEastAsia" w:cstheme="minorEastAsia"/>
                <w:color w:val="FF0000"/>
                <w:szCs w:val="24"/>
              </w:rPr>
            </w:pPr>
            <w:r>
              <w:rPr>
                <w:rFonts w:hint="eastAsia" w:asciiTheme="minorEastAsia" w:hAnsiTheme="minorEastAsia" w:cstheme="minorEastAsia"/>
                <w:szCs w:val="24"/>
                <w:lang w:val="en-US" w:eastAsia="zh-CN"/>
              </w:rPr>
              <w:t>2026年4月28日09时00分</w:t>
            </w:r>
            <w:r>
              <w:rPr>
                <w:rFonts w:hint="eastAsia" w:asciiTheme="minorEastAsia" w:hAnsiTheme="minorEastAsia" w:cstheme="minorEastAsia"/>
                <w:szCs w:val="24"/>
              </w:rPr>
              <w:t>（北京时间）。</w:t>
            </w:r>
          </w:p>
        </w:tc>
      </w:tr>
      <w:tr w14:paraId="4D4294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5" w:hRule="atLeast"/>
          <w:jc w:val="center"/>
        </w:trPr>
        <w:tc>
          <w:tcPr>
            <w:tcW w:w="1844" w:type="dxa"/>
            <w:tcBorders>
              <w:top w:val="single" w:color="auto" w:sz="6" w:space="0"/>
              <w:left w:val="single" w:color="auto" w:sz="12" w:space="0"/>
              <w:bottom w:val="single" w:color="auto" w:sz="6" w:space="0"/>
              <w:right w:val="single" w:color="auto" w:sz="6" w:space="0"/>
            </w:tcBorders>
            <w:vAlign w:val="center"/>
          </w:tcPr>
          <w:p w14:paraId="03AAF88E">
            <w:pPr>
              <w:spacing w:line="240" w:lineRule="atLeast"/>
              <w:jc w:val="center"/>
              <w:rPr>
                <w:rFonts w:asciiTheme="minorEastAsia" w:hAnsiTheme="minorEastAsia" w:cstheme="minorEastAsia"/>
                <w:szCs w:val="24"/>
              </w:rPr>
            </w:pPr>
            <w:r>
              <w:rPr>
                <w:rFonts w:hint="eastAsia" w:asciiTheme="minorEastAsia" w:hAnsiTheme="minorEastAsia" w:cstheme="minorEastAsia"/>
                <w:szCs w:val="24"/>
              </w:rPr>
              <w:t>响应文件开启时间</w:t>
            </w:r>
          </w:p>
        </w:tc>
        <w:tc>
          <w:tcPr>
            <w:tcW w:w="8339" w:type="dxa"/>
            <w:tcBorders>
              <w:top w:val="single" w:color="auto" w:sz="6" w:space="0"/>
              <w:left w:val="single" w:color="auto" w:sz="6" w:space="0"/>
              <w:bottom w:val="single" w:color="auto" w:sz="6" w:space="0"/>
              <w:right w:val="single" w:color="auto" w:sz="12" w:space="0"/>
            </w:tcBorders>
            <w:vAlign w:val="center"/>
          </w:tcPr>
          <w:p w14:paraId="57A750E8">
            <w:pPr>
              <w:spacing w:line="240" w:lineRule="atLeast"/>
              <w:rPr>
                <w:rFonts w:asciiTheme="minorEastAsia" w:hAnsiTheme="minorEastAsia" w:cstheme="minorEastAsia"/>
                <w:color w:val="FF0000"/>
                <w:szCs w:val="24"/>
                <w:u w:val="single"/>
              </w:rPr>
            </w:pPr>
            <w:r>
              <w:rPr>
                <w:rFonts w:hint="eastAsia" w:asciiTheme="minorEastAsia" w:hAnsiTheme="minorEastAsia" w:cstheme="minorEastAsia"/>
                <w:szCs w:val="24"/>
                <w:lang w:val="en-US" w:eastAsia="zh-CN"/>
              </w:rPr>
              <w:t>2026年4月28日09时00分（北京时间）。</w:t>
            </w:r>
          </w:p>
        </w:tc>
      </w:tr>
      <w:tr w14:paraId="650BEF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74" w:hRule="atLeast"/>
          <w:jc w:val="center"/>
        </w:trPr>
        <w:tc>
          <w:tcPr>
            <w:tcW w:w="1844" w:type="dxa"/>
            <w:tcBorders>
              <w:top w:val="single" w:color="auto" w:sz="6" w:space="0"/>
              <w:left w:val="single" w:color="auto" w:sz="12" w:space="0"/>
              <w:bottom w:val="single" w:color="auto" w:sz="6" w:space="0"/>
              <w:right w:val="single" w:color="auto" w:sz="6" w:space="0"/>
            </w:tcBorders>
            <w:vAlign w:val="center"/>
          </w:tcPr>
          <w:p w14:paraId="37940913">
            <w:pPr>
              <w:spacing w:line="240" w:lineRule="atLeast"/>
              <w:jc w:val="center"/>
              <w:rPr>
                <w:rFonts w:asciiTheme="minorEastAsia" w:hAnsiTheme="minorEastAsia" w:cstheme="minorEastAsia"/>
                <w:szCs w:val="24"/>
              </w:rPr>
            </w:pPr>
            <w:r>
              <w:rPr>
                <w:rFonts w:hint="eastAsia" w:asciiTheme="minorEastAsia" w:hAnsiTheme="minorEastAsia" w:cstheme="minorEastAsia"/>
                <w:szCs w:val="24"/>
              </w:rPr>
              <w:t>评标方法</w:t>
            </w:r>
          </w:p>
        </w:tc>
        <w:tc>
          <w:tcPr>
            <w:tcW w:w="8339" w:type="dxa"/>
            <w:tcBorders>
              <w:top w:val="single" w:color="auto" w:sz="6" w:space="0"/>
              <w:left w:val="single" w:color="auto" w:sz="6" w:space="0"/>
              <w:bottom w:val="single" w:color="auto" w:sz="6" w:space="0"/>
              <w:right w:val="single" w:color="auto" w:sz="12" w:space="0"/>
            </w:tcBorders>
            <w:vAlign w:val="center"/>
          </w:tcPr>
          <w:p w14:paraId="7F08E7E3">
            <w:pPr>
              <w:spacing w:line="240" w:lineRule="atLeast"/>
              <w:rPr>
                <w:rFonts w:asciiTheme="minorEastAsia" w:hAnsiTheme="minorEastAsia" w:cstheme="minorEastAsia"/>
                <w:i/>
                <w:szCs w:val="24"/>
              </w:rPr>
            </w:pPr>
            <w:r>
              <w:rPr>
                <w:rFonts w:hint="eastAsia" w:asciiTheme="minorEastAsia" w:hAnsiTheme="minorEastAsia" w:cstheme="minorEastAsia"/>
                <w:szCs w:val="24"/>
              </w:rPr>
              <w:t>综合评分法　 　　</w:t>
            </w:r>
          </w:p>
        </w:tc>
      </w:tr>
      <w:tr w14:paraId="5E55B9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2" w:hRule="atLeast"/>
          <w:jc w:val="center"/>
        </w:trPr>
        <w:tc>
          <w:tcPr>
            <w:tcW w:w="1844" w:type="dxa"/>
            <w:tcBorders>
              <w:top w:val="single" w:color="auto" w:sz="6" w:space="0"/>
              <w:left w:val="single" w:color="auto" w:sz="12" w:space="0"/>
              <w:bottom w:val="single" w:color="auto" w:sz="6" w:space="0"/>
              <w:right w:val="single" w:color="auto" w:sz="6" w:space="0"/>
            </w:tcBorders>
            <w:vAlign w:val="center"/>
          </w:tcPr>
          <w:p w14:paraId="4A501392">
            <w:pPr>
              <w:spacing w:line="240" w:lineRule="atLeast"/>
              <w:ind w:firstLine="240" w:firstLineChars="100"/>
              <w:jc w:val="both"/>
              <w:rPr>
                <w:rFonts w:asciiTheme="minorEastAsia" w:hAnsiTheme="minorEastAsia" w:cstheme="minorEastAsia"/>
                <w:szCs w:val="24"/>
              </w:rPr>
            </w:pPr>
            <w:r>
              <w:rPr>
                <w:rFonts w:hint="eastAsia" w:asciiTheme="minorEastAsia" w:hAnsiTheme="minorEastAsia" w:cstheme="minorEastAsia"/>
                <w:szCs w:val="24"/>
              </w:rPr>
              <w:t>确定中标人</w:t>
            </w:r>
          </w:p>
        </w:tc>
        <w:tc>
          <w:tcPr>
            <w:tcW w:w="8339" w:type="dxa"/>
            <w:tcBorders>
              <w:top w:val="single" w:color="auto" w:sz="6" w:space="0"/>
              <w:left w:val="single" w:color="auto" w:sz="6" w:space="0"/>
              <w:bottom w:val="single" w:color="auto" w:sz="6" w:space="0"/>
              <w:right w:val="single" w:color="auto" w:sz="12" w:space="0"/>
            </w:tcBorders>
            <w:vAlign w:val="center"/>
          </w:tcPr>
          <w:p w14:paraId="3F97B38B">
            <w:pPr>
              <w:spacing w:line="240" w:lineRule="atLeast"/>
              <w:rPr>
                <w:rFonts w:asciiTheme="minorEastAsia" w:hAnsiTheme="minorEastAsia" w:cstheme="minorEastAsia"/>
                <w:szCs w:val="24"/>
              </w:rPr>
            </w:pPr>
            <w:r>
              <w:rPr>
                <w:rFonts w:hint="eastAsia" w:asciiTheme="minorEastAsia" w:hAnsiTheme="minorEastAsia" w:cstheme="minorEastAsia"/>
                <w:szCs w:val="24"/>
              </w:rPr>
              <w:t>采购人是否委托磋商小组直接确定成交人：</w:t>
            </w:r>
            <w:r>
              <w:rPr>
                <w:rFonts w:hint="eastAsia" w:asciiTheme="minorEastAsia" w:hAnsiTheme="minorEastAsia" w:cstheme="minorEastAsia"/>
                <w:spacing w:val="14"/>
                <w:szCs w:val="24"/>
              </w:rPr>
              <w:t>□</w:t>
            </w:r>
            <w:r>
              <w:rPr>
                <w:rFonts w:hint="eastAsia" w:asciiTheme="minorEastAsia" w:hAnsiTheme="minorEastAsia" w:cstheme="minorEastAsia"/>
                <w:szCs w:val="24"/>
              </w:rPr>
              <w:t>是</w:t>
            </w:r>
            <w:r>
              <w:rPr>
                <w:rFonts w:ascii="Segoe UI Symbol" w:hAnsi="Segoe UI Symbol" w:cs="Segoe UI Symbol"/>
                <w:spacing w:val="14"/>
                <w:szCs w:val="24"/>
              </w:rPr>
              <w:t>☑</w:t>
            </w:r>
            <w:r>
              <w:rPr>
                <w:rFonts w:hint="eastAsia" w:asciiTheme="minorEastAsia" w:hAnsiTheme="minorEastAsia" w:cstheme="minorEastAsia"/>
                <w:spacing w:val="14"/>
                <w:szCs w:val="24"/>
              </w:rPr>
              <w:t>否</w:t>
            </w:r>
          </w:p>
        </w:tc>
      </w:tr>
      <w:tr w14:paraId="02EDB7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2" w:hRule="atLeast"/>
          <w:jc w:val="center"/>
        </w:trPr>
        <w:tc>
          <w:tcPr>
            <w:tcW w:w="1844" w:type="dxa"/>
            <w:tcBorders>
              <w:top w:val="single" w:color="auto" w:sz="6" w:space="0"/>
              <w:left w:val="single" w:color="auto" w:sz="12" w:space="0"/>
              <w:bottom w:val="single" w:color="auto" w:sz="6" w:space="0"/>
              <w:right w:val="single" w:color="auto" w:sz="6" w:space="0"/>
            </w:tcBorders>
            <w:vAlign w:val="center"/>
          </w:tcPr>
          <w:p w14:paraId="719ECB5B">
            <w:pPr>
              <w:keepNext w:val="0"/>
              <w:keepLines w:val="0"/>
              <w:pageBreakBefore w:val="0"/>
              <w:kinsoku/>
              <w:wordWrap w:val="0"/>
              <w:overflowPunct/>
              <w:topLinePunct w:val="0"/>
              <w:bidi w:val="0"/>
              <w:spacing w:line="240" w:lineRule="atLeast"/>
              <w:ind w:firstLine="480" w:firstLineChars="200"/>
              <w:jc w:val="both"/>
              <w:rPr>
                <w:rFonts w:hint="eastAsia" w:asciiTheme="minorEastAsia" w:hAnsiTheme="minorEastAsia" w:eastAsiaTheme="minorEastAsia" w:cstheme="minorEastAsia"/>
                <w:snapToGrid w:val="0"/>
                <w:color w:val="000000"/>
                <w:kern w:val="0"/>
                <w:sz w:val="24"/>
                <w:szCs w:val="24"/>
                <w:lang w:val="en-US" w:eastAsia="zh-CN" w:bidi="ar-SA"/>
              </w:rPr>
            </w:pPr>
            <w:r>
              <w:rPr>
                <w:rFonts w:hint="eastAsia" w:asciiTheme="minorEastAsia" w:hAnsiTheme="minorEastAsia" w:eastAsiaTheme="minorEastAsia" w:cstheme="minorEastAsia"/>
                <w:sz w:val="24"/>
                <w:szCs w:val="24"/>
                <w:lang w:val="en-US" w:eastAsia="zh-CN"/>
              </w:rPr>
              <w:t>代理费</w:t>
            </w:r>
          </w:p>
        </w:tc>
        <w:tc>
          <w:tcPr>
            <w:tcW w:w="8339" w:type="dxa"/>
            <w:tcBorders>
              <w:top w:val="single" w:color="auto" w:sz="6" w:space="0"/>
              <w:left w:val="single" w:color="auto" w:sz="6" w:space="0"/>
              <w:bottom w:val="single" w:color="auto" w:sz="6" w:space="0"/>
              <w:right w:val="single" w:color="auto" w:sz="12" w:space="0"/>
            </w:tcBorders>
            <w:vAlign w:val="center"/>
          </w:tcPr>
          <w:p w14:paraId="3543AE35">
            <w:pPr>
              <w:pStyle w:val="51"/>
              <w:keepNext w:val="0"/>
              <w:keepLines w:val="0"/>
              <w:pageBreakBefore w:val="0"/>
              <w:kinsoku/>
              <w:wordWrap w:val="0"/>
              <w:overflowPunct/>
              <w:topLinePunct w:val="0"/>
              <w:bidi w:val="0"/>
              <w:spacing w:before="1" w:line="220" w:lineRule="auto"/>
              <w:ind w:left="126"/>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pacing w:val="29"/>
                <w:sz w:val="24"/>
                <w:szCs w:val="24"/>
              </w:rPr>
              <w:t>□</w:t>
            </w:r>
            <w:r>
              <w:rPr>
                <w:rFonts w:hint="eastAsia" w:asciiTheme="minorEastAsia" w:hAnsiTheme="minorEastAsia" w:eastAsiaTheme="minorEastAsia" w:cstheme="minorEastAsia"/>
                <w:sz w:val="24"/>
                <w:szCs w:val="24"/>
                <w:lang w:val="en-US" w:eastAsia="zh-CN"/>
              </w:rPr>
              <w:t>集中采购机构不收费</w:t>
            </w:r>
          </w:p>
          <w:p w14:paraId="4836AAA4">
            <w:pPr>
              <w:pStyle w:val="51"/>
              <w:keepNext w:val="0"/>
              <w:keepLines w:val="0"/>
              <w:pageBreakBefore w:val="0"/>
              <w:kinsoku/>
              <w:wordWrap w:val="0"/>
              <w:overflowPunct/>
              <w:topLinePunct w:val="0"/>
              <w:bidi w:val="0"/>
              <w:spacing w:before="1" w:line="220" w:lineRule="auto"/>
              <w:ind w:left="126"/>
              <w:jc w:val="both"/>
              <w:rPr>
                <w:rFonts w:hint="eastAsia" w:asciiTheme="minorEastAsia" w:hAnsiTheme="minorEastAsia" w:eastAsiaTheme="minorEastAsia" w:cstheme="minorEastAsia"/>
                <w:spacing w:val="-13"/>
                <w:sz w:val="24"/>
                <w:szCs w:val="24"/>
                <w:lang w:val="en-US" w:eastAsia="zh-CN"/>
              </w:rPr>
            </w:pPr>
            <w:r>
              <w:rPr>
                <w:rFonts w:hint="eastAsia" w:asciiTheme="minorEastAsia" w:hAnsiTheme="minorEastAsia" w:eastAsiaTheme="minorEastAsia" w:cstheme="minorEastAsia"/>
                <w:sz w:val="24"/>
                <w:szCs w:val="24"/>
                <w:lang w:val="en-US" w:eastAsia="zh-CN"/>
              </w:rPr>
              <w:t>收费对象：</w:t>
            </w:r>
            <w:r>
              <w:rPr>
                <w:rFonts w:hint="eastAsia" w:asciiTheme="minorEastAsia" w:hAnsiTheme="minorEastAsia" w:eastAsiaTheme="minorEastAsia" w:cstheme="minorEastAsia"/>
                <w:spacing w:val="29"/>
                <w:sz w:val="24"/>
                <w:szCs w:val="24"/>
              </w:rPr>
              <w:t>□</w:t>
            </w:r>
            <w:r>
              <w:rPr>
                <w:rFonts w:hint="eastAsia" w:asciiTheme="minorEastAsia" w:hAnsiTheme="minorEastAsia" w:eastAsiaTheme="minorEastAsia" w:cstheme="minorEastAsia"/>
                <w:spacing w:val="29"/>
                <w:sz w:val="24"/>
                <w:szCs w:val="24"/>
                <w:lang w:val="en-US" w:eastAsia="zh-CN"/>
              </w:rPr>
              <w:t>采购人</w:t>
            </w:r>
            <w:r>
              <w:rPr>
                <w:rFonts w:hint="eastAsia" w:asciiTheme="minorEastAsia" w:hAnsiTheme="minorEastAsia" w:eastAsiaTheme="minorEastAsia" w:cstheme="minorEastAsia"/>
                <w:spacing w:val="-13"/>
                <w:sz w:val="24"/>
                <w:szCs w:val="24"/>
                <w:lang w:eastAsia="zh-CN"/>
              </w:rPr>
              <w:t>☑</w:t>
            </w:r>
            <w:r>
              <w:rPr>
                <w:rFonts w:hint="eastAsia" w:asciiTheme="minorEastAsia" w:hAnsiTheme="minorEastAsia" w:eastAsiaTheme="minorEastAsia" w:cstheme="minorEastAsia"/>
                <w:spacing w:val="-13"/>
                <w:sz w:val="24"/>
                <w:szCs w:val="24"/>
                <w:lang w:val="en-US" w:eastAsia="zh-CN"/>
              </w:rPr>
              <w:t>中标人</w:t>
            </w:r>
          </w:p>
          <w:p w14:paraId="296CCE25">
            <w:pPr>
              <w:pStyle w:val="51"/>
              <w:keepNext w:val="0"/>
              <w:keepLines w:val="0"/>
              <w:pageBreakBefore w:val="0"/>
              <w:kinsoku/>
              <w:wordWrap w:val="0"/>
              <w:overflowPunct/>
              <w:topLinePunct w:val="0"/>
              <w:bidi w:val="0"/>
              <w:spacing w:before="1" w:line="220" w:lineRule="auto"/>
              <w:ind w:left="126" w:leftChars="0"/>
              <w:jc w:val="both"/>
              <w:rPr>
                <w:rFonts w:hint="eastAsia" w:eastAsia="宋体"/>
                <w:spacing w:val="-3"/>
                <w:sz w:val="24"/>
                <w:szCs w:val="24"/>
                <w:lang w:val="en-US" w:eastAsia="zh-CN"/>
              </w:rPr>
            </w:pPr>
            <w:r>
              <w:rPr>
                <w:rFonts w:hint="eastAsia" w:asciiTheme="minorEastAsia" w:hAnsiTheme="minorEastAsia" w:eastAsiaTheme="minorEastAsia" w:cstheme="minorEastAsia"/>
                <w:spacing w:val="-13"/>
                <w:sz w:val="24"/>
                <w:szCs w:val="24"/>
                <w:lang w:val="en-US" w:eastAsia="zh-CN"/>
              </w:rPr>
              <w:t>收费标准：</w:t>
            </w:r>
            <w:r>
              <w:rPr>
                <w:spacing w:val="-3"/>
                <w:sz w:val="24"/>
                <w:szCs w:val="24"/>
              </w:rPr>
              <w:t>代理机构与采购人商定,参照豫招协【2023】002号文规定的招标代理服务收费计算标准，中标、成交供应商在领取中标通知书时一次性向代理机构缴纳</w:t>
            </w:r>
            <w:r>
              <w:rPr>
                <w:rFonts w:hint="eastAsia" w:eastAsia="宋体"/>
                <w:spacing w:val="-3"/>
                <w:sz w:val="24"/>
                <w:szCs w:val="24"/>
                <w:lang w:eastAsia="zh-CN"/>
              </w:rPr>
              <w:t>。</w:t>
            </w:r>
          </w:p>
        </w:tc>
      </w:tr>
      <w:tr w14:paraId="523E90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2" w:hRule="atLeast"/>
          <w:jc w:val="center"/>
        </w:trPr>
        <w:tc>
          <w:tcPr>
            <w:tcW w:w="1844" w:type="dxa"/>
            <w:tcBorders>
              <w:top w:val="single" w:color="auto" w:sz="6" w:space="0"/>
              <w:left w:val="single" w:color="auto" w:sz="12" w:space="0"/>
              <w:bottom w:val="single" w:color="auto" w:sz="6" w:space="0"/>
              <w:right w:val="single" w:color="auto" w:sz="6" w:space="0"/>
            </w:tcBorders>
            <w:vAlign w:val="center"/>
          </w:tcPr>
          <w:p w14:paraId="000C9F9D">
            <w:pPr>
              <w:pStyle w:val="70"/>
              <w:keepNext w:val="0"/>
              <w:keepLines w:val="0"/>
              <w:pageBreakBefore w:val="0"/>
              <w:widowControl w:val="0"/>
              <w:kinsoku/>
              <w:wordWrap/>
              <w:overflowPunct/>
              <w:topLinePunct w:val="0"/>
              <w:autoSpaceDE w:val="0"/>
              <w:autoSpaceDN w:val="0"/>
              <w:bidi w:val="0"/>
              <w:adjustRightInd/>
              <w:snapToGrid/>
              <w:spacing w:before="0" w:line="360" w:lineRule="exact"/>
              <w:ind w:left="0" w:leftChars="0" w:right="0" w:rightChars="0" w:firstLine="0" w:firstLineChars="0"/>
              <w:jc w:val="center"/>
              <w:textAlignment w:val="auto"/>
              <w:rPr>
                <w:rFonts w:hint="eastAsia" w:asciiTheme="minorEastAsia" w:hAnsiTheme="minorEastAsia" w:eastAsiaTheme="minorEastAsia" w:cstheme="minorEastAsia"/>
                <w:kern w:val="2"/>
                <w:sz w:val="24"/>
                <w:szCs w:val="24"/>
                <w:lang w:val="en-US" w:eastAsia="zh-CN" w:bidi="ar-SA"/>
              </w:rPr>
            </w:pPr>
            <w:r>
              <w:rPr>
                <w:color w:val="000000" w:themeColor="text1"/>
                <w:spacing w:val="0"/>
                <w:sz w:val="24"/>
                <w:szCs w:val="24"/>
                <w14:textFill>
                  <w14:solidFill>
                    <w14:schemeClr w14:val="tx1"/>
                  </w14:solidFill>
                </w14:textFill>
              </w:rPr>
              <w:t>解释权</w:t>
            </w:r>
          </w:p>
        </w:tc>
        <w:tc>
          <w:tcPr>
            <w:tcW w:w="8339" w:type="dxa"/>
            <w:tcBorders>
              <w:top w:val="single" w:color="auto" w:sz="6" w:space="0"/>
              <w:left w:val="single" w:color="auto" w:sz="6" w:space="0"/>
              <w:bottom w:val="single" w:color="auto" w:sz="6" w:space="0"/>
              <w:right w:val="single" w:color="auto" w:sz="12" w:space="0"/>
            </w:tcBorders>
            <w:vAlign w:val="top"/>
          </w:tcPr>
          <w:p w14:paraId="22519D7F">
            <w:pPr>
              <w:pStyle w:val="70"/>
              <w:keepNext w:val="0"/>
              <w:keepLines w:val="0"/>
              <w:pageBreakBefore w:val="0"/>
              <w:widowControl w:val="0"/>
              <w:kinsoku/>
              <w:wordWrap/>
              <w:overflowPunct/>
              <w:topLinePunct w:val="0"/>
              <w:autoSpaceDE w:val="0"/>
              <w:autoSpaceDN w:val="0"/>
              <w:bidi w:val="0"/>
              <w:adjustRightInd/>
              <w:snapToGrid/>
              <w:spacing w:before="0" w:line="360" w:lineRule="exact"/>
              <w:ind w:left="0" w:leftChars="0" w:right="0" w:rightChars="0" w:firstLine="0" w:firstLineChars="0"/>
              <w:jc w:val="left"/>
              <w:textAlignment w:val="auto"/>
              <w:rPr>
                <w:rFonts w:hint="eastAsia" w:asciiTheme="minorEastAsia" w:hAnsiTheme="minorEastAsia" w:eastAsiaTheme="minorEastAsia" w:cstheme="minorEastAsia"/>
                <w:spacing w:val="-13"/>
                <w:kern w:val="2"/>
                <w:sz w:val="24"/>
                <w:szCs w:val="24"/>
                <w:lang w:val="en-US" w:eastAsia="zh-CN" w:bidi="ar-SA"/>
              </w:rPr>
            </w:pPr>
            <w:r>
              <w:rPr>
                <w:color w:val="000000" w:themeColor="text1"/>
                <w:spacing w:val="0"/>
                <w:sz w:val="24"/>
                <w:szCs w:val="24"/>
                <w14:textFill>
                  <w14:solidFill>
                    <w14:schemeClr w14:val="tx1"/>
                  </w14:solidFill>
                </w14:textFill>
              </w:rPr>
              <w:t>构成本磋商文件的各个组成文件应互为解释，互为说明；如有不明确或不一致，构成合同文件组成内容的，以合同文件约定内容为准，且以专用合同条款约定的合同文件优先顺序解释；除磋商文件中有特别规定外，仅适用于招标投标阶段的规定，按磋商公告、供应商须知、评审办法、磋商文件格式的先后顺序解释；同组成文件中就同一事项的规定或约定不一致的，以编排顺序在后者为准；同一组成文件不同版本之间有不一致的，以形成时间在后者为准。按本款前述规定仍不能形成结论的，由招标人负责解释。</w:t>
            </w:r>
          </w:p>
        </w:tc>
      </w:tr>
      <w:tr w14:paraId="63C779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2" w:hRule="atLeast"/>
          <w:jc w:val="center"/>
        </w:trPr>
        <w:tc>
          <w:tcPr>
            <w:tcW w:w="1844" w:type="dxa"/>
            <w:tcBorders>
              <w:top w:val="single" w:color="auto" w:sz="6" w:space="0"/>
              <w:left w:val="single" w:color="auto" w:sz="12" w:space="0"/>
              <w:bottom w:val="single" w:color="auto" w:sz="6" w:space="0"/>
              <w:right w:val="single" w:color="auto" w:sz="6" w:space="0"/>
            </w:tcBorders>
            <w:vAlign w:val="center"/>
          </w:tcPr>
          <w:p w14:paraId="0C2542DF">
            <w:pPr>
              <w:pStyle w:val="70"/>
              <w:keepNext w:val="0"/>
              <w:keepLines w:val="0"/>
              <w:pageBreakBefore w:val="0"/>
              <w:widowControl w:val="0"/>
              <w:kinsoku/>
              <w:wordWrap/>
              <w:overflowPunct/>
              <w:topLinePunct w:val="0"/>
              <w:autoSpaceDE w:val="0"/>
              <w:autoSpaceDN w:val="0"/>
              <w:bidi w:val="0"/>
              <w:adjustRightInd/>
              <w:snapToGrid/>
              <w:spacing w:before="0" w:line="360" w:lineRule="exact"/>
              <w:ind w:left="0" w:leftChars="0" w:right="0" w:rightChars="0" w:firstLine="0" w:firstLineChars="0"/>
              <w:jc w:val="center"/>
              <w:textAlignment w:val="auto"/>
              <w:rPr>
                <w:rFonts w:hint="eastAsia" w:ascii="宋体" w:hAnsi="宋体" w:eastAsia="宋体" w:cs="宋体"/>
                <w:snapToGrid w:val="0"/>
                <w:color w:val="000000" w:themeColor="text1"/>
                <w:spacing w:val="0"/>
                <w:kern w:val="0"/>
                <w:sz w:val="24"/>
                <w:szCs w:val="24"/>
                <w:lang w:val="en-US" w:eastAsia="zh-CN" w:bidi="ar-SA"/>
                <w14:textFill>
                  <w14:solidFill>
                    <w14:schemeClr w14:val="tx1"/>
                  </w14:solidFill>
                </w14:textFill>
              </w:rPr>
            </w:pPr>
            <w:r>
              <w:rPr>
                <w:color w:val="000000" w:themeColor="text1"/>
                <w:spacing w:val="0"/>
                <w:sz w:val="24"/>
                <w:szCs w:val="24"/>
                <w14:textFill>
                  <w14:solidFill>
                    <w14:schemeClr w14:val="tx1"/>
                  </w14:solidFill>
                </w14:textFill>
              </w:rPr>
              <w:t>供应商提出问题的截止时间</w:t>
            </w:r>
          </w:p>
        </w:tc>
        <w:tc>
          <w:tcPr>
            <w:tcW w:w="8339" w:type="dxa"/>
            <w:tcBorders>
              <w:top w:val="single" w:color="auto" w:sz="6" w:space="0"/>
              <w:left w:val="single" w:color="auto" w:sz="6" w:space="0"/>
              <w:bottom w:val="single" w:color="auto" w:sz="6" w:space="0"/>
              <w:right w:val="single" w:color="auto" w:sz="12" w:space="0"/>
            </w:tcBorders>
            <w:vAlign w:val="center"/>
          </w:tcPr>
          <w:p w14:paraId="4A189C7A">
            <w:pPr>
              <w:pStyle w:val="70"/>
              <w:keepNext w:val="0"/>
              <w:keepLines w:val="0"/>
              <w:pageBreakBefore w:val="0"/>
              <w:widowControl w:val="0"/>
              <w:kinsoku/>
              <w:wordWrap/>
              <w:overflowPunct/>
              <w:topLinePunct w:val="0"/>
              <w:autoSpaceDE w:val="0"/>
              <w:autoSpaceDN w:val="0"/>
              <w:bidi w:val="0"/>
              <w:adjustRightInd/>
              <w:snapToGrid/>
              <w:spacing w:before="0" w:line="360" w:lineRule="exact"/>
              <w:ind w:left="0" w:leftChars="0" w:right="0" w:rightChars="0" w:firstLine="0" w:firstLineChars="0"/>
              <w:jc w:val="both"/>
              <w:textAlignment w:val="auto"/>
              <w:rPr>
                <w:rFonts w:hint="eastAsia" w:ascii="宋体" w:hAnsi="宋体" w:eastAsia="宋体" w:cs="宋体"/>
                <w:snapToGrid w:val="0"/>
                <w:color w:val="000000" w:themeColor="text1"/>
                <w:spacing w:val="0"/>
                <w:kern w:val="0"/>
                <w:sz w:val="24"/>
                <w:szCs w:val="24"/>
                <w:lang w:val="en-US" w:eastAsia="zh-CN" w:bidi="ar-SA"/>
                <w14:textFill>
                  <w14:solidFill>
                    <w14:schemeClr w14:val="tx1"/>
                  </w14:solidFill>
                </w14:textFill>
              </w:rPr>
            </w:pPr>
            <w:r>
              <w:rPr>
                <w:color w:val="000000" w:themeColor="text1"/>
                <w:spacing w:val="0"/>
                <w:sz w:val="24"/>
                <w:szCs w:val="24"/>
                <w14:textFill>
                  <w14:solidFill>
                    <w14:schemeClr w14:val="tx1"/>
                  </w14:solidFill>
                </w14:textFill>
              </w:rPr>
              <w:t>递交响应性文件的截止之日5日前</w:t>
            </w:r>
          </w:p>
        </w:tc>
      </w:tr>
      <w:tr w14:paraId="303B8E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2" w:hRule="atLeast"/>
          <w:jc w:val="center"/>
        </w:trPr>
        <w:tc>
          <w:tcPr>
            <w:tcW w:w="1844" w:type="dxa"/>
            <w:tcBorders>
              <w:top w:val="single" w:color="auto" w:sz="6" w:space="0"/>
              <w:left w:val="single" w:color="auto" w:sz="12" w:space="0"/>
              <w:bottom w:val="single" w:color="auto" w:sz="6" w:space="0"/>
              <w:right w:val="single" w:color="auto" w:sz="6" w:space="0"/>
            </w:tcBorders>
            <w:vAlign w:val="center"/>
          </w:tcPr>
          <w:p w14:paraId="679188E7">
            <w:pPr>
              <w:pStyle w:val="70"/>
              <w:keepNext w:val="0"/>
              <w:keepLines w:val="0"/>
              <w:pageBreakBefore w:val="0"/>
              <w:widowControl w:val="0"/>
              <w:kinsoku/>
              <w:wordWrap/>
              <w:overflowPunct/>
              <w:topLinePunct w:val="0"/>
              <w:autoSpaceDE w:val="0"/>
              <w:autoSpaceDN w:val="0"/>
              <w:bidi w:val="0"/>
              <w:adjustRightInd/>
              <w:snapToGrid/>
              <w:spacing w:before="0" w:line="360" w:lineRule="exact"/>
              <w:ind w:left="0" w:leftChars="0" w:right="0" w:rightChars="0" w:firstLine="0" w:firstLineChars="0"/>
              <w:jc w:val="center"/>
              <w:textAlignment w:val="auto"/>
              <w:rPr>
                <w:rFonts w:hint="eastAsia" w:ascii="宋体" w:hAnsi="宋体" w:eastAsia="宋体" w:cs="宋体"/>
                <w:snapToGrid w:val="0"/>
                <w:color w:val="000000" w:themeColor="text1"/>
                <w:spacing w:val="0"/>
                <w:kern w:val="0"/>
                <w:sz w:val="24"/>
                <w:szCs w:val="24"/>
                <w:lang w:val="en-US" w:eastAsia="zh-CN" w:bidi="ar-SA"/>
                <w14:textFill>
                  <w14:solidFill>
                    <w14:schemeClr w14:val="tx1"/>
                  </w14:solidFill>
                </w14:textFill>
              </w:rPr>
            </w:pPr>
            <w:r>
              <w:rPr>
                <w:color w:val="000000" w:themeColor="text1"/>
                <w:spacing w:val="0"/>
                <w:sz w:val="24"/>
                <w:szCs w:val="24"/>
                <w14:textFill>
                  <w14:solidFill>
                    <w14:schemeClr w14:val="tx1"/>
                  </w14:solidFill>
                </w14:textFill>
              </w:rPr>
              <w:t>其他说明</w:t>
            </w:r>
          </w:p>
        </w:tc>
        <w:tc>
          <w:tcPr>
            <w:tcW w:w="8339" w:type="dxa"/>
            <w:tcBorders>
              <w:top w:val="single" w:color="auto" w:sz="6" w:space="0"/>
              <w:left w:val="single" w:color="auto" w:sz="6" w:space="0"/>
              <w:bottom w:val="single" w:color="auto" w:sz="6" w:space="0"/>
              <w:right w:val="single" w:color="auto" w:sz="12" w:space="0"/>
            </w:tcBorders>
            <w:vAlign w:val="top"/>
          </w:tcPr>
          <w:p w14:paraId="0E35DBC1">
            <w:pPr>
              <w:pStyle w:val="70"/>
              <w:keepNext w:val="0"/>
              <w:keepLines w:val="0"/>
              <w:pageBreakBefore w:val="0"/>
              <w:widowControl w:val="0"/>
              <w:kinsoku/>
              <w:wordWrap/>
              <w:overflowPunct/>
              <w:topLinePunct w:val="0"/>
              <w:autoSpaceDE w:val="0"/>
              <w:autoSpaceDN w:val="0"/>
              <w:bidi w:val="0"/>
              <w:adjustRightInd/>
              <w:snapToGrid/>
              <w:spacing w:before="0" w:line="360" w:lineRule="exact"/>
              <w:ind w:left="0" w:leftChars="0" w:right="0" w:rightChars="0" w:firstLine="0" w:firstLineChars="0"/>
              <w:jc w:val="left"/>
              <w:textAlignment w:val="auto"/>
              <w:rPr>
                <w:rFonts w:hint="eastAsia" w:ascii="宋体" w:hAnsi="宋体" w:eastAsia="宋体" w:cs="宋体"/>
                <w:snapToGrid w:val="0"/>
                <w:color w:val="000000" w:themeColor="text1"/>
                <w:spacing w:val="0"/>
                <w:kern w:val="0"/>
                <w:sz w:val="24"/>
                <w:szCs w:val="24"/>
                <w:lang w:val="en-US" w:eastAsia="zh-CN" w:bidi="ar-SA"/>
                <w14:textFill>
                  <w14:solidFill>
                    <w14:schemeClr w14:val="tx1"/>
                  </w14:solidFill>
                </w14:textFill>
              </w:rPr>
            </w:pPr>
            <w:r>
              <w:rPr>
                <w:color w:val="000000" w:themeColor="text1"/>
                <w:spacing w:val="0"/>
                <w:sz w:val="24"/>
                <w:szCs w:val="24"/>
                <w14:textFill>
                  <w14:solidFill>
                    <w14:schemeClr w14:val="tx1"/>
                  </w14:solidFill>
                </w14:textFill>
              </w:rPr>
              <w:t>“招标人”与“采购人”，“投标人”与“供应商”按照同一意思理解。</w:t>
            </w:r>
          </w:p>
        </w:tc>
      </w:tr>
      <w:tr w14:paraId="7DE525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2" w:hRule="atLeast"/>
          <w:jc w:val="center"/>
        </w:trPr>
        <w:tc>
          <w:tcPr>
            <w:tcW w:w="1844" w:type="dxa"/>
            <w:tcBorders>
              <w:top w:val="single" w:color="auto" w:sz="6" w:space="0"/>
              <w:left w:val="single" w:color="auto" w:sz="12" w:space="0"/>
              <w:bottom w:val="single" w:color="auto" w:sz="12" w:space="0"/>
              <w:right w:val="single" w:color="auto" w:sz="6" w:space="0"/>
            </w:tcBorders>
            <w:shd w:val="clear" w:color="auto" w:fill="auto"/>
            <w:vAlign w:val="center"/>
          </w:tcPr>
          <w:p w14:paraId="0D90324F">
            <w:pPr>
              <w:spacing w:line="276" w:lineRule="auto"/>
              <w:jc w:val="center"/>
              <w:rPr>
                <w:rFonts w:hint="eastAsia" w:ascii="宋体" w:hAnsi="宋体" w:eastAsia="宋体" w:cs="宋体"/>
                <w:snapToGrid w:val="0"/>
                <w:color w:val="0000FF"/>
                <w:spacing w:val="0"/>
                <w:kern w:val="2"/>
                <w:sz w:val="24"/>
                <w:szCs w:val="24"/>
                <w:lang w:val="en-US" w:eastAsia="zh-CN" w:bidi="ar-SA"/>
              </w:rPr>
            </w:pPr>
            <w:r>
              <w:rPr>
                <w:rFonts w:hint="eastAsia" w:ascii="宋体" w:hAnsi="宋体" w:eastAsia="宋体" w:cs="宋体"/>
                <w:snapToGrid w:val="0"/>
                <w:color w:val="0000FF"/>
                <w:spacing w:val="0"/>
                <w:kern w:val="2"/>
                <w:sz w:val="24"/>
                <w:szCs w:val="24"/>
                <w:lang w:val="en-US" w:eastAsia="zh-CN" w:bidi="ar-SA"/>
              </w:rPr>
              <w:t>★特别注意</w:t>
            </w:r>
          </w:p>
          <w:p w14:paraId="0649FCDE">
            <w:pPr>
              <w:overflowPunct w:val="0"/>
              <w:topLinePunct/>
              <w:spacing w:line="380" w:lineRule="exact"/>
              <w:jc w:val="center"/>
              <w:textAlignment w:val="top"/>
              <w:rPr>
                <w:rFonts w:hint="eastAsia" w:ascii="仿宋" w:hAnsi="仿宋" w:eastAsia="仿宋" w:cs="仿宋"/>
                <w:snapToGrid w:val="0"/>
                <w:color w:val="0000FF"/>
                <w:kern w:val="0"/>
                <w:sz w:val="24"/>
                <w:szCs w:val="24"/>
                <w:lang w:val="en-US" w:eastAsia="zh-CN" w:bidi="ar-SA"/>
              </w:rPr>
            </w:pPr>
          </w:p>
        </w:tc>
        <w:tc>
          <w:tcPr>
            <w:tcW w:w="8339" w:type="dxa"/>
            <w:tcBorders>
              <w:top w:val="single" w:color="auto" w:sz="6" w:space="0"/>
              <w:left w:val="single" w:color="auto" w:sz="6" w:space="0"/>
              <w:bottom w:val="single" w:color="auto" w:sz="12" w:space="0"/>
              <w:right w:val="single" w:color="auto" w:sz="12" w:space="0"/>
            </w:tcBorders>
            <w:shd w:val="clear" w:color="auto" w:fill="auto"/>
            <w:vAlign w:val="center"/>
          </w:tcPr>
          <w:p w14:paraId="7DB84A42">
            <w:pPr>
              <w:pStyle w:val="28"/>
              <w:keepNext w:val="0"/>
              <w:keepLines w:val="0"/>
              <w:pageBreakBefore w:val="0"/>
              <w:wordWrap/>
              <w:overflowPunct/>
              <w:topLinePunct w:val="0"/>
              <w:bidi w:val="0"/>
              <w:spacing w:line="300" w:lineRule="exact"/>
              <w:ind w:right="120" w:rightChars="50" w:firstLine="0" w:firstLineChars="0"/>
              <w:jc w:val="both"/>
              <w:rPr>
                <w:rFonts w:hint="eastAsia" w:asciiTheme="minorHAnsi" w:hAnsiTheme="minorHAnsi" w:eastAsiaTheme="minorEastAsia" w:cstheme="minorBidi"/>
                <w:kern w:val="2"/>
                <w:sz w:val="24"/>
                <w:szCs w:val="22"/>
                <w:lang w:val="en-US" w:eastAsia="zh-CN" w:bidi="ar-SA"/>
              </w:rPr>
            </w:pPr>
            <w:r>
              <w:rPr>
                <w:rFonts w:hint="eastAsia" w:asciiTheme="minorHAnsi" w:hAnsiTheme="minorHAnsi" w:eastAsiaTheme="minorEastAsia" w:cstheme="minorBidi"/>
                <w:kern w:val="2"/>
                <w:sz w:val="24"/>
                <w:szCs w:val="22"/>
                <w:lang w:val="en-US" w:eastAsia="zh-CN" w:bidi="ar-SA"/>
              </w:rPr>
              <w:t>“四方信用评价”须知（采购人、代理机构、本项目评审专家、本项目成交供应商）：</w:t>
            </w:r>
          </w:p>
          <w:p w14:paraId="1E0B75E4">
            <w:pPr>
              <w:pStyle w:val="28"/>
              <w:keepNext w:val="0"/>
              <w:keepLines w:val="0"/>
              <w:pageBreakBefore w:val="0"/>
              <w:wordWrap/>
              <w:overflowPunct/>
              <w:topLinePunct w:val="0"/>
              <w:bidi w:val="0"/>
              <w:spacing w:line="300" w:lineRule="exact"/>
              <w:ind w:right="120" w:rightChars="50" w:firstLine="480" w:firstLineChars="200"/>
              <w:jc w:val="both"/>
              <w:rPr>
                <w:rFonts w:hint="eastAsia" w:asciiTheme="minorHAnsi" w:hAnsiTheme="minorHAnsi" w:eastAsiaTheme="minorEastAsia" w:cstheme="minorBidi"/>
                <w:kern w:val="2"/>
                <w:sz w:val="24"/>
                <w:szCs w:val="22"/>
                <w:lang w:val="en-US" w:eastAsia="zh-CN" w:bidi="ar-SA"/>
              </w:rPr>
            </w:pPr>
            <w:r>
              <w:rPr>
                <w:rFonts w:hint="eastAsia" w:asciiTheme="minorHAnsi" w:hAnsiTheme="minorHAnsi" w:eastAsiaTheme="minorEastAsia" w:cstheme="minorBidi"/>
                <w:kern w:val="2"/>
                <w:sz w:val="24"/>
                <w:szCs w:val="22"/>
                <w:lang w:val="en-US" w:eastAsia="zh-CN" w:bidi="ar-SA"/>
              </w:rPr>
              <w:t>关于印发《南阳市政府采购信用评价实施办法》的通知。政府采购信用评价在“南阳市政府采购信用管理系统”中在线实施。请本项目采购人、代理机构、本项目评审专家、本项目成交供应商，按照评价时间节点按时完成评价工作。如果超期未评价，系统会默认超期不让评价。</w:t>
            </w:r>
          </w:p>
          <w:p w14:paraId="0107D9DD">
            <w:pPr>
              <w:pStyle w:val="28"/>
              <w:keepNext w:val="0"/>
              <w:keepLines w:val="0"/>
              <w:pageBreakBefore w:val="0"/>
              <w:wordWrap/>
              <w:overflowPunct/>
              <w:topLinePunct w:val="0"/>
              <w:bidi w:val="0"/>
              <w:spacing w:line="300" w:lineRule="exact"/>
              <w:ind w:right="120" w:rightChars="50" w:firstLine="240" w:firstLineChars="100"/>
              <w:jc w:val="both"/>
              <w:rPr>
                <w:rFonts w:hint="eastAsia" w:asciiTheme="minorHAnsi" w:hAnsiTheme="minorHAnsi" w:eastAsiaTheme="minorEastAsia" w:cstheme="minorBidi"/>
                <w:kern w:val="2"/>
                <w:sz w:val="24"/>
                <w:szCs w:val="22"/>
                <w:lang w:val="en-US" w:eastAsia="zh-CN" w:bidi="ar-SA"/>
              </w:rPr>
            </w:pPr>
            <w:r>
              <w:rPr>
                <w:rFonts w:hint="eastAsia" w:asciiTheme="minorHAnsi" w:hAnsiTheme="minorHAnsi" w:eastAsiaTheme="minorEastAsia" w:cstheme="minorBidi"/>
                <w:kern w:val="2"/>
                <w:sz w:val="24"/>
                <w:szCs w:val="22"/>
                <w:lang w:val="en-US" w:eastAsia="zh-CN" w:bidi="ar-SA"/>
              </w:rPr>
              <w:t>1.采购人对供应商的评价应在项目履约验收之后进行；采购人对代理机构的评价应在对中标项目进行履约验收之后进行；采购人对评审专家的评价应在项目评审结束后进行。</w:t>
            </w:r>
          </w:p>
          <w:p w14:paraId="73CF72FA">
            <w:pPr>
              <w:pStyle w:val="28"/>
              <w:keepNext w:val="0"/>
              <w:keepLines w:val="0"/>
              <w:pageBreakBefore w:val="0"/>
              <w:wordWrap/>
              <w:overflowPunct/>
              <w:topLinePunct w:val="0"/>
              <w:bidi w:val="0"/>
              <w:spacing w:line="300" w:lineRule="exact"/>
              <w:ind w:right="120" w:rightChars="50" w:firstLine="240" w:firstLineChars="100"/>
              <w:jc w:val="both"/>
              <w:rPr>
                <w:rFonts w:hint="eastAsia" w:asciiTheme="minorHAnsi" w:hAnsiTheme="minorHAnsi" w:eastAsiaTheme="minorEastAsia" w:cstheme="minorBidi"/>
                <w:kern w:val="2"/>
                <w:sz w:val="24"/>
                <w:szCs w:val="22"/>
                <w:lang w:val="en-US" w:eastAsia="zh-CN" w:bidi="ar-SA"/>
              </w:rPr>
            </w:pPr>
            <w:r>
              <w:rPr>
                <w:rFonts w:hint="eastAsia" w:asciiTheme="minorHAnsi" w:hAnsiTheme="minorHAnsi" w:eastAsiaTheme="minorEastAsia" w:cstheme="minorBidi"/>
                <w:kern w:val="2"/>
                <w:sz w:val="24"/>
                <w:szCs w:val="22"/>
                <w:lang w:val="en-US" w:eastAsia="zh-CN" w:bidi="ar-SA"/>
              </w:rPr>
              <w:t>2.供应商对采购人的评价应在支付申请之后进行；供应商对代理机构的评价应在合同备案之后进行。</w:t>
            </w:r>
          </w:p>
          <w:p w14:paraId="6B4B4690">
            <w:pPr>
              <w:pStyle w:val="28"/>
              <w:keepNext w:val="0"/>
              <w:keepLines w:val="0"/>
              <w:pageBreakBefore w:val="0"/>
              <w:wordWrap/>
              <w:overflowPunct/>
              <w:topLinePunct w:val="0"/>
              <w:bidi w:val="0"/>
              <w:spacing w:line="300" w:lineRule="exact"/>
              <w:ind w:right="120" w:rightChars="50"/>
              <w:jc w:val="both"/>
              <w:rPr>
                <w:rFonts w:hint="eastAsia" w:asciiTheme="minorHAnsi" w:hAnsiTheme="minorHAnsi" w:eastAsiaTheme="minorEastAsia" w:cstheme="minorBidi"/>
                <w:kern w:val="2"/>
                <w:sz w:val="24"/>
                <w:szCs w:val="22"/>
                <w:lang w:val="en-US" w:eastAsia="zh-CN" w:bidi="ar-SA"/>
              </w:rPr>
            </w:pPr>
            <w:r>
              <w:rPr>
                <w:rFonts w:hint="eastAsia" w:asciiTheme="minorHAnsi" w:hAnsiTheme="minorHAnsi" w:eastAsiaTheme="minorEastAsia" w:cstheme="minorBidi"/>
                <w:kern w:val="2"/>
                <w:sz w:val="24"/>
                <w:szCs w:val="22"/>
                <w:lang w:val="en-US" w:eastAsia="zh-CN" w:bidi="ar-SA"/>
              </w:rPr>
              <w:t>3.代理机构对采购人、供应商的评价应在合同备案之后进行；代理机构对评审专家的评价应在项目评审结束后进行。</w:t>
            </w:r>
          </w:p>
          <w:p w14:paraId="6B0B134D">
            <w:pPr>
              <w:keepNext w:val="0"/>
              <w:keepLines w:val="0"/>
              <w:pageBreakBefore w:val="0"/>
              <w:wordWrap/>
              <w:overflowPunct/>
              <w:topLinePunct w:val="0"/>
              <w:bidi w:val="0"/>
              <w:adjustRightInd w:val="0"/>
              <w:snapToGrid w:val="0"/>
              <w:spacing w:line="300" w:lineRule="exact"/>
              <w:ind w:firstLine="240" w:firstLineChars="100"/>
              <w:jc w:val="both"/>
              <w:rPr>
                <w:rFonts w:hint="eastAsia" w:asciiTheme="minorHAnsi" w:hAnsiTheme="minorHAnsi" w:eastAsiaTheme="minorEastAsia" w:cstheme="minorBidi"/>
                <w:kern w:val="2"/>
                <w:sz w:val="24"/>
                <w:szCs w:val="22"/>
                <w:lang w:val="en-US" w:eastAsia="zh-CN" w:bidi="ar-SA"/>
              </w:rPr>
            </w:pPr>
            <w:r>
              <w:rPr>
                <w:rFonts w:hint="eastAsia" w:asciiTheme="minorHAnsi" w:hAnsiTheme="minorHAnsi" w:eastAsiaTheme="minorEastAsia" w:cstheme="minorBidi"/>
                <w:kern w:val="2"/>
                <w:sz w:val="24"/>
                <w:szCs w:val="22"/>
                <w:lang w:val="en-US" w:eastAsia="zh-CN" w:bidi="ar-SA"/>
              </w:rPr>
              <w:t>4.评审专家对代理机构的评价应在项目评审结束后进行。</w:t>
            </w:r>
          </w:p>
          <w:p w14:paraId="23409103">
            <w:pPr>
              <w:pStyle w:val="29"/>
              <w:keepNext w:val="0"/>
              <w:keepLines w:val="0"/>
              <w:pageBreakBefore w:val="0"/>
              <w:wordWrap/>
              <w:overflowPunct/>
              <w:topLinePunct w:val="0"/>
              <w:bidi w:val="0"/>
              <w:spacing w:line="300" w:lineRule="exact"/>
              <w:ind w:left="0" w:leftChars="0" w:firstLine="0" w:firstLineChars="0"/>
              <w:jc w:val="both"/>
              <w:rPr>
                <w:rFonts w:hint="eastAsia" w:asciiTheme="minorHAnsi" w:hAnsiTheme="minorHAnsi" w:eastAsiaTheme="minorEastAsia" w:cstheme="minorBidi"/>
                <w:kern w:val="2"/>
                <w:sz w:val="24"/>
                <w:szCs w:val="22"/>
                <w:lang w:val="en-US" w:eastAsia="zh-CN" w:bidi="ar-SA"/>
              </w:rPr>
            </w:pPr>
            <w:r>
              <w:rPr>
                <w:rFonts w:hint="eastAsia"/>
                <w:lang w:val="en-US" w:eastAsia="zh-CN"/>
              </w:rPr>
              <w:t>注：以上评价期限在上述规定之日起 10 日内在系统中完成，评价当事人如不进行评价的，将扣减其诚信指数。</w:t>
            </w:r>
          </w:p>
        </w:tc>
      </w:tr>
    </w:tbl>
    <w:p w14:paraId="7FDA4D60">
      <w:pPr>
        <w:keepNext w:val="0"/>
        <w:keepLines w:val="0"/>
        <w:pageBreakBefore w:val="0"/>
        <w:kinsoku/>
        <w:wordWrap w:val="0"/>
        <w:overflowPunct/>
        <w:topLinePunct w:val="0"/>
        <w:bidi w:val="0"/>
        <w:spacing w:line="240" w:lineRule="atLeast"/>
        <w:jc w:val="both"/>
        <w:rPr>
          <w:sz w:val="28"/>
          <w:szCs w:val="28"/>
          <w:lang w:eastAsia="zh-CN"/>
        </w:rPr>
      </w:pPr>
      <w:r>
        <w:rPr>
          <w:spacing w:val="-1"/>
          <w:sz w:val="28"/>
          <w:szCs w:val="28"/>
          <w:lang w:eastAsia="zh-CN"/>
          <w14:textOutline w14:w="1803" w14:cap="flat" w14:cmpd="sng" w14:algn="ctr">
            <w14:solidFill>
              <w14:srgbClr w14:val="000000"/>
            </w14:solidFill>
            <w14:prstDash w14:val="solid"/>
            <w14:miter w14:val="0"/>
          </w14:textOutline>
        </w:rPr>
        <w:t>供应商须知</w:t>
      </w:r>
    </w:p>
    <w:p w14:paraId="4C38DD85">
      <w:pPr>
        <w:pStyle w:val="13"/>
        <w:spacing w:before="270" w:line="221" w:lineRule="auto"/>
        <w:ind w:left="3836"/>
        <w:rPr>
          <w:sz w:val="28"/>
          <w:szCs w:val="28"/>
          <w:lang w:eastAsia="zh-CN"/>
        </w:rPr>
      </w:pPr>
      <w:r>
        <w:rPr>
          <w:spacing w:val="-10"/>
          <w:sz w:val="28"/>
          <w:szCs w:val="28"/>
          <w:lang w:eastAsia="zh-CN"/>
          <w14:textOutline w14:w="1803" w14:cap="flat" w14:cmpd="sng" w14:algn="ctr">
            <w14:solidFill>
              <w14:srgbClr w14:val="000000"/>
            </w14:solidFill>
            <w14:prstDash w14:val="solid"/>
            <w14:miter w14:val="0"/>
          </w14:textOutline>
        </w:rPr>
        <w:t>一</w:t>
      </w:r>
      <w:r>
        <w:rPr>
          <w:rFonts w:hint="eastAsia"/>
          <w:spacing w:val="5"/>
          <w:sz w:val="28"/>
          <w:szCs w:val="28"/>
          <w:lang w:eastAsia="zh-CN"/>
        </w:rPr>
        <w:t>、</w:t>
      </w:r>
      <w:r>
        <w:rPr>
          <w:spacing w:val="-10"/>
          <w:sz w:val="28"/>
          <w:szCs w:val="28"/>
          <w:lang w:eastAsia="zh-CN"/>
          <w14:textOutline w14:w="1803" w14:cap="flat" w14:cmpd="sng" w14:algn="ctr">
            <w14:solidFill>
              <w14:srgbClr w14:val="000000"/>
            </w14:solidFill>
            <w14:prstDash w14:val="solid"/>
            <w14:miter w14:val="0"/>
          </w14:textOutline>
        </w:rPr>
        <w:t>说</w:t>
      </w:r>
      <w:r>
        <w:rPr>
          <w:spacing w:val="19"/>
          <w:sz w:val="28"/>
          <w:szCs w:val="28"/>
          <w:lang w:eastAsia="zh-CN"/>
        </w:rPr>
        <w:t xml:space="preserve">  </w:t>
      </w:r>
      <w:r>
        <w:rPr>
          <w:spacing w:val="-10"/>
          <w:sz w:val="28"/>
          <w:szCs w:val="28"/>
          <w:lang w:eastAsia="zh-CN"/>
          <w14:textOutline w14:w="1803" w14:cap="flat" w14:cmpd="sng" w14:algn="ctr">
            <w14:solidFill>
              <w14:srgbClr w14:val="000000"/>
            </w14:solidFill>
            <w14:prstDash w14:val="solid"/>
            <w14:miter w14:val="0"/>
          </w14:textOutline>
        </w:rPr>
        <w:t>明</w:t>
      </w:r>
    </w:p>
    <w:p w14:paraId="588403CA">
      <w:pPr>
        <w:pStyle w:val="13"/>
        <w:spacing w:line="360" w:lineRule="auto"/>
        <w:ind w:firstLine="476" w:firstLineChars="200"/>
        <w:rPr>
          <w:rFonts w:asciiTheme="minorEastAsia" w:hAnsiTheme="minorEastAsia" w:eastAsiaTheme="minorEastAsia" w:cstheme="minorEastAsia"/>
          <w:spacing w:val="-1"/>
          <w:sz w:val="24"/>
          <w:szCs w:val="24"/>
          <w:lang w:eastAsia="zh-CN"/>
        </w:rPr>
      </w:pPr>
    </w:p>
    <w:p w14:paraId="457A2FB9">
      <w:pPr>
        <w:pStyle w:val="13"/>
        <w:spacing w:line="360" w:lineRule="auto"/>
        <w:ind w:firstLine="478" w:firstLineChars="200"/>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pacing w:val="-1"/>
          <w:sz w:val="24"/>
          <w:szCs w:val="24"/>
          <w:lang w:eastAsia="zh-CN"/>
        </w:rPr>
        <w:t>1. 采购人、采购代理机构、</w:t>
      </w:r>
      <w:r>
        <w:rPr>
          <w:rFonts w:hint="eastAsia" w:asciiTheme="minorEastAsia" w:hAnsiTheme="minorEastAsia" w:eastAsiaTheme="minorEastAsia" w:cstheme="minorEastAsia"/>
          <w:b/>
          <w:bCs/>
          <w:spacing w:val="-4"/>
          <w:sz w:val="24"/>
          <w:szCs w:val="24"/>
          <w:lang w:eastAsia="zh-CN"/>
        </w:rPr>
        <w:t>供应商</w:t>
      </w:r>
      <w:r>
        <w:rPr>
          <w:rFonts w:hint="eastAsia" w:asciiTheme="minorEastAsia" w:hAnsiTheme="minorEastAsia" w:eastAsiaTheme="minorEastAsia" w:cstheme="minorEastAsia"/>
          <w:b/>
          <w:bCs/>
          <w:spacing w:val="-1"/>
          <w:sz w:val="24"/>
          <w:szCs w:val="24"/>
          <w:lang w:eastAsia="zh-CN"/>
        </w:rPr>
        <w:t>、联合体</w:t>
      </w:r>
    </w:p>
    <w:p w14:paraId="5F0C6645">
      <w:pPr>
        <w:pStyle w:val="13"/>
        <w:spacing w:line="360" w:lineRule="auto"/>
        <w:ind w:firstLine="488" w:firstLineChars="200"/>
        <w:rPr>
          <w:rFonts w:asciiTheme="minorEastAsia" w:hAnsiTheme="minorEastAsia" w:eastAsiaTheme="minorEastAsia" w:cstheme="minorEastAsia"/>
          <w:spacing w:val="2"/>
          <w:sz w:val="24"/>
          <w:szCs w:val="24"/>
          <w:lang w:eastAsia="zh-CN"/>
        </w:rPr>
      </w:pPr>
      <w:r>
        <w:rPr>
          <w:rFonts w:hint="eastAsia" w:asciiTheme="minorEastAsia" w:hAnsiTheme="minorEastAsia" w:eastAsiaTheme="minorEastAsia" w:cstheme="minorEastAsia"/>
          <w:spacing w:val="2"/>
          <w:sz w:val="24"/>
          <w:szCs w:val="24"/>
          <w:lang w:eastAsia="zh-CN"/>
        </w:rPr>
        <w:t>1.1 采购人、采购代理机构：指依法进行政府采购的国家机关、事业单位、团体 组织， 及其委托的采购代理机构。本项目采购人、采购代理机构见第一章《竞争性磋商公告》。</w:t>
      </w:r>
    </w:p>
    <w:p w14:paraId="7880C596">
      <w:pPr>
        <w:pStyle w:val="13"/>
        <w:spacing w:line="360" w:lineRule="auto"/>
        <w:ind w:firstLine="488" w:firstLineChars="200"/>
        <w:rPr>
          <w:rFonts w:asciiTheme="minorEastAsia" w:hAnsiTheme="minorEastAsia" w:eastAsiaTheme="minorEastAsia" w:cstheme="minorEastAsia"/>
          <w:spacing w:val="2"/>
          <w:sz w:val="24"/>
          <w:szCs w:val="24"/>
          <w:lang w:eastAsia="zh-CN"/>
        </w:rPr>
      </w:pPr>
      <w:r>
        <w:rPr>
          <w:rFonts w:hint="eastAsia" w:asciiTheme="minorEastAsia" w:hAnsiTheme="minorEastAsia" w:eastAsiaTheme="minorEastAsia" w:cstheme="minorEastAsia"/>
          <w:spacing w:val="2"/>
          <w:sz w:val="24"/>
          <w:szCs w:val="24"/>
          <w:lang w:eastAsia="zh-CN"/>
        </w:rPr>
        <w:t>1.2 供应商（也称申请人）：指向采购人提供货物、工程或者服务的法人、其他组织或者自然人。</w:t>
      </w:r>
    </w:p>
    <w:p w14:paraId="5D9B2A1B">
      <w:pPr>
        <w:pStyle w:val="13"/>
        <w:spacing w:line="360" w:lineRule="auto"/>
        <w:ind w:firstLine="488" w:firstLineChars="2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2"/>
          <w:sz w:val="24"/>
          <w:szCs w:val="24"/>
          <w:lang w:eastAsia="zh-CN"/>
        </w:rPr>
        <w:t>1.3</w:t>
      </w:r>
      <w:r>
        <w:rPr>
          <w:rFonts w:asciiTheme="minorEastAsia" w:hAnsiTheme="minorEastAsia" w:eastAsiaTheme="minorEastAsia" w:cstheme="minorEastAsia"/>
          <w:spacing w:val="2"/>
          <w:sz w:val="24"/>
          <w:szCs w:val="24"/>
          <w:lang w:eastAsia="zh-CN"/>
        </w:rPr>
        <w:t xml:space="preserve"> </w:t>
      </w:r>
      <w:r>
        <w:rPr>
          <w:rFonts w:hint="eastAsia" w:asciiTheme="minorEastAsia" w:hAnsiTheme="minorEastAsia" w:eastAsiaTheme="minorEastAsia" w:cstheme="minorEastAsia"/>
          <w:spacing w:val="2"/>
          <w:sz w:val="24"/>
          <w:szCs w:val="24"/>
          <w:lang w:eastAsia="zh-CN"/>
        </w:rPr>
        <w:t>联合体：指两个以上的自然人、法人或者其他组织组成一个联合体，以一个供应商的身份共同参加政府采购。</w:t>
      </w:r>
    </w:p>
    <w:p w14:paraId="7FB24C5D">
      <w:pPr>
        <w:pStyle w:val="13"/>
        <w:spacing w:line="360" w:lineRule="auto"/>
        <w:ind w:firstLine="482" w:firstLineChars="200"/>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2.资金来源、项目属性、科研仪器设备采购</w:t>
      </w:r>
    </w:p>
    <w:p w14:paraId="13E1E936">
      <w:pPr>
        <w:pStyle w:val="13"/>
        <w:spacing w:line="360" w:lineRule="auto"/>
        <w:ind w:firstLine="508" w:firstLineChars="2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7"/>
          <w:sz w:val="24"/>
          <w:szCs w:val="24"/>
          <w:lang w:eastAsia="zh-CN"/>
        </w:rPr>
        <w:t>2.1</w:t>
      </w:r>
      <w:r>
        <w:rPr>
          <w:rFonts w:asciiTheme="minorEastAsia" w:hAnsiTheme="minorEastAsia" w:eastAsiaTheme="minorEastAsia" w:cstheme="minorEastAsia"/>
          <w:spacing w:val="7"/>
          <w:sz w:val="24"/>
          <w:szCs w:val="24"/>
          <w:lang w:eastAsia="zh-CN"/>
        </w:rPr>
        <w:t xml:space="preserve"> </w:t>
      </w:r>
      <w:r>
        <w:rPr>
          <w:rFonts w:hint="eastAsia" w:asciiTheme="minorEastAsia" w:hAnsiTheme="minorEastAsia" w:eastAsiaTheme="minorEastAsia" w:cstheme="minorEastAsia"/>
          <w:spacing w:val="7"/>
          <w:sz w:val="24"/>
          <w:szCs w:val="24"/>
          <w:lang w:eastAsia="zh-CN"/>
        </w:rPr>
        <w:t>资金来源为财政性资金</w:t>
      </w:r>
      <w:r>
        <w:rPr>
          <w:rFonts w:hint="eastAsia" w:asciiTheme="minorEastAsia" w:hAnsiTheme="minorEastAsia" w:eastAsiaTheme="minorEastAsia" w:cstheme="minorEastAsia"/>
          <w:spacing w:val="-9"/>
          <w:sz w:val="24"/>
          <w:szCs w:val="24"/>
          <w:lang w:eastAsia="zh-CN"/>
        </w:rPr>
        <w:t>。</w:t>
      </w:r>
    </w:p>
    <w:p w14:paraId="722C5849">
      <w:pPr>
        <w:pStyle w:val="13"/>
        <w:spacing w:line="360" w:lineRule="auto"/>
        <w:ind w:firstLine="488" w:firstLineChars="200"/>
        <w:rPr>
          <w:rFonts w:asciiTheme="minorEastAsia" w:hAnsiTheme="minorEastAsia" w:eastAsiaTheme="minorEastAsia" w:cstheme="minorEastAsia"/>
          <w:spacing w:val="2"/>
          <w:sz w:val="24"/>
          <w:szCs w:val="24"/>
          <w:lang w:eastAsia="zh-CN"/>
        </w:rPr>
      </w:pPr>
      <w:r>
        <w:rPr>
          <w:rFonts w:hint="eastAsia" w:asciiTheme="minorEastAsia" w:hAnsiTheme="minorEastAsia" w:eastAsiaTheme="minorEastAsia" w:cstheme="minorEastAsia"/>
          <w:spacing w:val="2"/>
          <w:sz w:val="24"/>
          <w:szCs w:val="24"/>
          <w:lang w:eastAsia="zh-CN"/>
        </w:rPr>
        <w:t>2.2</w:t>
      </w:r>
      <w:r>
        <w:rPr>
          <w:rFonts w:asciiTheme="minorEastAsia" w:hAnsiTheme="minorEastAsia" w:eastAsiaTheme="minorEastAsia" w:cstheme="minorEastAsia"/>
          <w:spacing w:val="2"/>
          <w:sz w:val="24"/>
          <w:szCs w:val="24"/>
          <w:lang w:eastAsia="zh-CN"/>
        </w:rPr>
        <w:t xml:space="preserve"> </w:t>
      </w:r>
      <w:r>
        <w:rPr>
          <w:rFonts w:hint="eastAsia" w:asciiTheme="minorEastAsia" w:hAnsiTheme="minorEastAsia" w:eastAsiaTheme="minorEastAsia" w:cstheme="minorEastAsia"/>
          <w:spacing w:val="2"/>
          <w:sz w:val="24"/>
          <w:szCs w:val="24"/>
          <w:lang w:eastAsia="zh-CN"/>
        </w:rPr>
        <w:t>项目属性见《供应商须知表》。</w:t>
      </w:r>
    </w:p>
    <w:p w14:paraId="2BD2C5B7">
      <w:pPr>
        <w:pStyle w:val="13"/>
        <w:spacing w:line="360" w:lineRule="auto"/>
        <w:ind w:firstLine="488" w:firstLineChars="200"/>
        <w:rPr>
          <w:rFonts w:asciiTheme="minorEastAsia" w:hAnsiTheme="minorEastAsia" w:eastAsiaTheme="minorEastAsia" w:cstheme="minorEastAsia"/>
          <w:spacing w:val="2"/>
          <w:sz w:val="24"/>
          <w:szCs w:val="24"/>
          <w:lang w:eastAsia="zh-CN"/>
        </w:rPr>
      </w:pPr>
      <w:r>
        <w:rPr>
          <w:rFonts w:hint="eastAsia" w:asciiTheme="minorEastAsia" w:hAnsiTheme="minorEastAsia" w:eastAsiaTheme="minorEastAsia" w:cstheme="minorEastAsia"/>
          <w:spacing w:val="2"/>
          <w:sz w:val="24"/>
          <w:szCs w:val="24"/>
          <w:lang w:eastAsia="zh-CN"/>
        </w:rPr>
        <w:t>2.3</w:t>
      </w:r>
      <w:r>
        <w:rPr>
          <w:rFonts w:asciiTheme="minorEastAsia" w:hAnsiTheme="minorEastAsia" w:eastAsiaTheme="minorEastAsia" w:cstheme="minorEastAsia"/>
          <w:spacing w:val="2"/>
          <w:sz w:val="24"/>
          <w:szCs w:val="24"/>
          <w:lang w:eastAsia="zh-CN"/>
        </w:rPr>
        <w:t xml:space="preserve"> </w:t>
      </w:r>
      <w:r>
        <w:rPr>
          <w:rFonts w:hint="eastAsia" w:asciiTheme="minorEastAsia" w:hAnsiTheme="minorEastAsia" w:eastAsiaTheme="minorEastAsia" w:cstheme="minorEastAsia"/>
          <w:spacing w:val="2"/>
          <w:sz w:val="24"/>
          <w:szCs w:val="24"/>
          <w:lang w:eastAsia="zh-CN"/>
        </w:rPr>
        <w:t>是否属于科研仪器设备采购见《供应商须知表》。</w:t>
      </w:r>
    </w:p>
    <w:p w14:paraId="1A4305A5">
      <w:pPr>
        <w:pStyle w:val="13"/>
        <w:spacing w:line="360" w:lineRule="auto"/>
        <w:ind w:firstLine="482" w:firstLineChars="200"/>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3.现场考察、开标前答疑会</w:t>
      </w:r>
    </w:p>
    <w:p w14:paraId="5169720E">
      <w:pPr>
        <w:pStyle w:val="13"/>
        <w:spacing w:line="360" w:lineRule="auto"/>
        <w:ind w:firstLine="492" w:firstLineChars="2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3"/>
          <w:sz w:val="24"/>
          <w:szCs w:val="24"/>
          <w:lang w:eastAsia="zh-CN"/>
        </w:rPr>
        <w:t>3.1</w:t>
      </w:r>
      <w:r>
        <w:rPr>
          <w:rFonts w:asciiTheme="minorEastAsia" w:hAnsiTheme="minorEastAsia" w:eastAsiaTheme="minorEastAsia" w:cstheme="minorEastAsia"/>
          <w:spacing w:val="3"/>
          <w:sz w:val="24"/>
          <w:szCs w:val="24"/>
          <w:lang w:eastAsia="zh-CN"/>
        </w:rPr>
        <w:t xml:space="preserve"> </w:t>
      </w:r>
      <w:r>
        <w:rPr>
          <w:rFonts w:hint="eastAsia" w:asciiTheme="minorEastAsia" w:hAnsiTheme="minorEastAsia" w:eastAsiaTheme="minorEastAsia" w:cstheme="minorEastAsia"/>
          <w:spacing w:val="3"/>
          <w:sz w:val="24"/>
          <w:szCs w:val="24"/>
          <w:lang w:eastAsia="zh-CN"/>
        </w:rPr>
        <w:t>若《供应商须知表》中规定了组</w:t>
      </w:r>
      <w:r>
        <w:rPr>
          <w:rFonts w:hint="eastAsia" w:asciiTheme="minorEastAsia" w:hAnsiTheme="minorEastAsia" w:eastAsiaTheme="minorEastAsia" w:cstheme="minorEastAsia"/>
          <w:spacing w:val="2"/>
          <w:sz w:val="24"/>
          <w:szCs w:val="24"/>
          <w:lang w:eastAsia="zh-CN"/>
        </w:rPr>
        <w:t>织现场考察、召开磋商前答疑会，则供应商</w:t>
      </w:r>
      <w:r>
        <w:rPr>
          <w:rFonts w:hint="eastAsia" w:asciiTheme="minorEastAsia" w:hAnsiTheme="minorEastAsia" w:eastAsiaTheme="minorEastAsia" w:cstheme="minorEastAsia"/>
          <w:spacing w:val="-3"/>
          <w:sz w:val="24"/>
          <w:szCs w:val="24"/>
          <w:lang w:eastAsia="zh-CN"/>
        </w:rPr>
        <w:t>应按要求在规定的时间和地点参加。</w:t>
      </w:r>
    </w:p>
    <w:p w14:paraId="7B45A848">
      <w:pPr>
        <w:pStyle w:val="13"/>
        <w:spacing w:line="360" w:lineRule="auto"/>
        <w:ind w:firstLine="488" w:firstLineChars="200"/>
        <w:rPr>
          <w:rFonts w:asciiTheme="minorEastAsia" w:hAnsiTheme="minorEastAsia" w:eastAsiaTheme="minorEastAsia" w:cstheme="minorEastAsia"/>
          <w:spacing w:val="2"/>
          <w:sz w:val="24"/>
          <w:szCs w:val="24"/>
          <w:lang w:eastAsia="zh-CN"/>
        </w:rPr>
      </w:pPr>
      <w:r>
        <w:rPr>
          <w:rFonts w:hint="eastAsia" w:asciiTheme="minorEastAsia" w:hAnsiTheme="minorEastAsia" w:eastAsiaTheme="minorEastAsia" w:cstheme="minorEastAsia"/>
          <w:spacing w:val="2"/>
          <w:sz w:val="24"/>
          <w:szCs w:val="24"/>
          <w:lang w:eastAsia="zh-CN"/>
        </w:rPr>
        <w:t>3.2</w:t>
      </w:r>
      <w:r>
        <w:rPr>
          <w:rFonts w:asciiTheme="minorEastAsia" w:hAnsiTheme="minorEastAsia" w:eastAsiaTheme="minorEastAsia" w:cstheme="minorEastAsia"/>
          <w:spacing w:val="2"/>
          <w:sz w:val="24"/>
          <w:szCs w:val="24"/>
          <w:lang w:eastAsia="zh-CN"/>
        </w:rPr>
        <w:t xml:space="preserve"> </w:t>
      </w:r>
      <w:r>
        <w:rPr>
          <w:rFonts w:hint="eastAsia" w:asciiTheme="minorEastAsia" w:hAnsiTheme="minorEastAsia" w:eastAsiaTheme="minorEastAsia" w:cstheme="minorEastAsia"/>
          <w:spacing w:val="2"/>
          <w:sz w:val="24"/>
          <w:szCs w:val="24"/>
          <w:lang w:eastAsia="zh-CN"/>
        </w:rPr>
        <w:t>由于未参加现场考察或磋商前答疑会而导致对项目实际情况不了解，影响响应文件编制、磋商报价准确性、综合因素响应不全面等问题的，由供应商自行承担不利评审后果。</w:t>
      </w:r>
    </w:p>
    <w:p w14:paraId="483AAED5">
      <w:pPr>
        <w:pStyle w:val="13"/>
        <w:spacing w:line="360" w:lineRule="auto"/>
        <w:ind w:firstLine="478" w:firstLineChars="200"/>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pacing w:val="-1"/>
          <w:position w:val="17"/>
          <w:sz w:val="24"/>
          <w:szCs w:val="24"/>
          <w:lang w:eastAsia="zh-CN"/>
        </w:rPr>
        <w:t>4.政府采购政策（包括但不限于下列具体政策要求）</w:t>
      </w:r>
    </w:p>
    <w:p w14:paraId="1419F24A">
      <w:pPr>
        <w:pStyle w:val="13"/>
        <w:spacing w:line="360" w:lineRule="auto"/>
        <w:ind w:firstLine="484" w:firstLineChars="2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1"/>
          <w:sz w:val="24"/>
          <w:szCs w:val="24"/>
          <w:lang w:eastAsia="zh-CN"/>
        </w:rPr>
        <w:t>4.1</w:t>
      </w:r>
      <w:r>
        <w:rPr>
          <w:rFonts w:asciiTheme="minorEastAsia" w:hAnsiTheme="minorEastAsia" w:eastAsiaTheme="minorEastAsia" w:cstheme="minorEastAsia"/>
          <w:spacing w:val="1"/>
          <w:sz w:val="24"/>
          <w:szCs w:val="24"/>
          <w:lang w:eastAsia="zh-CN"/>
        </w:rPr>
        <w:t xml:space="preserve"> </w:t>
      </w:r>
      <w:r>
        <w:rPr>
          <w:rFonts w:hint="eastAsia" w:asciiTheme="minorEastAsia" w:hAnsiTheme="minorEastAsia" w:eastAsiaTheme="minorEastAsia" w:cstheme="minorEastAsia"/>
          <w:spacing w:val="1"/>
          <w:sz w:val="24"/>
          <w:szCs w:val="24"/>
          <w:lang w:eastAsia="zh-CN"/>
        </w:rPr>
        <w:t>采购本国货物、工程和服务</w:t>
      </w:r>
    </w:p>
    <w:p w14:paraId="7CD23D35">
      <w:pPr>
        <w:pStyle w:val="13"/>
        <w:spacing w:line="360" w:lineRule="auto"/>
        <w:ind w:firstLine="476" w:firstLineChars="200"/>
        <w:rPr>
          <w:rFonts w:asciiTheme="minorEastAsia" w:hAnsiTheme="minorEastAsia" w:eastAsiaTheme="minorEastAsia" w:cstheme="minorEastAsia"/>
          <w:spacing w:val="-1"/>
          <w:sz w:val="24"/>
          <w:szCs w:val="24"/>
          <w:lang w:eastAsia="zh-CN"/>
        </w:rPr>
      </w:pPr>
      <w:r>
        <w:rPr>
          <w:rFonts w:hint="eastAsia" w:asciiTheme="minorEastAsia" w:hAnsiTheme="minorEastAsia" w:eastAsiaTheme="minorEastAsia" w:cstheme="minorEastAsia"/>
          <w:spacing w:val="-1"/>
          <w:sz w:val="24"/>
          <w:szCs w:val="24"/>
          <w:lang w:eastAsia="zh-CN"/>
        </w:rPr>
        <w:t>4.1.1 政府采购应当采购本国货物、工程和服务。但有《中华人民共和国政府采购法》第十条规定情形的除外。</w:t>
      </w:r>
    </w:p>
    <w:p w14:paraId="500796F9">
      <w:pPr>
        <w:pStyle w:val="13"/>
        <w:spacing w:line="360" w:lineRule="auto"/>
        <w:ind w:firstLine="464" w:firstLineChars="2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4"/>
          <w:sz w:val="24"/>
          <w:szCs w:val="24"/>
          <w:lang w:eastAsia="zh-CN"/>
        </w:rPr>
        <w:t>4.1.2</w:t>
      </w:r>
      <w:r>
        <w:rPr>
          <w:rFonts w:asciiTheme="minorEastAsia" w:hAnsiTheme="minorEastAsia" w:eastAsiaTheme="minorEastAsia" w:cstheme="minorEastAsia"/>
          <w:spacing w:val="-4"/>
          <w:sz w:val="24"/>
          <w:szCs w:val="24"/>
          <w:lang w:eastAsia="zh-CN"/>
        </w:rPr>
        <w:t xml:space="preserve"> </w:t>
      </w:r>
      <w:r>
        <w:rPr>
          <w:rFonts w:hint="eastAsia" w:asciiTheme="minorEastAsia" w:hAnsiTheme="minorEastAsia" w:eastAsiaTheme="minorEastAsia" w:cstheme="minorEastAsia"/>
          <w:spacing w:val="-4"/>
          <w:sz w:val="24"/>
          <w:szCs w:val="24"/>
          <w:lang w:eastAsia="zh-CN"/>
        </w:rPr>
        <w:t>本项目如接受非本国货</w:t>
      </w:r>
      <w:r>
        <w:rPr>
          <w:rFonts w:hint="eastAsia" w:asciiTheme="minorEastAsia" w:hAnsiTheme="minorEastAsia" w:eastAsiaTheme="minorEastAsia" w:cstheme="minorEastAsia"/>
          <w:spacing w:val="-5"/>
          <w:sz w:val="24"/>
          <w:szCs w:val="24"/>
          <w:lang w:eastAsia="zh-CN"/>
        </w:rPr>
        <w:t>物、工程、服务参与磋商，则具体要求见第二</w:t>
      </w:r>
      <w:r>
        <w:rPr>
          <w:rFonts w:hint="eastAsia" w:asciiTheme="minorEastAsia" w:hAnsiTheme="minorEastAsia" w:eastAsiaTheme="minorEastAsia" w:cstheme="minorEastAsia"/>
          <w:spacing w:val="-19"/>
          <w:sz w:val="24"/>
          <w:szCs w:val="24"/>
          <w:lang w:eastAsia="zh-CN"/>
        </w:rPr>
        <w:t>章《采购需求》。</w:t>
      </w:r>
    </w:p>
    <w:p w14:paraId="49E44F26">
      <w:pPr>
        <w:pStyle w:val="13"/>
        <w:spacing w:line="360" w:lineRule="auto"/>
        <w:ind w:firstLine="504" w:firstLineChars="2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6"/>
          <w:sz w:val="24"/>
          <w:szCs w:val="24"/>
          <w:lang w:eastAsia="zh-CN"/>
        </w:rPr>
        <w:t>4.1.3</w:t>
      </w:r>
      <w:r>
        <w:rPr>
          <w:rFonts w:asciiTheme="minorEastAsia" w:hAnsiTheme="minorEastAsia" w:eastAsiaTheme="minorEastAsia" w:cstheme="minorEastAsia"/>
          <w:spacing w:val="6"/>
          <w:sz w:val="24"/>
          <w:szCs w:val="24"/>
          <w:lang w:eastAsia="zh-CN"/>
        </w:rPr>
        <w:t xml:space="preserve"> </w:t>
      </w:r>
      <w:r>
        <w:rPr>
          <w:rFonts w:hint="eastAsia" w:asciiTheme="minorEastAsia" w:hAnsiTheme="minorEastAsia" w:eastAsiaTheme="minorEastAsia" w:cstheme="minorEastAsia"/>
          <w:spacing w:val="6"/>
          <w:sz w:val="24"/>
          <w:szCs w:val="24"/>
          <w:lang w:eastAsia="zh-CN"/>
        </w:rPr>
        <w:t>进口产品指通过中国海关</w:t>
      </w:r>
      <w:r>
        <w:rPr>
          <w:rFonts w:hint="eastAsia" w:asciiTheme="minorEastAsia" w:hAnsiTheme="minorEastAsia" w:eastAsiaTheme="minorEastAsia" w:cstheme="minorEastAsia"/>
          <w:spacing w:val="5"/>
          <w:sz w:val="24"/>
          <w:szCs w:val="24"/>
          <w:lang w:eastAsia="zh-CN"/>
        </w:rPr>
        <w:t>报关验放进入中国境内且产自关境外的产</w:t>
      </w:r>
      <w:r>
        <w:rPr>
          <w:rFonts w:hint="eastAsia" w:asciiTheme="minorEastAsia" w:hAnsiTheme="minorEastAsia" w:eastAsiaTheme="minorEastAsia" w:cstheme="minorEastAsia"/>
          <w:spacing w:val="-5"/>
          <w:sz w:val="24"/>
          <w:szCs w:val="24"/>
          <w:lang w:eastAsia="zh-CN"/>
        </w:rPr>
        <w:t>品，包括已经进入中国境内的进口产品。关于进口产品的相关规定依据《政府采购进口产品管理办法》（财库〔2007〕119 号文）、《关</w:t>
      </w:r>
      <w:r>
        <w:rPr>
          <w:rFonts w:hint="eastAsia" w:asciiTheme="minorEastAsia" w:hAnsiTheme="minorEastAsia" w:eastAsiaTheme="minorEastAsia" w:cstheme="minorEastAsia"/>
          <w:spacing w:val="5"/>
          <w:sz w:val="24"/>
          <w:szCs w:val="24"/>
          <w:lang w:eastAsia="zh-CN"/>
        </w:rPr>
        <w:t>于政府采购进口产品管理有关问题的通知》（财办库〔</w:t>
      </w:r>
      <w:r>
        <w:rPr>
          <w:rFonts w:hint="eastAsia" w:asciiTheme="minorEastAsia" w:hAnsiTheme="minorEastAsia" w:eastAsiaTheme="minorEastAsia" w:cstheme="minorEastAsia"/>
          <w:spacing w:val="4"/>
          <w:sz w:val="24"/>
          <w:szCs w:val="24"/>
          <w:lang w:eastAsia="zh-CN"/>
        </w:rPr>
        <w:t>2008〕248</w:t>
      </w:r>
      <w:r>
        <w:rPr>
          <w:rFonts w:hint="eastAsia" w:asciiTheme="minorEastAsia" w:hAnsiTheme="minorEastAsia" w:eastAsiaTheme="minorEastAsia" w:cstheme="minorEastAsia"/>
          <w:spacing w:val="-38"/>
          <w:sz w:val="24"/>
          <w:szCs w:val="24"/>
          <w:lang w:eastAsia="zh-CN"/>
        </w:rPr>
        <w:t>号文）</w:t>
      </w:r>
      <w:r>
        <w:rPr>
          <w:rFonts w:hint="eastAsia" w:asciiTheme="minorEastAsia" w:hAnsiTheme="minorEastAsia" w:eastAsiaTheme="minorEastAsia" w:cstheme="minorEastAsia"/>
          <w:spacing w:val="5"/>
          <w:sz w:val="24"/>
          <w:szCs w:val="24"/>
          <w:lang w:eastAsia="zh-CN"/>
        </w:rPr>
        <w:t>以及南阳市财政局的具体规定。</w:t>
      </w:r>
    </w:p>
    <w:p w14:paraId="3A571537">
      <w:pPr>
        <w:pStyle w:val="13"/>
        <w:spacing w:line="360" w:lineRule="auto"/>
        <w:ind w:firstLine="484" w:firstLineChars="2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1"/>
          <w:sz w:val="24"/>
          <w:szCs w:val="24"/>
          <w:lang w:eastAsia="zh-CN"/>
        </w:rPr>
        <w:t>4.2</w:t>
      </w:r>
      <w:r>
        <w:rPr>
          <w:rFonts w:asciiTheme="minorEastAsia" w:hAnsiTheme="minorEastAsia" w:eastAsiaTheme="minorEastAsia" w:cstheme="minorEastAsia"/>
          <w:spacing w:val="1"/>
          <w:sz w:val="24"/>
          <w:szCs w:val="24"/>
          <w:lang w:eastAsia="zh-CN"/>
        </w:rPr>
        <w:t xml:space="preserve"> </w:t>
      </w:r>
      <w:r>
        <w:rPr>
          <w:rFonts w:hint="eastAsia" w:asciiTheme="minorEastAsia" w:hAnsiTheme="minorEastAsia" w:eastAsiaTheme="minorEastAsia" w:cstheme="minorEastAsia"/>
          <w:spacing w:val="1"/>
          <w:sz w:val="24"/>
          <w:szCs w:val="24"/>
          <w:lang w:eastAsia="zh-CN"/>
        </w:rPr>
        <w:t>中小企业、监狱企业及残疾人福利性单位</w:t>
      </w:r>
    </w:p>
    <w:p w14:paraId="7448E14C">
      <w:pPr>
        <w:pStyle w:val="13"/>
        <w:spacing w:line="360" w:lineRule="auto"/>
        <w:ind w:firstLine="472" w:firstLineChars="2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2"/>
          <w:sz w:val="24"/>
          <w:szCs w:val="24"/>
          <w:lang w:eastAsia="zh-CN"/>
        </w:rPr>
        <w:t>4.2.1中小企业定义：</w:t>
      </w:r>
    </w:p>
    <w:p w14:paraId="658851D1">
      <w:pPr>
        <w:pStyle w:val="13"/>
        <w:spacing w:line="360" w:lineRule="auto"/>
        <w:ind w:firstLine="620" w:firstLineChars="200"/>
        <w:rPr>
          <w:rFonts w:asciiTheme="minorEastAsia" w:hAnsiTheme="minorEastAsia" w:eastAsiaTheme="minorEastAsia" w:cstheme="minorEastAsia"/>
          <w:spacing w:val="-4"/>
          <w:sz w:val="24"/>
          <w:szCs w:val="24"/>
          <w:lang w:eastAsia="zh-CN"/>
        </w:rPr>
      </w:pPr>
      <w:r>
        <w:fldChar w:fldCharType="begin"/>
      </w:r>
      <w:r>
        <w:instrText xml:space="preserve"> HYPERLINK "5.2.1.1" </w:instrText>
      </w:r>
      <w:r>
        <w:fldChar w:fldCharType="separate"/>
      </w:r>
      <w:r>
        <w:rPr>
          <w:rFonts w:hint="eastAsia" w:asciiTheme="minorEastAsia" w:hAnsiTheme="minorEastAsia" w:eastAsiaTheme="minorEastAsia" w:cstheme="minorEastAsia"/>
          <w:spacing w:val="-4"/>
          <w:sz w:val="24"/>
          <w:szCs w:val="24"/>
          <w:lang w:eastAsia="zh-CN"/>
        </w:rPr>
        <w:t>4.2.1.1</w:t>
      </w:r>
      <w:r>
        <w:rPr>
          <w:rFonts w:hint="eastAsia" w:asciiTheme="minorEastAsia" w:hAnsiTheme="minorEastAsia" w:eastAsiaTheme="minorEastAsia" w:cstheme="minorEastAsia"/>
          <w:spacing w:val="-4"/>
          <w:sz w:val="24"/>
          <w:szCs w:val="24"/>
          <w:lang w:eastAsia="zh-CN"/>
        </w:rPr>
        <w:fldChar w:fldCharType="end"/>
      </w:r>
      <w:r>
        <w:rPr>
          <w:rFonts w:hint="eastAsia" w:asciiTheme="minorEastAsia" w:hAnsiTheme="minorEastAsia" w:eastAsiaTheme="minorEastAsia" w:cstheme="minorEastAsia"/>
          <w:spacing w:val="-4"/>
          <w:sz w:val="24"/>
          <w:szCs w:val="24"/>
          <w:lang w:eastAsia="zh-CN"/>
        </w:rPr>
        <w:t xml:space="preserve"> 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相关规定依据《中华人民共和国中小企业促进法》《关于进一步加大政府采购支持中小企业力度的通知》（财库〔2022〕19 号）、《政府采购促进中小企业发展管理办法》（财库〔2020〕46 号）、《关于印发中小企业划型标准规定的通知》（工信部联企业〔2011〕300号）执行。</w:t>
      </w:r>
    </w:p>
    <w:p w14:paraId="1F1F9907">
      <w:pPr>
        <w:pStyle w:val="13"/>
        <w:spacing w:line="360" w:lineRule="auto"/>
        <w:ind w:firstLine="620" w:firstLineChars="200"/>
        <w:rPr>
          <w:rFonts w:asciiTheme="minorEastAsia" w:hAnsiTheme="minorEastAsia" w:eastAsiaTheme="minorEastAsia" w:cstheme="minorEastAsia"/>
          <w:spacing w:val="-4"/>
          <w:sz w:val="24"/>
          <w:szCs w:val="24"/>
          <w:lang w:eastAsia="zh-CN"/>
        </w:rPr>
      </w:pPr>
      <w:r>
        <w:fldChar w:fldCharType="begin"/>
      </w:r>
      <w:r>
        <w:instrText xml:space="preserve"> HYPERLINK "5.2.1.2" </w:instrText>
      </w:r>
      <w:r>
        <w:fldChar w:fldCharType="separate"/>
      </w:r>
      <w:r>
        <w:rPr>
          <w:rFonts w:hint="eastAsia" w:asciiTheme="minorEastAsia" w:hAnsiTheme="minorEastAsia" w:eastAsiaTheme="minorEastAsia" w:cstheme="minorEastAsia"/>
          <w:spacing w:val="-4"/>
          <w:sz w:val="24"/>
          <w:szCs w:val="24"/>
          <w:lang w:eastAsia="zh-CN"/>
        </w:rPr>
        <w:t>4.2.1.2</w:t>
      </w:r>
      <w:r>
        <w:rPr>
          <w:rFonts w:hint="eastAsia" w:asciiTheme="minorEastAsia" w:hAnsiTheme="minorEastAsia" w:eastAsiaTheme="minorEastAsia" w:cstheme="minorEastAsia"/>
          <w:spacing w:val="-4"/>
          <w:sz w:val="24"/>
          <w:szCs w:val="24"/>
          <w:lang w:eastAsia="zh-CN"/>
        </w:rPr>
        <w:fldChar w:fldCharType="end"/>
      </w:r>
      <w:r>
        <w:rPr>
          <w:rFonts w:hint="eastAsia" w:asciiTheme="minorEastAsia" w:hAnsiTheme="minorEastAsia" w:eastAsiaTheme="minorEastAsia" w:cstheme="minorEastAsia"/>
          <w:spacing w:val="-4"/>
          <w:sz w:val="24"/>
          <w:szCs w:val="24"/>
          <w:lang w:eastAsia="zh-CN"/>
        </w:rPr>
        <w:t xml:space="preserve"> 供应商提供的货物、工程或者服务符合下列情形的，享受中小企业扶持政策：</w:t>
      </w:r>
    </w:p>
    <w:p w14:paraId="5A589DEE">
      <w:pPr>
        <w:pStyle w:val="13"/>
        <w:spacing w:line="360" w:lineRule="auto"/>
        <w:ind w:firstLine="464" w:firstLineChars="200"/>
        <w:rPr>
          <w:rFonts w:asciiTheme="minorEastAsia" w:hAnsiTheme="minorEastAsia" w:eastAsiaTheme="minorEastAsia" w:cstheme="minorEastAsia"/>
          <w:spacing w:val="-4"/>
          <w:sz w:val="24"/>
          <w:szCs w:val="24"/>
          <w:lang w:eastAsia="zh-CN"/>
        </w:rPr>
      </w:pPr>
      <w:r>
        <w:rPr>
          <w:rFonts w:hint="eastAsia" w:asciiTheme="minorEastAsia" w:hAnsiTheme="minorEastAsia" w:eastAsiaTheme="minorEastAsia" w:cstheme="minorEastAsia"/>
          <w:spacing w:val="-4"/>
          <w:sz w:val="24"/>
          <w:szCs w:val="24"/>
          <w:lang w:eastAsia="zh-CN"/>
        </w:rPr>
        <w:t>（1）在货物采购项目中，货物由中小企业制造，即货物由中小企业生产且使用该中小企业商号或者注册商标；</w:t>
      </w:r>
    </w:p>
    <w:p w14:paraId="0FE634DC">
      <w:pPr>
        <w:pStyle w:val="13"/>
        <w:spacing w:line="360" w:lineRule="auto"/>
        <w:ind w:firstLine="464" w:firstLineChars="200"/>
        <w:rPr>
          <w:rFonts w:asciiTheme="minorEastAsia" w:hAnsiTheme="minorEastAsia" w:eastAsiaTheme="minorEastAsia" w:cstheme="minorEastAsia"/>
          <w:spacing w:val="-4"/>
          <w:sz w:val="24"/>
          <w:szCs w:val="24"/>
          <w:lang w:eastAsia="zh-CN"/>
        </w:rPr>
      </w:pPr>
      <w:r>
        <w:rPr>
          <w:rFonts w:hint="eastAsia" w:asciiTheme="minorEastAsia" w:hAnsiTheme="minorEastAsia" w:eastAsiaTheme="minorEastAsia" w:cstheme="minorEastAsia"/>
          <w:spacing w:val="-4"/>
          <w:sz w:val="24"/>
          <w:szCs w:val="24"/>
          <w:lang w:eastAsia="zh-CN"/>
        </w:rPr>
        <w:t>（2）在工程采购项目中，工程由中小企业承建，即工程施工单位为中小企业；</w:t>
      </w:r>
    </w:p>
    <w:p w14:paraId="31BD934A">
      <w:pPr>
        <w:pStyle w:val="13"/>
        <w:spacing w:line="360" w:lineRule="auto"/>
        <w:ind w:firstLine="464" w:firstLineChars="200"/>
        <w:rPr>
          <w:rFonts w:asciiTheme="minorEastAsia" w:hAnsiTheme="minorEastAsia" w:eastAsiaTheme="minorEastAsia" w:cstheme="minorEastAsia"/>
          <w:spacing w:val="-4"/>
          <w:sz w:val="24"/>
          <w:szCs w:val="24"/>
          <w:lang w:eastAsia="zh-CN"/>
        </w:rPr>
      </w:pPr>
      <w:r>
        <w:rPr>
          <w:rFonts w:hint="eastAsia" w:asciiTheme="minorEastAsia" w:hAnsiTheme="minorEastAsia" w:eastAsiaTheme="minorEastAsia" w:cstheme="minorEastAsia"/>
          <w:spacing w:val="-4"/>
          <w:sz w:val="24"/>
          <w:szCs w:val="24"/>
          <w:lang w:eastAsia="zh-CN"/>
        </w:rPr>
        <w:t>（3）在服务采购项目中，服务由中小企业承接，即提供服务的人员为中小企业依照《中华人民共和国劳动合同法》订立劳动合同的从业人员。</w:t>
      </w:r>
    </w:p>
    <w:p w14:paraId="3D561FDC">
      <w:pPr>
        <w:pStyle w:val="13"/>
        <w:spacing w:line="360" w:lineRule="auto"/>
        <w:ind w:firstLine="620" w:firstLineChars="200"/>
        <w:rPr>
          <w:rFonts w:asciiTheme="minorEastAsia" w:hAnsiTheme="minorEastAsia" w:eastAsiaTheme="minorEastAsia" w:cstheme="minorEastAsia"/>
          <w:spacing w:val="-4"/>
          <w:sz w:val="24"/>
          <w:szCs w:val="24"/>
          <w:lang w:eastAsia="zh-CN"/>
        </w:rPr>
      </w:pPr>
      <w:r>
        <w:fldChar w:fldCharType="begin"/>
      </w:r>
      <w:r>
        <w:instrText xml:space="preserve"> HYPERLINK "5.2.1.3" </w:instrText>
      </w:r>
      <w:r>
        <w:fldChar w:fldCharType="separate"/>
      </w:r>
      <w:r>
        <w:rPr>
          <w:rFonts w:hint="eastAsia" w:asciiTheme="minorEastAsia" w:hAnsiTheme="minorEastAsia" w:eastAsiaTheme="minorEastAsia" w:cstheme="minorEastAsia"/>
          <w:spacing w:val="-4"/>
          <w:sz w:val="24"/>
          <w:szCs w:val="24"/>
          <w:lang w:eastAsia="zh-CN"/>
        </w:rPr>
        <w:t>4.2.1.3</w:t>
      </w:r>
      <w:r>
        <w:rPr>
          <w:rFonts w:hint="eastAsia" w:asciiTheme="minorEastAsia" w:hAnsiTheme="minorEastAsia" w:eastAsiaTheme="minorEastAsia" w:cstheme="minorEastAsia"/>
          <w:spacing w:val="-4"/>
          <w:sz w:val="24"/>
          <w:szCs w:val="24"/>
          <w:lang w:eastAsia="zh-CN"/>
        </w:rPr>
        <w:fldChar w:fldCharType="end"/>
      </w:r>
      <w:r>
        <w:rPr>
          <w:rFonts w:hint="eastAsia" w:asciiTheme="minorEastAsia" w:hAnsiTheme="minorEastAsia" w:eastAsiaTheme="minorEastAsia" w:cstheme="minorEastAsia"/>
          <w:spacing w:val="-4"/>
          <w:sz w:val="24"/>
          <w:szCs w:val="24"/>
          <w:lang w:eastAsia="zh-CN"/>
        </w:rPr>
        <w:t xml:space="preserve"> 在货物采购项目中，供应商提供的货物既有中小企业制造货物，也有大型企业制造货物的，不享受中小企业扶持政策。</w:t>
      </w:r>
    </w:p>
    <w:p w14:paraId="1C1C1419">
      <w:pPr>
        <w:pStyle w:val="13"/>
        <w:spacing w:line="360" w:lineRule="auto"/>
        <w:ind w:firstLine="620" w:firstLineChars="200"/>
        <w:rPr>
          <w:rFonts w:asciiTheme="minorEastAsia" w:hAnsiTheme="minorEastAsia" w:eastAsiaTheme="minorEastAsia" w:cstheme="minorEastAsia"/>
          <w:spacing w:val="-4"/>
          <w:sz w:val="24"/>
          <w:szCs w:val="24"/>
          <w:lang w:eastAsia="zh-CN"/>
        </w:rPr>
      </w:pPr>
      <w:r>
        <w:fldChar w:fldCharType="begin"/>
      </w:r>
      <w:r>
        <w:instrText xml:space="preserve"> HYPERLINK "5.2.1.4" </w:instrText>
      </w:r>
      <w:r>
        <w:fldChar w:fldCharType="separate"/>
      </w:r>
      <w:r>
        <w:rPr>
          <w:rFonts w:hint="eastAsia" w:asciiTheme="minorEastAsia" w:hAnsiTheme="minorEastAsia" w:eastAsiaTheme="minorEastAsia" w:cstheme="minorEastAsia"/>
          <w:spacing w:val="-4"/>
          <w:sz w:val="24"/>
          <w:szCs w:val="24"/>
          <w:lang w:eastAsia="zh-CN"/>
        </w:rPr>
        <w:t>4.2.1.4</w:t>
      </w:r>
      <w:r>
        <w:rPr>
          <w:rFonts w:hint="eastAsia" w:asciiTheme="minorEastAsia" w:hAnsiTheme="minorEastAsia" w:eastAsiaTheme="minorEastAsia" w:cstheme="minorEastAsia"/>
          <w:spacing w:val="-4"/>
          <w:sz w:val="24"/>
          <w:szCs w:val="24"/>
          <w:lang w:eastAsia="zh-CN"/>
        </w:rPr>
        <w:fldChar w:fldCharType="end"/>
      </w:r>
      <w:r>
        <w:rPr>
          <w:rFonts w:hint="eastAsia" w:asciiTheme="minorEastAsia" w:hAnsiTheme="minorEastAsia" w:eastAsiaTheme="minorEastAsia" w:cstheme="minorEastAsia"/>
          <w:spacing w:val="-4"/>
          <w:sz w:val="24"/>
          <w:szCs w:val="24"/>
          <w:lang w:eastAsia="zh-CN"/>
        </w:rPr>
        <w:t xml:space="preserve"> 以联合体形式参加政府采购活动，联合体各方均为中小企业的， 联合体视同中小企业。其中，联合体各方均为小微企业的，联合体视同小微企业。</w:t>
      </w:r>
    </w:p>
    <w:p w14:paraId="2433DBC1">
      <w:pPr>
        <w:pStyle w:val="13"/>
        <w:spacing w:line="360" w:lineRule="auto"/>
        <w:ind w:firstLine="464" w:firstLineChars="2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4"/>
          <w:sz w:val="24"/>
          <w:szCs w:val="24"/>
          <w:lang w:eastAsia="zh-CN"/>
        </w:rPr>
        <w:t>4.2.2 在政府采购活动中，监狱企业视同小型、微型企业，享受预留份额、评审中价格扣除等政府采购促进中小企业发展的政府采购政策。监狱</w:t>
      </w:r>
      <w:r>
        <w:rPr>
          <w:rFonts w:hint="eastAsia" w:asciiTheme="minorEastAsia" w:hAnsiTheme="minorEastAsia" w:eastAsiaTheme="minorEastAsia" w:cstheme="minorEastAsia"/>
          <w:spacing w:val="-6"/>
          <w:sz w:val="24"/>
          <w:szCs w:val="24"/>
          <w:lang w:eastAsia="zh-CN"/>
        </w:rPr>
        <w:t>企业定义：是指由司法部认定的为罪犯、戒</w:t>
      </w:r>
      <w:r>
        <w:rPr>
          <w:rFonts w:hint="eastAsia" w:asciiTheme="minorEastAsia" w:hAnsiTheme="minorEastAsia" w:eastAsiaTheme="minorEastAsia" w:cstheme="minorEastAsia"/>
          <w:spacing w:val="-7"/>
          <w:sz w:val="24"/>
          <w:szCs w:val="24"/>
          <w:lang w:eastAsia="zh-CN"/>
        </w:rPr>
        <w:t>毒人员提供生产项目和劳</w:t>
      </w:r>
      <w:r>
        <w:rPr>
          <w:rFonts w:hint="eastAsia" w:asciiTheme="minorEastAsia" w:hAnsiTheme="minorEastAsia" w:eastAsiaTheme="minorEastAsia" w:cstheme="minorEastAsia"/>
          <w:spacing w:val="-8"/>
          <w:sz w:val="24"/>
          <w:szCs w:val="24"/>
          <w:lang w:eastAsia="zh-CN"/>
        </w:rPr>
        <w:t>动对象，且全部产权属于司法部监狱管理局、戒毒管理局、直属煤矿</w:t>
      </w:r>
      <w:r>
        <w:rPr>
          <w:rFonts w:hint="eastAsia" w:asciiTheme="minorEastAsia" w:hAnsiTheme="minorEastAsia" w:eastAsiaTheme="minorEastAsia" w:cstheme="minorEastAsia"/>
          <w:spacing w:val="-13"/>
          <w:sz w:val="24"/>
          <w:szCs w:val="24"/>
          <w:lang w:eastAsia="zh-CN"/>
        </w:rPr>
        <w:t>管理局，各省、自治区、直辖市监狱管理</w:t>
      </w:r>
      <w:r>
        <w:rPr>
          <w:rFonts w:hint="eastAsia" w:asciiTheme="minorEastAsia" w:hAnsiTheme="minorEastAsia" w:eastAsiaTheme="minorEastAsia" w:cstheme="minorEastAsia"/>
          <w:spacing w:val="-14"/>
          <w:sz w:val="24"/>
          <w:szCs w:val="24"/>
          <w:lang w:eastAsia="zh-CN"/>
        </w:rPr>
        <w:t>局、戒毒管理局，各地（设</w:t>
      </w:r>
      <w:r>
        <w:rPr>
          <w:rFonts w:hint="eastAsia" w:asciiTheme="minorEastAsia" w:hAnsiTheme="minorEastAsia" w:eastAsiaTheme="minorEastAsia" w:cstheme="minorEastAsia"/>
          <w:sz w:val="24"/>
          <w:szCs w:val="24"/>
          <w:lang w:eastAsia="zh-CN"/>
        </w:rPr>
        <w:t xml:space="preserve"> </w:t>
      </w:r>
      <w:r>
        <w:rPr>
          <w:rFonts w:hint="eastAsia" w:asciiTheme="minorEastAsia" w:hAnsiTheme="minorEastAsia" w:eastAsiaTheme="minorEastAsia" w:cstheme="minorEastAsia"/>
          <w:spacing w:val="-13"/>
          <w:sz w:val="24"/>
          <w:szCs w:val="24"/>
          <w:lang w:eastAsia="zh-CN"/>
        </w:rPr>
        <w:t>区的市）监狱、强制隔离戒毒所、戒毒康复所，以及新疆生产建设兵</w:t>
      </w:r>
      <w:r>
        <w:rPr>
          <w:rFonts w:hint="eastAsia" w:asciiTheme="minorEastAsia" w:hAnsiTheme="minorEastAsia" w:eastAsiaTheme="minorEastAsia" w:cstheme="minorEastAsia"/>
          <w:spacing w:val="-4"/>
          <w:sz w:val="24"/>
          <w:szCs w:val="24"/>
          <w:lang w:eastAsia="zh-CN"/>
        </w:rPr>
        <w:t>团监狱管理局、戒毒管理局的企业。</w:t>
      </w:r>
    </w:p>
    <w:p w14:paraId="14217B2A">
      <w:pPr>
        <w:pStyle w:val="13"/>
        <w:spacing w:line="360" w:lineRule="auto"/>
        <w:ind w:firstLine="448" w:firstLineChars="2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8"/>
          <w:sz w:val="24"/>
          <w:szCs w:val="24"/>
          <w:lang w:eastAsia="zh-CN"/>
        </w:rPr>
        <w:t>4.2.3 在政府采购活动中，残疾人福利性单位视同小型、微型企业</w:t>
      </w:r>
      <w:r>
        <w:rPr>
          <w:rFonts w:hint="eastAsia" w:asciiTheme="minorEastAsia" w:hAnsiTheme="minorEastAsia" w:eastAsiaTheme="minorEastAsia" w:cstheme="minorEastAsia"/>
          <w:spacing w:val="-9"/>
          <w:sz w:val="24"/>
          <w:szCs w:val="24"/>
          <w:lang w:eastAsia="zh-CN"/>
        </w:rPr>
        <w:t>，享受预</w:t>
      </w:r>
      <w:r>
        <w:rPr>
          <w:rFonts w:hint="eastAsia" w:asciiTheme="minorEastAsia" w:hAnsiTheme="minorEastAsia" w:eastAsiaTheme="minorEastAsia" w:cstheme="minorEastAsia"/>
          <w:spacing w:val="-5"/>
          <w:sz w:val="24"/>
          <w:szCs w:val="24"/>
          <w:lang w:eastAsia="zh-CN"/>
        </w:rPr>
        <w:t>留份额、评审中价格扣除等促进中小企业发展的政府采购政策。残疾</w:t>
      </w:r>
      <w:r>
        <w:rPr>
          <w:rFonts w:hint="eastAsia" w:asciiTheme="minorEastAsia" w:hAnsiTheme="minorEastAsia" w:eastAsiaTheme="minorEastAsia" w:cstheme="minorEastAsia"/>
          <w:spacing w:val="-7"/>
          <w:sz w:val="24"/>
          <w:szCs w:val="24"/>
          <w:lang w:eastAsia="zh-CN"/>
        </w:rPr>
        <w:t>人福利性单位定义：</w:t>
      </w:r>
      <w:r>
        <w:rPr>
          <w:rFonts w:hint="eastAsia" w:asciiTheme="minorEastAsia" w:hAnsiTheme="minorEastAsia" w:eastAsiaTheme="minorEastAsia" w:cstheme="minorEastAsia"/>
          <w:spacing w:val="-30"/>
          <w:sz w:val="24"/>
          <w:szCs w:val="24"/>
          <w:lang w:eastAsia="zh-CN"/>
        </w:rPr>
        <w:t xml:space="preserve"> </w:t>
      </w:r>
      <w:r>
        <w:rPr>
          <w:rFonts w:hint="eastAsia" w:asciiTheme="minorEastAsia" w:hAnsiTheme="minorEastAsia" w:eastAsiaTheme="minorEastAsia" w:cstheme="minorEastAsia"/>
          <w:spacing w:val="-7"/>
          <w:sz w:val="24"/>
          <w:szCs w:val="24"/>
          <w:lang w:eastAsia="zh-CN"/>
        </w:rPr>
        <w:t>享受政府采购支持政策的残疾人福利性单位应当</w:t>
      </w:r>
      <w:r>
        <w:rPr>
          <w:rFonts w:hint="eastAsia" w:asciiTheme="minorEastAsia" w:hAnsiTheme="minorEastAsia" w:eastAsiaTheme="minorEastAsia" w:cstheme="minorEastAsia"/>
          <w:spacing w:val="-9"/>
          <w:sz w:val="24"/>
          <w:szCs w:val="24"/>
          <w:lang w:eastAsia="zh-CN"/>
        </w:rPr>
        <w:t>同时满足以下条件：</w:t>
      </w:r>
    </w:p>
    <w:p w14:paraId="38EBAD06">
      <w:pPr>
        <w:pStyle w:val="13"/>
        <w:spacing w:line="360" w:lineRule="auto"/>
        <w:ind w:firstLine="620" w:firstLineChars="200"/>
        <w:rPr>
          <w:rFonts w:asciiTheme="minorEastAsia" w:hAnsiTheme="minorEastAsia" w:eastAsiaTheme="minorEastAsia" w:cstheme="minorEastAsia"/>
          <w:spacing w:val="-8"/>
          <w:sz w:val="24"/>
          <w:szCs w:val="24"/>
          <w:lang w:eastAsia="zh-CN"/>
        </w:rPr>
      </w:pPr>
      <w:r>
        <w:fldChar w:fldCharType="begin"/>
      </w:r>
      <w:r>
        <w:instrText xml:space="preserve"> HYPERLINK "5.2.3.1" </w:instrText>
      </w:r>
      <w:r>
        <w:fldChar w:fldCharType="separate"/>
      </w:r>
      <w:r>
        <w:rPr>
          <w:rFonts w:hint="eastAsia" w:asciiTheme="minorEastAsia" w:hAnsiTheme="minorEastAsia" w:eastAsiaTheme="minorEastAsia" w:cstheme="minorEastAsia"/>
          <w:spacing w:val="-8"/>
          <w:sz w:val="24"/>
          <w:szCs w:val="24"/>
          <w:lang w:eastAsia="zh-CN"/>
        </w:rPr>
        <w:t>4.2.3.1</w:t>
      </w:r>
      <w:r>
        <w:rPr>
          <w:rFonts w:hint="eastAsia" w:asciiTheme="minorEastAsia" w:hAnsiTheme="minorEastAsia" w:eastAsiaTheme="minorEastAsia" w:cstheme="minorEastAsia"/>
          <w:spacing w:val="-8"/>
          <w:sz w:val="24"/>
          <w:szCs w:val="24"/>
          <w:lang w:eastAsia="zh-CN"/>
        </w:rPr>
        <w:fldChar w:fldCharType="end"/>
      </w:r>
      <w:r>
        <w:rPr>
          <w:rFonts w:hint="eastAsia" w:asciiTheme="minorEastAsia" w:hAnsiTheme="minorEastAsia" w:eastAsiaTheme="minorEastAsia" w:cstheme="minorEastAsia"/>
          <w:spacing w:val="-8"/>
          <w:sz w:val="24"/>
          <w:szCs w:val="24"/>
          <w:lang w:eastAsia="zh-CN"/>
        </w:rPr>
        <w:t xml:space="preserve"> 安置的残疾人占本单位在职职工人数的比例不低于25%（含25%），并且安置的残疾人人数不少于 10人（含10人）；</w:t>
      </w:r>
    </w:p>
    <w:p w14:paraId="18846CA0">
      <w:pPr>
        <w:pStyle w:val="13"/>
        <w:spacing w:line="360" w:lineRule="auto"/>
        <w:ind w:firstLine="620" w:firstLineChars="200"/>
        <w:rPr>
          <w:rFonts w:asciiTheme="minorEastAsia" w:hAnsiTheme="minorEastAsia" w:eastAsiaTheme="minorEastAsia" w:cstheme="minorEastAsia"/>
          <w:spacing w:val="-8"/>
          <w:sz w:val="24"/>
          <w:szCs w:val="24"/>
          <w:lang w:eastAsia="zh-CN"/>
        </w:rPr>
      </w:pPr>
      <w:r>
        <w:fldChar w:fldCharType="begin"/>
      </w:r>
      <w:r>
        <w:instrText xml:space="preserve"> HYPERLINK "5.2.3.2" </w:instrText>
      </w:r>
      <w:r>
        <w:fldChar w:fldCharType="separate"/>
      </w:r>
      <w:r>
        <w:rPr>
          <w:rFonts w:hint="eastAsia" w:asciiTheme="minorEastAsia" w:hAnsiTheme="minorEastAsia" w:eastAsiaTheme="minorEastAsia" w:cstheme="minorEastAsia"/>
          <w:spacing w:val="-8"/>
          <w:sz w:val="24"/>
          <w:szCs w:val="24"/>
          <w:lang w:eastAsia="zh-CN"/>
        </w:rPr>
        <w:t>4.2.3.2</w:t>
      </w:r>
      <w:r>
        <w:rPr>
          <w:rFonts w:hint="eastAsia" w:asciiTheme="minorEastAsia" w:hAnsiTheme="minorEastAsia" w:eastAsiaTheme="minorEastAsia" w:cstheme="minorEastAsia"/>
          <w:spacing w:val="-8"/>
          <w:sz w:val="24"/>
          <w:szCs w:val="24"/>
          <w:lang w:eastAsia="zh-CN"/>
        </w:rPr>
        <w:fldChar w:fldCharType="end"/>
      </w:r>
      <w:r>
        <w:rPr>
          <w:rFonts w:hint="eastAsia" w:asciiTheme="minorEastAsia" w:hAnsiTheme="minorEastAsia" w:eastAsiaTheme="minorEastAsia" w:cstheme="minorEastAsia"/>
          <w:spacing w:val="-8"/>
          <w:sz w:val="24"/>
          <w:szCs w:val="24"/>
          <w:lang w:eastAsia="zh-CN"/>
        </w:rPr>
        <w:t xml:space="preserve"> 依法与安置的每位残疾人签订了一年以上（含一年）的劳动合同或服务协议；</w:t>
      </w:r>
    </w:p>
    <w:p w14:paraId="22B90410">
      <w:pPr>
        <w:pStyle w:val="13"/>
        <w:spacing w:line="360" w:lineRule="auto"/>
        <w:ind w:firstLine="620" w:firstLineChars="200"/>
        <w:rPr>
          <w:rFonts w:asciiTheme="minorEastAsia" w:hAnsiTheme="minorEastAsia" w:eastAsiaTheme="minorEastAsia" w:cstheme="minorEastAsia"/>
          <w:spacing w:val="-8"/>
          <w:sz w:val="24"/>
          <w:szCs w:val="24"/>
          <w:lang w:eastAsia="zh-CN"/>
        </w:rPr>
      </w:pPr>
      <w:r>
        <w:fldChar w:fldCharType="begin"/>
      </w:r>
      <w:r>
        <w:instrText xml:space="preserve"> HYPERLINK "5.2.3.3" </w:instrText>
      </w:r>
      <w:r>
        <w:fldChar w:fldCharType="separate"/>
      </w:r>
      <w:r>
        <w:rPr>
          <w:rFonts w:hint="eastAsia" w:asciiTheme="minorEastAsia" w:hAnsiTheme="minorEastAsia" w:eastAsiaTheme="minorEastAsia" w:cstheme="minorEastAsia"/>
          <w:spacing w:val="-8"/>
          <w:sz w:val="24"/>
          <w:szCs w:val="24"/>
          <w:lang w:eastAsia="zh-CN"/>
        </w:rPr>
        <w:t>4.2.3.3</w:t>
      </w:r>
      <w:r>
        <w:rPr>
          <w:rFonts w:hint="eastAsia" w:asciiTheme="minorEastAsia" w:hAnsiTheme="minorEastAsia" w:eastAsiaTheme="minorEastAsia" w:cstheme="minorEastAsia"/>
          <w:spacing w:val="-8"/>
          <w:sz w:val="24"/>
          <w:szCs w:val="24"/>
          <w:lang w:eastAsia="zh-CN"/>
        </w:rPr>
        <w:fldChar w:fldCharType="end"/>
      </w:r>
      <w:r>
        <w:rPr>
          <w:rFonts w:hint="eastAsia" w:asciiTheme="minorEastAsia" w:hAnsiTheme="minorEastAsia" w:eastAsiaTheme="minorEastAsia" w:cstheme="minorEastAsia"/>
          <w:spacing w:val="-8"/>
          <w:sz w:val="24"/>
          <w:szCs w:val="24"/>
          <w:lang w:eastAsia="zh-CN"/>
        </w:rPr>
        <w:t xml:space="preserve"> 为安置的每位残疾人按月足额缴纳了基本养老、医疗、失业、工伤和生育等社会保险费；</w:t>
      </w:r>
    </w:p>
    <w:p w14:paraId="0DF8BC00">
      <w:pPr>
        <w:pStyle w:val="13"/>
        <w:spacing w:line="360" w:lineRule="auto"/>
        <w:ind w:firstLine="620" w:firstLineChars="200"/>
        <w:rPr>
          <w:rFonts w:asciiTheme="minorEastAsia" w:hAnsiTheme="minorEastAsia" w:eastAsiaTheme="minorEastAsia" w:cstheme="minorEastAsia"/>
          <w:spacing w:val="-8"/>
          <w:sz w:val="24"/>
          <w:szCs w:val="24"/>
          <w:lang w:eastAsia="zh-CN"/>
        </w:rPr>
      </w:pPr>
      <w:r>
        <w:fldChar w:fldCharType="begin"/>
      </w:r>
      <w:r>
        <w:instrText xml:space="preserve"> HYPERLINK "5.2.3.4" </w:instrText>
      </w:r>
      <w:r>
        <w:fldChar w:fldCharType="separate"/>
      </w:r>
      <w:r>
        <w:rPr>
          <w:rFonts w:hint="eastAsia" w:asciiTheme="minorEastAsia" w:hAnsiTheme="minorEastAsia" w:eastAsiaTheme="minorEastAsia" w:cstheme="minorEastAsia"/>
          <w:spacing w:val="-8"/>
          <w:sz w:val="24"/>
          <w:szCs w:val="24"/>
          <w:lang w:eastAsia="zh-CN"/>
        </w:rPr>
        <w:t>4.2.3.4</w:t>
      </w:r>
      <w:r>
        <w:rPr>
          <w:rFonts w:hint="eastAsia" w:asciiTheme="minorEastAsia" w:hAnsiTheme="minorEastAsia" w:eastAsiaTheme="minorEastAsia" w:cstheme="minorEastAsia"/>
          <w:spacing w:val="-8"/>
          <w:sz w:val="24"/>
          <w:szCs w:val="24"/>
          <w:lang w:eastAsia="zh-CN"/>
        </w:rPr>
        <w:fldChar w:fldCharType="end"/>
      </w:r>
      <w:r>
        <w:rPr>
          <w:rFonts w:hint="eastAsia" w:asciiTheme="minorEastAsia" w:hAnsiTheme="minorEastAsia" w:eastAsiaTheme="minorEastAsia" w:cstheme="minorEastAsia"/>
          <w:spacing w:val="-8"/>
          <w:sz w:val="24"/>
          <w:szCs w:val="24"/>
          <w:lang w:eastAsia="zh-CN"/>
        </w:rPr>
        <w:t xml:space="preserve"> 通过银行等金融机构向安置的每位残疾人，按月支付了不低于单位所在区县的月最低工资标准的工资；</w:t>
      </w:r>
    </w:p>
    <w:p w14:paraId="2FC7063E">
      <w:pPr>
        <w:pStyle w:val="13"/>
        <w:spacing w:line="360" w:lineRule="auto"/>
        <w:ind w:firstLine="620" w:firstLineChars="200"/>
        <w:rPr>
          <w:rFonts w:asciiTheme="minorEastAsia" w:hAnsiTheme="minorEastAsia" w:eastAsiaTheme="minorEastAsia" w:cstheme="minorEastAsia"/>
          <w:spacing w:val="-8"/>
          <w:sz w:val="24"/>
          <w:szCs w:val="24"/>
          <w:lang w:eastAsia="zh-CN"/>
        </w:rPr>
      </w:pPr>
      <w:r>
        <w:fldChar w:fldCharType="begin"/>
      </w:r>
      <w:r>
        <w:instrText xml:space="preserve"> HYPERLINK "5.2.3.5" </w:instrText>
      </w:r>
      <w:r>
        <w:fldChar w:fldCharType="separate"/>
      </w:r>
      <w:r>
        <w:rPr>
          <w:rFonts w:hint="eastAsia" w:asciiTheme="minorEastAsia" w:hAnsiTheme="minorEastAsia" w:eastAsiaTheme="minorEastAsia" w:cstheme="minorEastAsia"/>
          <w:spacing w:val="-8"/>
          <w:sz w:val="24"/>
          <w:szCs w:val="24"/>
          <w:lang w:eastAsia="zh-CN"/>
        </w:rPr>
        <w:t>4.2.3.5</w:t>
      </w:r>
      <w:r>
        <w:rPr>
          <w:rFonts w:hint="eastAsia" w:asciiTheme="minorEastAsia" w:hAnsiTheme="minorEastAsia" w:eastAsiaTheme="minorEastAsia" w:cstheme="minorEastAsia"/>
          <w:spacing w:val="-8"/>
          <w:sz w:val="24"/>
          <w:szCs w:val="24"/>
          <w:lang w:eastAsia="zh-CN"/>
        </w:rPr>
        <w:fldChar w:fldCharType="end"/>
      </w:r>
      <w:r>
        <w:rPr>
          <w:rFonts w:hint="eastAsia" w:asciiTheme="minorEastAsia" w:hAnsiTheme="minorEastAsia" w:eastAsiaTheme="minorEastAsia" w:cstheme="minorEastAsia"/>
          <w:spacing w:val="-8"/>
          <w:sz w:val="24"/>
          <w:szCs w:val="24"/>
          <w:lang w:eastAsia="zh-CN"/>
        </w:rPr>
        <w:t xml:space="preserve"> 提供本单位制造的货物、承担的工程或者服务（以下简称产品），或者提供其他残疾人福利性单位制造的货物（不包括使用非残疾人福利性单位注册商标的货物）；</w:t>
      </w:r>
    </w:p>
    <w:p w14:paraId="0E7B6816">
      <w:pPr>
        <w:pStyle w:val="13"/>
        <w:spacing w:line="360" w:lineRule="auto"/>
        <w:ind w:firstLine="620" w:firstLineChars="200"/>
        <w:rPr>
          <w:rFonts w:asciiTheme="minorEastAsia" w:hAnsiTheme="minorEastAsia" w:eastAsiaTheme="minorEastAsia" w:cstheme="minorEastAsia"/>
          <w:spacing w:val="-8"/>
          <w:sz w:val="24"/>
          <w:szCs w:val="24"/>
          <w:lang w:eastAsia="zh-CN"/>
        </w:rPr>
      </w:pPr>
      <w:r>
        <w:fldChar w:fldCharType="begin"/>
      </w:r>
      <w:r>
        <w:instrText xml:space="preserve"> HYPERLINK "5.2.3.6" </w:instrText>
      </w:r>
      <w:r>
        <w:fldChar w:fldCharType="separate"/>
      </w:r>
      <w:r>
        <w:rPr>
          <w:rFonts w:hint="eastAsia" w:asciiTheme="minorEastAsia" w:hAnsiTheme="minorEastAsia" w:eastAsiaTheme="minorEastAsia" w:cstheme="minorEastAsia"/>
          <w:spacing w:val="-8"/>
          <w:sz w:val="24"/>
          <w:szCs w:val="24"/>
          <w:lang w:eastAsia="zh-CN"/>
        </w:rPr>
        <w:t>4.2.3.6</w:t>
      </w:r>
      <w:r>
        <w:rPr>
          <w:rFonts w:hint="eastAsia" w:asciiTheme="minorEastAsia" w:hAnsiTheme="minorEastAsia" w:eastAsiaTheme="minorEastAsia" w:cstheme="minorEastAsia"/>
          <w:spacing w:val="-8"/>
          <w:sz w:val="24"/>
          <w:szCs w:val="24"/>
          <w:lang w:eastAsia="zh-CN"/>
        </w:rPr>
        <w:fldChar w:fldCharType="end"/>
      </w:r>
      <w:r>
        <w:rPr>
          <w:rFonts w:hint="eastAsia" w:asciiTheme="minorEastAsia" w:hAnsiTheme="minorEastAsia" w:eastAsiaTheme="minorEastAsia" w:cstheme="minorEastAsia"/>
          <w:spacing w:val="-8"/>
          <w:sz w:val="24"/>
          <w:szCs w:val="24"/>
          <w:lang w:eastAsia="zh-CN"/>
        </w:rPr>
        <w:t xml:space="preserve"> 前款所称残疾人是指法定劳动年龄内，持有《中华人民共和国残疾人证》或者《中华人民共和国残疾军人证（1至8级）》 的自然人，包括具有劳动条件和劳动意愿的精神残疾人。在职职工人数是指与残疾人福利性单位建立劳动关系并依法签订劳动合同或服务协议的雇员人数。</w:t>
      </w:r>
    </w:p>
    <w:p w14:paraId="54C00335">
      <w:pPr>
        <w:pStyle w:val="13"/>
        <w:spacing w:line="360" w:lineRule="auto"/>
        <w:ind w:firstLine="448" w:firstLineChars="200"/>
        <w:rPr>
          <w:rFonts w:asciiTheme="minorEastAsia" w:hAnsiTheme="minorEastAsia" w:eastAsiaTheme="minorEastAsia" w:cstheme="minorEastAsia"/>
          <w:spacing w:val="-8"/>
          <w:sz w:val="24"/>
          <w:szCs w:val="24"/>
          <w:lang w:eastAsia="zh-CN"/>
        </w:rPr>
      </w:pPr>
      <w:r>
        <w:rPr>
          <w:rFonts w:hint="eastAsia" w:asciiTheme="minorEastAsia" w:hAnsiTheme="minorEastAsia" w:eastAsiaTheme="minorEastAsia" w:cstheme="minorEastAsia"/>
          <w:spacing w:val="-8"/>
          <w:sz w:val="24"/>
          <w:szCs w:val="24"/>
          <w:lang w:eastAsia="zh-CN"/>
        </w:rPr>
        <w:t>4.2.4 本项目是否专门面向中小企业预留采购份额见第一章《竞争性磋商公告》。</w:t>
      </w:r>
    </w:p>
    <w:p w14:paraId="7FFD08F2">
      <w:pPr>
        <w:pStyle w:val="13"/>
        <w:spacing w:line="360" w:lineRule="auto"/>
        <w:ind w:firstLine="448" w:firstLineChars="200"/>
        <w:rPr>
          <w:rFonts w:asciiTheme="minorEastAsia" w:hAnsiTheme="minorEastAsia" w:eastAsiaTheme="minorEastAsia" w:cstheme="minorEastAsia"/>
          <w:spacing w:val="-8"/>
          <w:sz w:val="24"/>
          <w:szCs w:val="24"/>
          <w:lang w:eastAsia="zh-CN"/>
        </w:rPr>
      </w:pPr>
      <w:r>
        <w:rPr>
          <w:rFonts w:hint="eastAsia" w:asciiTheme="minorEastAsia" w:hAnsiTheme="minorEastAsia" w:eastAsiaTheme="minorEastAsia" w:cstheme="minorEastAsia"/>
          <w:spacing w:val="-8"/>
          <w:sz w:val="24"/>
          <w:szCs w:val="24"/>
          <w:lang w:eastAsia="zh-CN"/>
        </w:rPr>
        <w:t>4.2.5 采购标的对应的中小企业划分标准所属行业见《供应商须知表》。</w:t>
      </w:r>
    </w:p>
    <w:p w14:paraId="427524F1">
      <w:pPr>
        <w:pStyle w:val="13"/>
        <w:spacing w:line="360" w:lineRule="auto"/>
        <w:ind w:firstLine="448" w:firstLineChars="200"/>
        <w:rPr>
          <w:rFonts w:asciiTheme="minorEastAsia" w:hAnsiTheme="minorEastAsia" w:eastAsiaTheme="minorEastAsia" w:cstheme="minorEastAsia"/>
          <w:spacing w:val="-8"/>
          <w:sz w:val="24"/>
          <w:szCs w:val="24"/>
          <w:lang w:eastAsia="zh-CN"/>
        </w:rPr>
      </w:pPr>
      <w:r>
        <w:rPr>
          <w:rFonts w:hint="eastAsia" w:asciiTheme="minorEastAsia" w:hAnsiTheme="minorEastAsia" w:eastAsiaTheme="minorEastAsia" w:cstheme="minorEastAsia"/>
          <w:spacing w:val="-8"/>
          <w:sz w:val="24"/>
          <w:szCs w:val="24"/>
          <w:lang w:eastAsia="zh-CN"/>
        </w:rPr>
        <w:t>4.2.6 小微企业价格评审优惠的政策调整：见第四章《评审程序、评审方法和评审标准》。</w:t>
      </w:r>
    </w:p>
    <w:p w14:paraId="2F24E4FD">
      <w:pPr>
        <w:pStyle w:val="13"/>
        <w:spacing w:line="360" w:lineRule="auto"/>
        <w:ind w:firstLine="448" w:firstLineChars="200"/>
        <w:rPr>
          <w:rFonts w:asciiTheme="minorEastAsia" w:hAnsiTheme="minorEastAsia" w:eastAsiaTheme="minorEastAsia" w:cstheme="minorEastAsia"/>
          <w:spacing w:val="-8"/>
          <w:sz w:val="24"/>
          <w:szCs w:val="24"/>
          <w:lang w:eastAsia="zh-CN"/>
        </w:rPr>
      </w:pPr>
      <w:r>
        <w:rPr>
          <w:rFonts w:hint="eastAsia" w:asciiTheme="minorEastAsia" w:hAnsiTheme="minorEastAsia" w:eastAsiaTheme="minorEastAsia" w:cstheme="minorEastAsia"/>
          <w:spacing w:val="-8"/>
          <w:sz w:val="24"/>
          <w:szCs w:val="24"/>
          <w:lang w:eastAsia="zh-CN"/>
        </w:rPr>
        <w:t>4.3 政府采购节能产品、环境标志产品</w:t>
      </w:r>
    </w:p>
    <w:p w14:paraId="45CA6420">
      <w:pPr>
        <w:pStyle w:val="13"/>
        <w:spacing w:line="360" w:lineRule="auto"/>
        <w:ind w:firstLine="448" w:firstLineChars="200"/>
        <w:rPr>
          <w:rFonts w:asciiTheme="minorEastAsia" w:hAnsiTheme="minorEastAsia" w:eastAsiaTheme="minorEastAsia" w:cstheme="minorEastAsia"/>
          <w:spacing w:val="-8"/>
          <w:sz w:val="24"/>
          <w:szCs w:val="24"/>
          <w:lang w:eastAsia="zh-CN"/>
        </w:rPr>
      </w:pPr>
      <w:r>
        <w:rPr>
          <w:rFonts w:hint="eastAsia" w:asciiTheme="minorEastAsia" w:hAnsiTheme="minorEastAsia" w:eastAsiaTheme="minorEastAsia" w:cstheme="minorEastAsia"/>
          <w:spacing w:val="-8"/>
          <w:sz w:val="24"/>
          <w:szCs w:val="24"/>
          <w:lang w:eastAsia="zh-CN"/>
        </w:rPr>
        <w:t>4.3.1政府采购节能产品、环境标志产品实施品目清单管理。财政部、</w:t>
      </w:r>
      <w:r>
        <w:fldChar w:fldCharType="begin"/>
      </w:r>
      <w:r>
        <w:instrText xml:space="preserve"> HYPERLINK "https://www.baidu.com/link?url=pV2gqlWQVIfLHb2GO1RMJVp24ETQ1a_TiqQ-2CHpcULsECvXubLhLHJTcTJbIedy&amp;wd=&amp;eqid=88c7d5f9006c2d6b0000000265780e74" \t "https://www.baidu.com/_blank" </w:instrText>
      </w:r>
      <w:r>
        <w:fldChar w:fldCharType="separate"/>
      </w:r>
      <w:r>
        <w:rPr>
          <w:rFonts w:asciiTheme="minorEastAsia" w:hAnsiTheme="minorEastAsia" w:eastAsiaTheme="minorEastAsia" w:cstheme="minorEastAsia"/>
          <w:spacing w:val="-8"/>
          <w:sz w:val="24"/>
          <w:szCs w:val="24"/>
          <w:lang w:eastAsia="zh-CN"/>
        </w:rPr>
        <w:t>中华人民共和国国家发展和改革委员会</w:t>
      </w:r>
      <w:r>
        <w:rPr>
          <w:rFonts w:asciiTheme="minorEastAsia" w:hAnsiTheme="minorEastAsia" w:eastAsiaTheme="minorEastAsia" w:cstheme="minorEastAsia"/>
          <w:spacing w:val="-8"/>
          <w:sz w:val="24"/>
          <w:szCs w:val="24"/>
          <w:lang w:eastAsia="zh-CN"/>
        </w:rPr>
        <w:fldChar w:fldCharType="end"/>
      </w:r>
      <w:r>
        <w:rPr>
          <w:rFonts w:hint="eastAsia" w:asciiTheme="minorEastAsia" w:hAnsiTheme="minorEastAsia" w:eastAsiaTheme="minorEastAsia" w:cstheme="minorEastAsia"/>
          <w:spacing w:val="-8"/>
          <w:sz w:val="24"/>
          <w:szCs w:val="24"/>
          <w:lang w:eastAsia="zh-CN"/>
        </w:rPr>
        <w:t>、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4A045365">
      <w:pPr>
        <w:pStyle w:val="13"/>
        <w:spacing w:line="360" w:lineRule="auto"/>
        <w:ind w:firstLine="448" w:firstLineChars="200"/>
        <w:rPr>
          <w:rFonts w:asciiTheme="minorEastAsia" w:hAnsiTheme="minorEastAsia" w:eastAsiaTheme="minorEastAsia" w:cstheme="minorEastAsia"/>
          <w:spacing w:val="-8"/>
          <w:sz w:val="24"/>
          <w:szCs w:val="24"/>
          <w:lang w:eastAsia="zh-CN"/>
        </w:rPr>
      </w:pPr>
      <w:r>
        <w:rPr>
          <w:rFonts w:hint="eastAsia" w:asciiTheme="minorEastAsia" w:hAnsiTheme="minorEastAsia" w:eastAsiaTheme="minorEastAsia" w:cstheme="minorEastAsia"/>
          <w:spacing w:val="-8"/>
          <w:sz w:val="24"/>
          <w:szCs w:val="24"/>
          <w:lang w:eastAsia="zh-CN"/>
        </w:rPr>
        <w:t>4.3.2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2019〕9号）。</w:t>
      </w:r>
    </w:p>
    <w:p w14:paraId="27FF3B43">
      <w:pPr>
        <w:pStyle w:val="13"/>
        <w:spacing w:line="360" w:lineRule="auto"/>
        <w:ind w:firstLine="448" w:firstLineChars="200"/>
        <w:rPr>
          <w:rFonts w:asciiTheme="minorEastAsia" w:hAnsiTheme="minorEastAsia" w:eastAsiaTheme="minorEastAsia" w:cstheme="minorEastAsia"/>
          <w:b/>
          <w:bCs/>
          <w:spacing w:val="-8"/>
          <w:sz w:val="24"/>
          <w:szCs w:val="24"/>
          <w:lang w:eastAsia="zh-CN"/>
        </w:rPr>
      </w:pPr>
      <w:r>
        <w:rPr>
          <w:rFonts w:hint="eastAsia" w:asciiTheme="minorEastAsia" w:hAnsiTheme="minorEastAsia" w:eastAsiaTheme="minorEastAsia" w:cstheme="minorEastAsia"/>
          <w:spacing w:val="-8"/>
          <w:sz w:val="24"/>
          <w:szCs w:val="24"/>
          <w:lang w:eastAsia="zh-CN"/>
        </w:rPr>
        <w:t>4.3.3 如本项目采购产品属于实施政府强制采购品目清单范围的节能产品，则</w:t>
      </w:r>
      <w:r>
        <w:rPr>
          <w:rFonts w:hint="eastAsia" w:asciiTheme="minorEastAsia" w:hAnsiTheme="minorEastAsia" w:eastAsiaTheme="minorEastAsia" w:cstheme="minorEastAsia"/>
          <w:spacing w:val="2"/>
          <w:sz w:val="24"/>
          <w:szCs w:val="24"/>
          <w:lang w:eastAsia="zh-CN"/>
        </w:rPr>
        <w:t>供应商</w:t>
      </w:r>
      <w:r>
        <w:rPr>
          <w:rFonts w:hint="eastAsia" w:asciiTheme="minorEastAsia" w:hAnsiTheme="minorEastAsia" w:eastAsiaTheme="minorEastAsia" w:cstheme="minorEastAsia"/>
          <w:spacing w:val="-8"/>
          <w:sz w:val="24"/>
          <w:szCs w:val="24"/>
          <w:lang w:eastAsia="zh-CN"/>
        </w:rPr>
        <w:t>所报产品必须获得国家确定的认证机构出具的、处于有效期之内的节能产品认证证书，</w:t>
      </w:r>
      <w:r>
        <w:rPr>
          <w:rFonts w:hint="eastAsia" w:asciiTheme="minorEastAsia" w:hAnsiTheme="minorEastAsia" w:eastAsiaTheme="minorEastAsia" w:cstheme="minorEastAsia"/>
          <w:b/>
          <w:bCs/>
          <w:spacing w:val="-8"/>
          <w:sz w:val="24"/>
          <w:szCs w:val="24"/>
          <w:lang w:eastAsia="zh-CN"/>
        </w:rPr>
        <w:t>否则响应无效；</w:t>
      </w:r>
    </w:p>
    <w:p w14:paraId="19BCA8CB">
      <w:pPr>
        <w:pStyle w:val="13"/>
        <w:spacing w:line="360" w:lineRule="auto"/>
        <w:ind w:firstLine="448" w:firstLineChars="200"/>
        <w:rPr>
          <w:rFonts w:asciiTheme="minorEastAsia" w:hAnsiTheme="minorEastAsia" w:eastAsiaTheme="minorEastAsia" w:cstheme="minorEastAsia"/>
          <w:spacing w:val="-8"/>
          <w:sz w:val="24"/>
          <w:szCs w:val="24"/>
          <w:lang w:eastAsia="zh-CN"/>
        </w:rPr>
      </w:pPr>
      <w:r>
        <w:rPr>
          <w:rFonts w:hint="eastAsia" w:asciiTheme="minorEastAsia" w:hAnsiTheme="minorEastAsia" w:eastAsiaTheme="minorEastAsia" w:cstheme="minorEastAsia"/>
          <w:spacing w:val="-8"/>
          <w:sz w:val="24"/>
          <w:szCs w:val="24"/>
          <w:lang w:eastAsia="zh-CN"/>
        </w:rPr>
        <w:t>4.3.4 非政府强制采购的节能产品或环境标志产品，依据品目清单和认证证书实施政府优先采购。优先采购的具体规定见第四章《评审程序、评审方法和评审标准》。（如涉及）。</w:t>
      </w:r>
    </w:p>
    <w:p w14:paraId="44F32AC0">
      <w:pPr>
        <w:pStyle w:val="13"/>
        <w:spacing w:line="360" w:lineRule="auto"/>
        <w:ind w:firstLine="448" w:firstLineChars="200"/>
        <w:rPr>
          <w:rFonts w:asciiTheme="minorEastAsia" w:hAnsiTheme="minorEastAsia" w:eastAsiaTheme="minorEastAsia" w:cstheme="minorEastAsia"/>
          <w:spacing w:val="-8"/>
          <w:sz w:val="24"/>
          <w:szCs w:val="24"/>
          <w:lang w:eastAsia="zh-CN"/>
        </w:rPr>
      </w:pPr>
      <w:r>
        <w:rPr>
          <w:rFonts w:hint="eastAsia" w:asciiTheme="minorEastAsia" w:hAnsiTheme="minorEastAsia" w:eastAsiaTheme="minorEastAsia" w:cstheme="minorEastAsia"/>
          <w:spacing w:val="-8"/>
          <w:sz w:val="24"/>
          <w:szCs w:val="24"/>
          <w:lang w:eastAsia="zh-CN"/>
        </w:rPr>
        <w:t>4.4 正版软件</w:t>
      </w:r>
    </w:p>
    <w:p w14:paraId="3718724A">
      <w:pPr>
        <w:pStyle w:val="13"/>
        <w:spacing w:line="360" w:lineRule="auto"/>
        <w:ind w:firstLine="448" w:firstLineChars="200"/>
        <w:rPr>
          <w:rFonts w:asciiTheme="minorEastAsia" w:hAnsiTheme="minorEastAsia" w:eastAsiaTheme="minorEastAsia" w:cstheme="minorEastAsia"/>
          <w:spacing w:val="-8"/>
          <w:sz w:val="24"/>
          <w:szCs w:val="24"/>
          <w:lang w:eastAsia="zh-CN"/>
        </w:rPr>
      </w:pPr>
      <w:r>
        <w:rPr>
          <w:rFonts w:hint="eastAsia" w:asciiTheme="minorEastAsia" w:hAnsiTheme="minorEastAsia" w:eastAsiaTheme="minorEastAsia" w:cstheme="minorEastAsia"/>
          <w:spacing w:val="-8"/>
          <w:sz w:val="24"/>
          <w:szCs w:val="24"/>
          <w:lang w:eastAsia="zh-CN"/>
        </w:rPr>
        <w:t>4.4.1 依据《财政部、</w:t>
      </w:r>
      <w:r>
        <w:fldChar w:fldCharType="begin"/>
      </w:r>
      <w:r>
        <w:instrText xml:space="preserve"> HYPERLINK "https://www.baidu.com/link?url=pV2gqlWQVIfLHb2GO1RMJVp24ETQ1a_TiqQ-2CHpcULsECvXubLhLHJTcTJbIedy&amp;wd=&amp;eqid=88c7d5f9006c2d6b0000000265780e74" \t "https://www.baidu.com/_blank" </w:instrText>
      </w:r>
      <w:r>
        <w:fldChar w:fldCharType="separate"/>
      </w:r>
      <w:r>
        <w:rPr>
          <w:rFonts w:asciiTheme="minorEastAsia" w:hAnsiTheme="minorEastAsia" w:eastAsiaTheme="minorEastAsia" w:cstheme="minorEastAsia"/>
          <w:spacing w:val="-8"/>
          <w:sz w:val="24"/>
          <w:szCs w:val="24"/>
          <w:lang w:eastAsia="zh-CN"/>
        </w:rPr>
        <w:t>中华人民共和国国家发展和改革委员会</w:t>
      </w:r>
      <w:r>
        <w:rPr>
          <w:rFonts w:asciiTheme="minorEastAsia" w:hAnsiTheme="minorEastAsia" w:eastAsiaTheme="minorEastAsia" w:cstheme="minorEastAsia"/>
          <w:spacing w:val="-8"/>
          <w:sz w:val="24"/>
          <w:szCs w:val="24"/>
          <w:lang w:eastAsia="zh-CN"/>
        </w:rPr>
        <w:fldChar w:fldCharType="end"/>
      </w:r>
      <w:r>
        <w:rPr>
          <w:rFonts w:hint="eastAsia" w:asciiTheme="minorEastAsia" w:hAnsiTheme="minorEastAsia" w:eastAsiaTheme="minorEastAsia" w:cstheme="minorEastAsia"/>
          <w:spacing w:val="-8"/>
          <w:sz w:val="24"/>
          <w:szCs w:val="24"/>
          <w:lang w:eastAsia="zh-CN"/>
        </w:rPr>
        <w:t>、信息产业部关于印发无线局域网产品政府采购实施意见的通知》（财库〔2005〕366号），采购无线局域网产品和含有无线局域网功能的计算机、通信设备、打印机、复印机、投影仪等产品的，优先采购符合国家无线局域网安全标准（GB 15629.11/1102）并通过国家产品认证的产品。其中，国家有特殊信息安全要求的项目必须采购认证产品，否则响应无效。财政部、</w:t>
      </w:r>
      <w:r>
        <w:fldChar w:fldCharType="begin"/>
      </w:r>
      <w:r>
        <w:instrText xml:space="preserve"> HYPERLINK "https://www.baidu.com/link?url=pV2gqlWQVIfLHb2GO1RMJVp24ETQ1a_TiqQ-2CHpcULsECvXubLhLHJTcTJbIedy&amp;wd=&amp;eqid=88c7d5f9006c2d6b0000000265780e74" \t "https://www.baidu.com/_blank" </w:instrText>
      </w:r>
      <w:r>
        <w:fldChar w:fldCharType="separate"/>
      </w:r>
      <w:r>
        <w:rPr>
          <w:rFonts w:asciiTheme="minorEastAsia" w:hAnsiTheme="minorEastAsia" w:eastAsiaTheme="minorEastAsia" w:cstheme="minorEastAsia"/>
          <w:spacing w:val="-8"/>
          <w:sz w:val="24"/>
          <w:szCs w:val="24"/>
          <w:lang w:eastAsia="zh-CN"/>
        </w:rPr>
        <w:t>中华人民共和国国家发展和改革委员会</w:t>
      </w:r>
      <w:r>
        <w:rPr>
          <w:rFonts w:asciiTheme="minorEastAsia" w:hAnsiTheme="minorEastAsia" w:eastAsiaTheme="minorEastAsia" w:cstheme="minorEastAsia"/>
          <w:spacing w:val="-8"/>
          <w:sz w:val="24"/>
          <w:szCs w:val="24"/>
          <w:lang w:eastAsia="zh-CN"/>
        </w:rPr>
        <w:fldChar w:fldCharType="end"/>
      </w:r>
      <w:r>
        <w:rPr>
          <w:rFonts w:hint="eastAsia" w:asciiTheme="minorEastAsia" w:hAnsiTheme="minorEastAsia" w:eastAsiaTheme="minorEastAsia" w:cstheme="minorEastAsia"/>
          <w:spacing w:val="-8"/>
          <w:sz w:val="24"/>
          <w:szCs w:val="24"/>
          <w:lang w:eastAsia="zh-CN"/>
        </w:rPr>
        <w:t>、信息产业部根据政府采购改革进展和无线局域网产品技术及市场成熟等情况，从国家指定的认证机构认证的生产厂商和产品型号中确定优先采购的产品， 并以无线局域网认证产品政府采购 清单（以下简称清单）的形式公布。清单中新增认证产品厂商和型号，由财政部、</w:t>
      </w:r>
      <w:r>
        <w:fldChar w:fldCharType="begin"/>
      </w:r>
      <w:r>
        <w:instrText xml:space="preserve"> HYPERLINK "https://www.baidu.com/link?url=pV2gqlWQVIfLHb2GO1RMJVp24ETQ1a_TiqQ-2CHpcULsECvXubLhLHJTcTJbIedy&amp;wd=&amp;eqid=88c7d5f9006c2d6b0000000265780e74" \t "https://www.baidu.com/_blank" </w:instrText>
      </w:r>
      <w:r>
        <w:fldChar w:fldCharType="separate"/>
      </w:r>
      <w:r>
        <w:rPr>
          <w:rFonts w:asciiTheme="minorEastAsia" w:hAnsiTheme="minorEastAsia" w:eastAsiaTheme="minorEastAsia" w:cstheme="minorEastAsia"/>
          <w:spacing w:val="-8"/>
          <w:sz w:val="24"/>
          <w:szCs w:val="24"/>
          <w:lang w:eastAsia="zh-CN"/>
        </w:rPr>
        <w:t>中华人民共和国国家发展和改革委员会</w:t>
      </w:r>
      <w:r>
        <w:rPr>
          <w:rFonts w:asciiTheme="minorEastAsia" w:hAnsiTheme="minorEastAsia" w:eastAsiaTheme="minorEastAsia" w:cstheme="minorEastAsia"/>
          <w:spacing w:val="-8"/>
          <w:sz w:val="24"/>
          <w:szCs w:val="24"/>
          <w:lang w:eastAsia="zh-CN"/>
        </w:rPr>
        <w:fldChar w:fldCharType="end"/>
      </w:r>
      <w:r>
        <w:rPr>
          <w:rFonts w:hint="eastAsia" w:asciiTheme="minorEastAsia" w:hAnsiTheme="minorEastAsia" w:eastAsiaTheme="minorEastAsia" w:cstheme="minorEastAsia"/>
          <w:spacing w:val="-8"/>
          <w:sz w:val="24"/>
          <w:szCs w:val="24"/>
          <w:lang w:eastAsia="zh-CN"/>
        </w:rPr>
        <w:t>、信息产业部以文件形式确定、公布并适时调整。</w:t>
      </w:r>
    </w:p>
    <w:p w14:paraId="505BC96F">
      <w:pPr>
        <w:pStyle w:val="13"/>
        <w:spacing w:line="360" w:lineRule="auto"/>
        <w:ind w:firstLine="468" w:firstLineChars="2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3"/>
          <w:sz w:val="24"/>
          <w:szCs w:val="24"/>
          <w:lang w:eastAsia="zh-CN"/>
        </w:rPr>
        <w:t>4.4.2 各级政府部门在购置计算机办公设备时，必须采购预装正版操作系统</w:t>
      </w:r>
      <w:r>
        <w:rPr>
          <w:rFonts w:hint="eastAsia" w:asciiTheme="minorEastAsia" w:hAnsiTheme="minorEastAsia" w:eastAsiaTheme="minorEastAsia" w:cstheme="minorEastAsia"/>
          <w:spacing w:val="-9"/>
          <w:sz w:val="24"/>
          <w:szCs w:val="24"/>
          <w:lang w:eastAsia="zh-CN"/>
        </w:rPr>
        <w:t>软件的计算机产品，相关规定依据《国家版权局、信息产业</w:t>
      </w:r>
      <w:r>
        <w:rPr>
          <w:rFonts w:hint="eastAsia" w:asciiTheme="minorEastAsia" w:hAnsiTheme="minorEastAsia" w:eastAsiaTheme="minorEastAsia" w:cstheme="minorEastAsia"/>
          <w:spacing w:val="-10"/>
          <w:sz w:val="24"/>
          <w:szCs w:val="24"/>
          <w:lang w:eastAsia="zh-CN"/>
        </w:rPr>
        <w:t>部、财政</w:t>
      </w:r>
      <w:r>
        <w:rPr>
          <w:rFonts w:hint="eastAsia" w:asciiTheme="minorEastAsia" w:hAnsiTheme="minorEastAsia" w:eastAsiaTheme="minorEastAsia" w:cstheme="minorEastAsia"/>
          <w:spacing w:val="-4"/>
          <w:sz w:val="24"/>
          <w:szCs w:val="24"/>
          <w:lang w:eastAsia="zh-CN"/>
        </w:rPr>
        <w:t>部、国务院机关事务管理局关于政府部门购置计算机办公设备必须采</w:t>
      </w:r>
      <w:r>
        <w:rPr>
          <w:rFonts w:hint="eastAsia" w:asciiTheme="minorEastAsia" w:hAnsiTheme="minorEastAsia" w:eastAsiaTheme="minorEastAsia" w:cstheme="minorEastAsia"/>
          <w:spacing w:val="-3"/>
          <w:sz w:val="24"/>
          <w:szCs w:val="24"/>
          <w:lang w:eastAsia="zh-CN"/>
        </w:rPr>
        <w:t>购已预装正版操作系统软件产品的通知》（国权联〔200</w:t>
      </w:r>
      <w:r>
        <w:rPr>
          <w:rFonts w:hint="eastAsia" w:asciiTheme="minorEastAsia" w:hAnsiTheme="minorEastAsia" w:eastAsiaTheme="minorEastAsia" w:cstheme="minorEastAsia"/>
          <w:spacing w:val="-4"/>
          <w:sz w:val="24"/>
          <w:szCs w:val="24"/>
          <w:lang w:eastAsia="zh-CN"/>
        </w:rPr>
        <w:t>6〕1 号）、</w:t>
      </w:r>
      <w:r>
        <w:rPr>
          <w:rFonts w:hint="eastAsia" w:asciiTheme="minorEastAsia" w:hAnsiTheme="minorEastAsia" w:eastAsiaTheme="minorEastAsia" w:cstheme="minorEastAsia"/>
          <w:sz w:val="24"/>
          <w:szCs w:val="24"/>
          <w:lang w:eastAsia="zh-CN"/>
        </w:rPr>
        <w:t>《国务院办公厅关于进一步做好政府机关使用正版</w:t>
      </w:r>
      <w:r>
        <w:rPr>
          <w:rFonts w:hint="eastAsia" w:asciiTheme="minorEastAsia" w:hAnsiTheme="minorEastAsia" w:eastAsiaTheme="minorEastAsia" w:cstheme="minorEastAsia"/>
          <w:spacing w:val="-1"/>
          <w:sz w:val="24"/>
          <w:szCs w:val="24"/>
          <w:lang w:eastAsia="zh-CN"/>
        </w:rPr>
        <w:t>软件工作的通知》</w:t>
      </w:r>
      <w:r>
        <w:rPr>
          <w:rFonts w:hint="eastAsia" w:asciiTheme="minorEastAsia" w:hAnsiTheme="minorEastAsia" w:eastAsiaTheme="minorEastAsia" w:cstheme="minorEastAsia"/>
          <w:sz w:val="24"/>
          <w:szCs w:val="24"/>
          <w:lang w:eastAsia="zh-CN"/>
        </w:rPr>
        <w:t xml:space="preserve"> </w:t>
      </w:r>
      <w:r>
        <w:rPr>
          <w:rFonts w:hint="eastAsia" w:asciiTheme="minorEastAsia" w:hAnsiTheme="minorEastAsia" w:eastAsiaTheme="minorEastAsia" w:cstheme="minorEastAsia"/>
          <w:spacing w:val="-3"/>
          <w:sz w:val="24"/>
          <w:szCs w:val="24"/>
          <w:lang w:eastAsia="zh-CN"/>
        </w:rPr>
        <w:t>（国办发〔2010〕47 号）、《财政部关于进一步做好政府机关使用</w:t>
      </w:r>
      <w:r>
        <w:rPr>
          <w:rFonts w:hint="eastAsia" w:asciiTheme="minorEastAsia" w:hAnsiTheme="minorEastAsia" w:eastAsiaTheme="minorEastAsia" w:cstheme="minorEastAsia"/>
          <w:spacing w:val="-6"/>
          <w:sz w:val="24"/>
          <w:szCs w:val="24"/>
          <w:lang w:eastAsia="zh-CN"/>
        </w:rPr>
        <w:t>正版软件工作的通知》（财预〔2010〕536 号）。</w:t>
      </w:r>
    </w:p>
    <w:p w14:paraId="784C9A8A">
      <w:pPr>
        <w:pStyle w:val="13"/>
        <w:spacing w:line="360" w:lineRule="auto"/>
        <w:ind w:firstLine="480" w:firstLineChars="2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4.5</w:t>
      </w:r>
      <w:r>
        <w:rPr>
          <w:rFonts w:hint="eastAsia" w:asciiTheme="minorEastAsia" w:hAnsiTheme="minorEastAsia" w:eastAsiaTheme="minorEastAsia" w:cstheme="minorEastAsia"/>
          <w:spacing w:val="7"/>
          <w:sz w:val="24"/>
          <w:szCs w:val="24"/>
          <w:lang w:eastAsia="zh-CN"/>
        </w:rPr>
        <w:t xml:space="preserve"> </w:t>
      </w:r>
      <w:r>
        <w:rPr>
          <w:rFonts w:hint="eastAsia" w:asciiTheme="minorEastAsia" w:hAnsiTheme="minorEastAsia" w:eastAsiaTheme="minorEastAsia" w:cstheme="minorEastAsia"/>
          <w:sz w:val="24"/>
          <w:szCs w:val="24"/>
          <w:lang w:eastAsia="zh-CN"/>
        </w:rPr>
        <w:t>网络安全专用产品</w:t>
      </w:r>
    </w:p>
    <w:p w14:paraId="71BF9004">
      <w:pPr>
        <w:pStyle w:val="13"/>
        <w:spacing w:line="360" w:lineRule="auto"/>
        <w:ind w:firstLine="476" w:firstLineChars="2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1"/>
          <w:sz w:val="24"/>
          <w:szCs w:val="24"/>
          <w:lang w:eastAsia="zh-CN"/>
        </w:rPr>
        <w:t>4.5.1所投产品属于列入《网络关键设备和网络安全专用产品目录》的网络</w:t>
      </w:r>
      <w:r>
        <w:rPr>
          <w:rFonts w:hint="eastAsia" w:asciiTheme="minorEastAsia" w:hAnsiTheme="minorEastAsia" w:eastAsiaTheme="minorEastAsia" w:cstheme="minorEastAsia"/>
          <w:spacing w:val="-2"/>
          <w:sz w:val="24"/>
          <w:szCs w:val="24"/>
          <w:lang w:eastAsia="zh-CN"/>
        </w:rPr>
        <w:t>安全专用产品，应当在国家互联网信息办公室会同工业和信息化部、</w:t>
      </w:r>
      <w:r>
        <w:rPr>
          <w:rFonts w:hint="eastAsia" w:asciiTheme="minorEastAsia" w:hAnsiTheme="minorEastAsia" w:eastAsiaTheme="minorEastAsia" w:cstheme="minorEastAsia"/>
          <w:spacing w:val="-4"/>
          <w:sz w:val="24"/>
          <w:szCs w:val="24"/>
          <w:lang w:eastAsia="zh-CN"/>
        </w:rPr>
        <w:t>公安部、国家认证认可监督管理委员会统一公布和更新</w:t>
      </w:r>
      <w:r>
        <w:rPr>
          <w:rFonts w:hint="eastAsia" w:asciiTheme="minorEastAsia" w:hAnsiTheme="minorEastAsia" w:eastAsiaTheme="minorEastAsia" w:cstheme="minorEastAsia"/>
          <w:spacing w:val="-5"/>
          <w:sz w:val="24"/>
          <w:szCs w:val="24"/>
          <w:lang w:eastAsia="zh-CN"/>
        </w:rPr>
        <w:t>的符合要求的</w:t>
      </w:r>
      <w:r>
        <w:rPr>
          <w:rFonts w:hint="eastAsia" w:asciiTheme="minorEastAsia" w:hAnsiTheme="minorEastAsia" w:eastAsiaTheme="minorEastAsia" w:cstheme="minorEastAsia"/>
          <w:spacing w:val="-4"/>
          <w:sz w:val="24"/>
          <w:szCs w:val="24"/>
          <w:lang w:eastAsia="zh-CN"/>
        </w:rPr>
        <w:t>网络关键设备和网络安全专用产品清单中。</w:t>
      </w:r>
    </w:p>
    <w:p w14:paraId="1914772D">
      <w:pPr>
        <w:pStyle w:val="13"/>
        <w:spacing w:line="360" w:lineRule="auto"/>
        <w:ind w:firstLine="488" w:firstLineChars="2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2"/>
          <w:sz w:val="24"/>
          <w:szCs w:val="24"/>
          <w:lang w:eastAsia="zh-CN"/>
        </w:rPr>
        <w:t>4.6 采购需求标准</w:t>
      </w:r>
    </w:p>
    <w:p w14:paraId="7A3E1479">
      <w:pPr>
        <w:pStyle w:val="13"/>
        <w:spacing w:line="360" w:lineRule="auto"/>
        <w:ind w:firstLine="488" w:firstLineChars="2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2"/>
          <w:sz w:val="24"/>
          <w:szCs w:val="24"/>
          <w:lang w:eastAsia="zh-CN"/>
        </w:rPr>
        <w:t>4.6.1 商品包装、快递包装政府采购需求标准（试行）</w:t>
      </w:r>
      <w:r>
        <w:rPr>
          <w:rFonts w:hint="eastAsia" w:asciiTheme="minorEastAsia" w:hAnsiTheme="minorEastAsia" w:eastAsiaTheme="minorEastAsia" w:cstheme="minorEastAsia"/>
          <w:spacing w:val="-12"/>
          <w:sz w:val="24"/>
          <w:szCs w:val="24"/>
          <w:lang w:eastAsia="zh-CN"/>
        </w:rPr>
        <w:t>为助力打好污染防治攻坚战， 推广使用绿色包装，根据财政部关于印发《商品包装政府采购需求标准（试行）》《快递包装政府采购需求</w:t>
      </w:r>
      <w:r>
        <w:rPr>
          <w:rFonts w:hint="eastAsia" w:asciiTheme="minorEastAsia" w:hAnsiTheme="minorEastAsia" w:eastAsiaTheme="minorEastAsia" w:cstheme="minorEastAsia"/>
          <w:spacing w:val="6"/>
          <w:sz w:val="24"/>
          <w:szCs w:val="24"/>
          <w:lang w:eastAsia="zh-CN"/>
        </w:rPr>
        <w:t xml:space="preserve"> </w:t>
      </w:r>
      <w:r>
        <w:rPr>
          <w:rFonts w:hint="eastAsia" w:asciiTheme="minorEastAsia" w:hAnsiTheme="minorEastAsia" w:eastAsiaTheme="minorEastAsia" w:cstheme="minorEastAsia"/>
          <w:spacing w:val="-3"/>
          <w:sz w:val="24"/>
          <w:szCs w:val="24"/>
          <w:lang w:eastAsia="zh-CN"/>
        </w:rPr>
        <w:t>标准（试行）》的通知（财办库〔2020〕1</w:t>
      </w:r>
      <w:r>
        <w:rPr>
          <w:rFonts w:hint="eastAsia" w:asciiTheme="minorEastAsia" w:hAnsiTheme="minorEastAsia" w:eastAsiaTheme="minorEastAsia" w:cstheme="minorEastAsia"/>
          <w:spacing w:val="-4"/>
          <w:sz w:val="24"/>
          <w:szCs w:val="24"/>
          <w:lang w:eastAsia="zh-CN"/>
        </w:rPr>
        <w:t>23 号</w:t>
      </w:r>
      <w:r>
        <w:rPr>
          <w:rFonts w:hint="eastAsia" w:asciiTheme="minorEastAsia" w:hAnsiTheme="minorEastAsia" w:eastAsiaTheme="minorEastAsia" w:cstheme="minorEastAsia"/>
          <w:spacing w:val="-28"/>
          <w:sz w:val="24"/>
          <w:szCs w:val="24"/>
          <w:lang w:eastAsia="zh-CN"/>
        </w:rPr>
        <w:t>），</w:t>
      </w:r>
      <w:r>
        <w:rPr>
          <w:rFonts w:hint="eastAsia" w:asciiTheme="minorEastAsia" w:hAnsiTheme="minorEastAsia" w:eastAsiaTheme="minorEastAsia" w:cstheme="minorEastAsia"/>
          <w:spacing w:val="-4"/>
          <w:sz w:val="24"/>
          <w:szCs w:val="24"/>
          <w:lang w:eastAsia="zh-CN"/>
        </w:rPr>
        <w:t>本项目如涉及商</w:t>
      </w:r>
      <w:r>
        <w:rPr>
          <w:rFonts w:hint="eastAsia" w:asciiTheme="minorEastAsia" w:hAnsiTheme="minorEastAsia" w:eastAsiaTheme="minorEastAsia" w:cstheme="minorEastAsia"/>
          <w:spacing w:val="-6"/>
          <w:sz w:val="24"/>
          <w:szCs w:val="24"/>
          <w:lang w:eastAsia="zh-CN"/>
        </w:rPr>
        <w:t>品包装和快递包装的，则其具体要求见第二章《采购需求》。</w:t>
      </w:r>
    </w:p>
    <w:p w14:paraId="561CB8F4">
      <w:pPr>
        <w:pStyle w:val="13"/>
        <w:spacing w:line="360" w:lineRule="auto"/>
        <w:ind w:firstLine="432" w:firstLineChars="200"/>
        <w:rPr>
          <w:rFonts w:asciiTheme="minorEastAsia" w:hAnsiTheme="minorEastAsia" w:eastAsiaTheme="minorEastAsia" w:cstheme="minorEastAsia"/>
          <w:spacing w:val="-12"/>
          <w:sz w:val="24"/>
          <w:szCs w:val="24"/>
          <w:lang w:eastAsia="zh-CN"/>
        </w:rPr>
      </w:pPr>
      <w:r>
        <w:rPr>
          <w:rFonts w:hint="eastAsia" w:asciiTheme="minorEastAsia" w:hAnsiTheme="minorEastAsia" w:eastAsiaTheme="minorEastAsia" w:cstheme="minorEastAsia"/>
          <w:spacing w:val="-12"/>
          <w:sz w:val="24"/>
          <w:szCs w:val="24"/>
          <w:lang w:eastAsia="zh-CN"/>
        </w:rPr>
        <w:t>4.6.2绿色数据中心政府采购需求标准（试行）</w:t>
      </w:r>
    </w:p>
    <w:p w14:paraId="78F02054">
      <w:pPr>
        <w:pStyle w:val="13"/>
        <w:spacing w:line="360" w:lineRule="auto"/>
        <w:ind w:firstLine="432" w:firstLineChars="200"/>
        <w:rPr>
          <w:rFonts w:asciiTheme="minorEastAsia" w:hAnsiTheme="minorEastAsia" w:eastAsiaTheme="minorEastAsia" w:cstheme="minorEastAsia"/>
          <w:spacing w:val="-12"/>
          <w:sz w:val="24"/>
          <w:szCs w:val="24"/>
          <w:lang w:eastAsia="zh-CN"/>
        </w:rPr>
      </w:pPr>
      <w:r>
        <w:rPr>
          <w:rFonts w:hint="eastAsia" w:asciiTheme="minorEastAsia" w:hAnsiTheme="minorEastAsia" w:eastAsiaTheme="minorEastAsia" w:cstheme="minorEastAsia"/>
          <w:spacing w:val="-12"/>
          <w:sz w:val="24"/>
          <w:szCs w:val="24"/>
          <w:lang w:eastAsia="zh-CN"/>
        </w:rPr>
        <w:t>为加快数据中心绿色转型， 根据财政部、生态环境部、工业和信息化部关于印发《绿色数据中心政府采购需求标准（试行）》的通知（财库〔2023〕7 号），本项目如涉及绿色数据中心，则具体要求见第二章《采购需求》。</w:t>
      </w:r>
    </w:p>
    <w:p w14:paraId="1B04EF84">
      <w:pPr>
        <w:pStyle w:val="13"/>
        <w:spacing w:line="360" w:lineRule="auto"/>
        <w:ind w:firstLine="474" w:firstLineChars="200"/>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pacing w:val="-2"/>
          <w:sz w:val="24"/>
          <w:szCs w:val="24"/>
          <w:lang w:eastAsia="zh-CN"/>
        </w:rPr>
        <w:t>5.采购费用</w:t>
      </w:r>
    </w:p>
    <w:p w14:paraId="51C8EF35">
      <w:pPr>
        <w:pStyle w:val="13"/>
        <w:spacing w:line="360" w:lineRule="auto"/>
        <w:ind w:firstLine="488" w:firstLineChars="2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2"/>
          <w:sz w:val="24"/>
          <w:szCs w:val="24"/>
          <w:lang w:eastAsia="zh-CN"/>
        </w:rPr>
        <w:t>供应商</w:t>
      </w:r>
      <w:r>
        <w:rPr>
          <w:rFonts w:hint="eastAsia" w:asciiTheme="minorEastAsia" w:hAnsiTheme="minorEastAsia" w:eastAsiaTheme="minorEastAsia" w:cstheme="minorEastAsia"/>
          <w:spacing w:val="-4"/>
          <w:sz w:val="24"/>
          <w:szCs w:val="24"/>
          <w:lang w:eastAsia="zh-CN"/>
        </w:rPr>
        <w:t>应自行承担所有与准备和参加本次采购有关的费用</w:t>
      </w:r>
      <w:r>
        <w:rPr>
          <w:rFonts w:hint="eastAsia" w:asciiTheme="minorEastAsia" w:hAnsiTheme="minorEastAsia" w:eastAsiaTheme="minorEastAsia" w:cstheme="minorEastAsia"/>
          <w:spacing w:val="-5"/>
          <w:sz w:val="24"/>
          <w:szCs w:val="24"/>
          <w:lang w:eastAsia="zh-CN"/>
        </w:rPr>
        <w:t>，无论磋商的结果如何，</w:t>
      </w:r>
      <w:r>
        <w:rPr>
          <w:rFonts w:hint="eastAsia" w:asciiTheme="minorEastAsia" w:hAnsiTheme="minorEastAsia" w:eastAsiaTheme="minorEastAsia" w:cstheme="minorEastAsia"/>
          <w:spacing w:val="-1"/>
          <w:sz w:val="24"/>
          <w:szCs w:val="24"/>
          <w:lang w:eastAsia="zh-CN"/>
        </w:rPr>
        <w:t>采购人或采购代理机构在任何情况下均无承担</w:t>
      </w:r>
      <w:r>
        <w:rPr>
          <w:rFonts w:hint="eastAsia" w:asciiTheme="minorEastAsia" w:hAnsiTheme="minorEastAsia" w:eastAsiaTheme="minorEastAsia" w:cstheme="minorEastAsia"/>
          <w:spacing w:val="-2"/>
          <w:sz w:val="24"/>
          <w:szCs w:val="24"/>
          <w:lang w:eastAsia="zh-CN"/>
        </w:rPr>
        <w:t>这些费用的义务和责任。</w:t>
      </w:r>
    </w:p>
    <w:p w14:paraId="2115F496">
      <w:pPr>
        <w:spacing w:line="360" w:lineRule="auto"/>
        <w:ind w:firstLine="567"/>
        <w:rPr>
          <w:rFonts w:asciiTheme="minorEastAsia" w:hAnsiTheme="minorEastAsia" w:cstheme="minorEastAsia"/>
          <w:b/>
          <w:bCs/>
          <w:spacing w:val="-2"/>
          <w:szCs w:val="24"/>
        </w:rPr>
      </w:pPr>
      <w:r>
        <w:rPr>
          <w:rFonts w:hint="eastAsia" w:asciiTheme="minorEastAsia" w:hAnsiTheme="minorEastAsia" w:cstheme="minorEastAsia"/>
          <w:b/>
          <w:bCs/>
          <w:spacing w:val="-2"/>
          <w:szCs w:val="24"/>
        </w:rPr>
        <w:t>6、采购范围及适用法律</w:t>
      </w:r>
    </w:p>
    <w:p w14:paraId="3F36552B">
      <w:pPr>
        <w:spacing w:line="360" w:lineRule="auto"/>
        <w:ind w:firstLine="567"/>
        <w:rPr>
          <w:rFonts w:asciiTheme="minorEastAsia" w:hAnsiTheme="minorEastAsia" w:cstheme="minorEastAsia"/>
          <w:spacing w:val="-2"/>
          <w:szCs w:val="24"/>
        </w:rPr>
      </w:pPr>
      <w:r>
        <w:rPr>
          <w:rFonts w:hint="eastAsia" w:asciiTheme="minorEastAsia" w:hAnsiTheme="minorEastAsia" w:cstheme="minorEastAsia"/>
          <w:spacing w:val="-2"/>
          <w:szCs w:val="24"/>
        </w:rPr>
        <w:t>6.1本次采购适用的法律、法规为《中华人民共和国政府采购法》《中华人民共和国政府采购法实施条例》《政府采购竞争性磋商采购方式管理暂行办法》《财政部关于竞争性磋商采购方式管理暂行办法有关问题的补充通知》《中华人民共和国民法典》以及其他相关政府采购法律法规。</w:t>
      </w:r>
    </w:p>
    <w:p w14:paraId="12368AAE">
      <w:pPr>
        <w:spacing w:line="360" w:lineRule="auto"/>
        <w:ind w:firstLine="567"/>
        <w:rPr>
          <w:rFonts w:asciiTheme="minorEastAsia" w:hAnsiTheme="minorEastAsia" w:cstheme="minorEastAsia"/>
          <w:spacing w:val="-2"/>
          <w:szCs w:val="24"/>
        </w:rPr>
      </w:pPr>
      <w:r>
        <w:rPr>
          <w:rFonts w:hint="eastAsia" w:asciiTheme="minorEastAsia" w:hAnsiTheme="minorEastAsia" w:cstheme="minorEastAsia"/>
          <w:spacing w:val="-2"/>
          <w:szCs w:val="24"/>
        </w:rPr>
        <w:t>6.2 “监督管理部门”是指</w:t>
      </w:r>
      <w:r>
        <w:rPr>
          <w:rFonts w:hint="eastAsia" w:asciiTheme="minorEastAsia" w:hAnsiTheme="minorEastAsia" w:cstheme="minorEastAsia"/>
          <w:spacing w:val="-2"/>
          <w:szCs w:val="24"/>
          <w:u w:val="single"/>
        </w:rPr>
        <w:t xml:space="preserve">  </w:t>
      </w:r>
      <w:r>
        <w:rPr>
          <w:rFonts w:hint="eastAsia" w:asciiTheme="minorEastAsia" w:hAnsiTheme="minorEastAsia" w:cstheme="minorEastAsia"/>
          <w:spacing w:val="-2"/>
          <w:szCs w:val="24"/>
          <w:u w:val="single"/>
          <w:lang w:val="en-US" w:eastAsia="zh-CN"/>
        </w:rPr>
        <w:t>唐河县财政局</w:t>
      </w:r>
      <w:r>
        <w:rPr>
          <w:rFonts w:hint="eastAsia" w:asciiTheme="minorEastAsia" w:hAnsiTheme="minorEastAsia" w:cstheme="minorEastAsia"/>
          <w:spacing w:val="-2"/>
          <w:szCs w:val="24"/>
          <w:u w:val="single"/>
        </w:rPr>
        <w:t xml:space="preserve"> </w:t>
      </w:r>
      <w:r>
        <w:rPr>
          <w:rFonts w:hint="eastAsia" w:asciiTheme="minorEastAsia" w:hAnsiTheme="minorEastAsia" w:cstheme="minorEastAsia"/>
          <w:spacing w:val="-2"/>
          <w:szCs w:val="24"/>
        </w:rPr>
        <w:t>。</w:t>
      </w:r>
    </w:p>
    <w:p w14:paraId="1C86AB62">
      <w:pPr>
        <w:spacing w:line="360" w:lineRule="auto"/>
        <w:ind w:firstLine="567"/>
        <w:rPr>
          <w:rFonts w:asciiTheme="minorEastAsia" w:hAnsiTheme="minorEastAsia" w:cstheme="minorEastAsia"/>
          <w:spacing w:val="-2"/>
          <w:szCs w:val="24"/>
        </w:rPr>
      </w:pPr>
      <w:r>
        <w:rPr>
          <w:rFonts w:hint="eastAsia" w:asciiTheme="minorEastAsia" w:hAnsiTheme="minorEastAsia" w:cstheme="minorEastAsia"/>
          <w:spacing w:val="-2"/>
          <w:szCs w:val="24"/>
        </w:rPr>
        <w:t>6.3“货物”指供应商按采购文件规定，须向采购人提供的与本次采购相关的</w:t>
      </w:r>
      <w:r>
        <w:rPr>
          <w:rFonts w:hint="eastAsia" w:asciiTheme="minorEastAsia" w:hAnsiTheme="minorEastAsia" w:cstheme="minorEastAsia"/>
          <w:spacing w:val="-2"/>
          <w:szCs w:val="24"/>
          <w:u w:val="single"/>
          <w:lang w:val="en-US" w:eastAsia="zh-CN"/>
        </w:rPr>
        <w:t>/</w:t>
      </w:r>
      <w:r>
        <w:rPr>
          <w:rFonts w:hint="eastAsia" w:asciiTheme="minorEastAsia" w:hAnsiTheme="minorEastAsia" w:cstheme="minorEastAsia"/>
          <w:spacing w:val="-2"/>
          <w:szCs w:val="24"/>
          <w:u w:val="single"/>
        </w:rPr>
        <w:t xml:space="preserve"> </w:t>
      </w:r>
      <w:r>
        <w:rPr>
          <w:rFonts w:hint="eastAsia" w:asciiTheme="minorEastAsia" w:hAnsiTheme="minorEastAsia" w:cstheme="minorEastAsia"/>
          <w:spacing w:val="-2"/>
          <w:szCs w:val="24"/>
        </w:rPr>
        <w:t xml:space="preserve">  </w:t>
      </w:r>
    </w:p>
    <w:p w14:paraId="357B6670">
      <w:pPr>
        <w:spacing w:line="360" w:lineRule="auto"/>
        <w:ind w:firstLine="567"/>
        <w:rPr>
          <w:rFonts w:asciiTheme="minorEastAsia" w:hAnsiTheme="minorEastAsia" w:cstheme="minorEastAsia"/>
          <w:spacing w:val="-2"/>
          <w:szCs w:val="24"/>
        </w:rPr>
      </w:pPr>
      <w:r>
        <w:rPr>
          <w:rFonts w:hint="eastAsia" w:asciiTheme="minorEastAsia" w:hAnsiTheme="minorEastAsia" w:cstheme="minorEastAsia"/>
          <w:spacing w:val="-2"/>
          <w:szCs w:val="24"/>
        </w:rPr>
        <w:t>6.4“服务”指采购文件规定供应商应承担的</w:t>
      </w:r>
      <w:r>
        <w:rPr>
          <w:rFonts w:hint="eastAsia" w:asciiTheme="minorEastAsia" w:hAnsiTheme="minorEastAsia" w:cstheme="minorEastAsia"/>
          <w:spacing w:val="-2"/>
          <w:szCs w:val="24"/>
          <w:u w:val="single"/>
        </w:rPr>
        <w:t xml:space="preserve"> </w:t>
      </w:r>
      <w:r>
        <w:rPr>
          <w:rFonts w:hint="eastAsia" w:asciiTheme="minorEastAsia" w:hAnsiTheme="minorEastAsia" w:cstheme="minorEastAsia"/>
          <w:spacing w:val="-2"/>
          <w:szCs w:val="24"/>
          <w:u w:val="single"/>
          <w:lang w:val="en-US" w:eastAsia="zh-CN"/>
        </w:rPr>
        <w:t>采购要求内的所有</w:t>
      </w:r>
      <w:r>
        <w:rPr>
          <w:rFonts w:hint="eastAsia" w:asciiTheme="minorEastAsia" w:hAnsiTheme="minorEastAsia" w:cstheme="minorEastAsia"/>
          <w:spacing w:val="-2"/>
          <w:szCs w:val="24"/>
          <w:u w:val="single"/>
        </w:rPr>
        <w:t xml:space="preserve"> </w:t>
      </w:r>
      <w:r>
        <w:rPr>
          <w:rFonts w:hint="eastAsia" w:asciiTheme="minorEastAsia" w:hAnsiTheme="minorEastAsia" w:cstheme="minorEastAsia"/>
          <w:spacing w:val="-2"/>
          <w:szCs w:val="24"/>
        </w:rPr>
        <w:t>服务。</w:t>
      </w:r>
    </w:p>
    <w:p w14:paraId="0078CC95">
      <w:pPr>
        <w:pStyle w:val="13"/>
        <w:spacing w:before="91" w:line="221" w:lineRule="auto"/>
        <w:ind w:left="3217"/>
        <w:rPr>
          <w:sz w:val="28"/>
          <w:szCs w:val="28"/>
          <w:lang w:eastAsia="zh-CN"/>
        </w:rPr>
      </w:pPr>
      <w:r>
        <w:rPr>
          <w:spacing w:val="-1"/>
          <w:sz w:val="28"/>
          <w:szCs w:val="28"/>
          <w:lang w:eastAsia="zh-CN"/>
          <w14:textOutline w14:w="1803" w14:cap="flat" w14:cmpd="sng" w14:algn="ctr">
            <w14:solidFill>
              <w14:srgbClr w14:val="000000"/>
            </w14:solidFill>
            <w14:prstDash w14:val="solid"/>
            <w14:miter w14:val="0"/>
          </w14:textOutline>
        </w:rPr>
        <w:t>二</w:t>
      </w:r>
      <w:r>
        <w:rPr>
          <w:rFonts w:hint="eastAsia"/>
          <w:spacing w:val="-1"/>
          <w:sz w:val="28"/>
          <w:szCs w:val="28"/>
          <w:lang w:eastAsia="zh-CN"/>
        </w:rPr>
        <w:t>、</w:t>
      </w:r>
      <w:r>
        <w:rPr>
          <w:spacing w:val="-1"/>
          <w:sz w:val="28"/>
          <w:szCs w:val="28"/>
          <w:lang w:eastAsia="zh-CN"/>
          <w14:textOutline w14:w="1803" w14:cap="flat" w14:cmpd="sng" w14:algn="ctr">
            <w14:solidFill>
              <w14:srgbClr w14:val="000000"/>
            </w14:solidFill>
            <w14:prstDash w14:val="solid"/>
            <w14:miter w14:val="0"/>
          </w14:textOutline>
        </w:rPr>
        <w:t>竞争性磋商文件</w:t>
      </w:r>
    </w:p>
    <w:p w14:paraId="1181B700">
      <w:pPr>
        <w:pStyle w:val="13"/>
        <w:spacing w:line="360" w:lineRule="auto"/>
        <w:ind w:firstLine="480" w:firstLineChars="200"/>
        <w:rPr>
          <w:sz w:val="24"/>
          <w:szCs w:val="24"/>
          <w:lang w:eastAsia="zh-CN"/>
        </w:rPr>
      </w:pPr>
    </w:p>
    <w:p w14:paraId="54B8FC11">
      <w:pPr>
        <w:pStyle w:val="13"/>
        <w:spacing w:line="360" w:lineRule="auto"/>
        <w:ind w:firstLine="482" w:firstLineChars="200"/>
        <w:rPr>
          <w:b/>
          <w:bCs/>
          <w:sz w:val="24"/>
          <w:szCs w:val="24"/>
          <w:lang w:eastAsia="zh-CN"/>
        </w:rPr>
      </w:pPr>
      <w:r>
        <w:rPr>
          <w:rFonts w:hint="eastAsia"/>
          <w:b/>
          <w:bCs/>
          <w:sz w:val="24"/>
          <w:szCs w:val="24"/>
          <w:lang w:eastAsia="zh-CN"/>
        </w:rPr>
        <w:t>7.</w:t>
      </w:r>
      <w:r>
        <w:rPr>
          <w:b/>
          <w:bCs/>
          <w:sz w:val="24"/>
          <w:szCs w:val="24"/>
          <w:lang w:eastAsia="zh-CN"/>
        </w:rPr>
        <w:t>竞争性磋商文件构成</w:t>
      </w:r>
    </w:p>
    <w:p w14:paraId="62CEB285">
      <w:pPr>
        <w:pStyle w:val="13"/>
        <w:spacing w:line="360" w:lineRule="auto"/>
        <w:ind w:firstLine="476" w:firstLineChars="200"/>
        <w:rPr>
          <w:spacing w:val="-1"/>
          <w:sz w:val="24"/>
          <w:szCs w:val="24"/>
          <w:lang w:eastAsia="zh-CN"/>
        </w:rPr>
      </w:pPr>
      <w:r>
        <w:rPr>
          <w:rFonts w:hint="eastAsia"/>
          <w:spacing w:val="-1"/>
          <w:sz w:val="24"/>
          <w:szCs w:val="24"/>
          <w:lang w:eastAsia="zh-CN"/>
        </w:rPr>
        <w:t>7</w:t>
      </w:r>
      <w:r>
        <w:rPr>
          <w:spacing w:val="-1"/>
          <w:sz w:val="24"/>
          <w:szCs w:val="24"/>
          <w:lang w:eastAsia="zh-CN"/>
        </w:rPr>
        <w:t>.1</w:t>
      </w:r>
      <w:r>
        <w:rPr>
          <w:rFonts w:hint="eastAsia"/>
          <w:spacing w:val="-1"/>
          <w:sz w:val="24"/>
          <w:szCs w:val="24"/>
          <w:lang w:eastAsia="zh-CN"/>
        </w:rPr>
        <w:t xml:space="preserve"> </w:t>
      </w:r>
      <w:r>
        <w:rPr>
          <w:spacing w:val="-1"/>
          <w:sz w:val="24"/>
          <w:szCs w:val="24"/>
          <w:lang w:eastAsia="zh-CN"/>
        </w:rPr>
        <w:t>竞争性磋商文件包括以下部分：</w:t>
      </w:r>
    </w:p>
    <w:p w14:paraId="5855F1D4">
      <w:pPr>
        <w:pStyle w:val="14"/>
        <w:bidi w:val="0"/>
        <w:rPr>
          <w:lang w:eastAsia="zh-CN"/>
        </w:rPr>
      </w:pPr>
      <w:r>
        <w:fldChar w:fldCharType="begin"/>
      </w:r>
      <w:r>
        <w:instrText xml:space="preserve"> HYPERLINK \l "bookmark1" </w:instrText>
      </w:r>
      <w:r>
        <w:fldChar w:fldCharType="separate"/>
      </w:r>
      <w:r>
        <w:rPr>
          <w:lang w:eastAsia="zh-CN"/>
        </w:rPr>
        <w:t xml:space="preserve">第一章   </w:t>
      </w:r>
      <w:r>
        <w:rPr>
          <w:rFonts w:hint="eastAsia"/>
          <w:lang w:eastAsia="zh-CN"/>
        </w:rPr>
        <w:t>竞争性磋商公告</w:t>
      </w:r>
      <w:r>
        <w:rPr>
          <w:lang w:eastAsia="zh-CN"/>
        </w:rPr>
        <w:t xml:space="preserve"> </w:t>
      </w:r>
      <w:r>
        <w:rPr>
          <w:lang w:eastAsia="zh-CN"/>
        </w:rPr>
        <w:fldChar w:fldCharType="end"/>
      </w:r>
    </w:p>
    <w:p w14:paraId="62DB64AF">
      <w:pPr>
        <w:pStyle w:val="14"/>
        <w:bidi w:val="0"/>
        <w:rPr>
          <w:lang w:eastAsia="zh-CN"/>
        </w:rPr>
      </w:pPr>
      <w:r>
        <w:rPr>
          <w:lang w:eastAsia="zh-CN"/>
        </w:rPr>
        <w:t>第二章   采购需求</w:t>
      </w:r>
    </w:p>
    <w:p w14:paraId="2575CADB">
      <w:pPr>
        <w:pStyle w:val="14"/>
        <w:bidi w:val="0"/>
        <w:rPr>
          <w:lang w:eastAsia="zh-CN"/>
        </w:rPr>
      </w:pPr>
      <w:r>
        <w:rPr>
          <w:lang w:eastAsia="zh-CN"/>
        </w:rPr>
        <w:t xml:space="preserve">第三章   供应商须知 </w:t>
      </w:r>
    </w:p>
    <w:p w14:paraId="77ABA5C0">
      <w:pPr>
        <w:pStyle w:val="14"/>
        <w:bidi w:val="0"/>
        <w:rPr>
          <w:lang w:eastAsia="zh-CN"/>
        </w:rPr>
      </w:pPr>
      <w:r>
        <w:rPr>
          <w:lang w:eastAsia="zh-CN"/>
        </w:rPr>
        <w:t xml:space="preserve">第四章   </w:t>
      </w:r>
      <w:r>
        <w:rPr>
          <w:rFonts w:hint="eastAsia"/>
          <w:lang w:eastAsia="zh-CN"/>
        </w:rPr>
        <w:t>评审程序、</w:t>
      </w:r>
      <w:r>
        <w:rPr>
          <w:lang w:eastAsia="zh-CN"/>
        </w:rPr>
        <w:t xml:space="preserve">评审方法和评审标准 </w:t>
      </w:r>
    </w:p>
    <w:p w14:paraId="5D713110">
      <w:pPr>
        <w:pStyle w:val="14"/>
        <w:bidi w:val="0"/>
        <w:rPr>
          <w:lang w:eastAsia="zh-CN"/>
        </w:rPr>
      </w:pPr>
      <w:r>
        <w:rPr>
          <w:lang w:eastAsia="zh-CN"/>
        </w:rPr>
        <w:t xml:space="preserve">第五章   </w:t>
      </w:r>
      <w:r>
        <w:rPr>
          <w:rFonts w:hint="eastAsia"/>
          <w:lang w:eastAsia="zh-CN"/>
        </w:rPr>
        <w:t>政府采购合同（草稿）</w:t>
      </w:r>
    </w:p>
    <w:p w14:paraId="432EFBC9">
      <w:pPr>
        <w:pStyle w:val="14"/>
        <w:bidi w:val="0"/>
        <w:rPr>
          <w:lang w:eastAsia="zh-CN"/>
        </w:rPr>
      </w:pPr>
      <w:r>
        <w:rPr>
          <w:lang w:eastAsia="zh-CN"/>
        </w:rPr>
        <w:t>第六章   响应文件格式</w:t>
      </w:r>
    </w:p>
    <w:p w14:paraId="4D85AB85">
      <w:pPr>
        <w:pStyle w:val="13"/>
        <w:spacing w:line="360" w:lineRule="auto"/>
        <w:ind w:firstLine="476" w:firstLineChars="200"/>
        <w:rPr>
          <w:spacing w:val="-1"/>
          <w:sz w:val="24"/>
          <w:szCs w:val="24"/>
          <w:lang w:eastAsia="zh-CN"/>
        </w:rPr>
      </w:pPr>
      <w:r>
        <w:rPr>
          <w:rFonts w:hint="eastAsia"/>
          <w:spacing w:val="-1"/>
          <w:sz w:val="24"/>
          <w:szCs w:val="24"/>
          <w:lang w:eastAsia="zh-CN"/>
        </w:rPr>
        <w:t>7.2</w:t>
      </w:r>
      <w:r>
        <w:rPr>
          <w:spacing w:val="-1"/>
          <w:sz w:val="24"/>
          <w:szCs w:val="24"/>
          <w:lang w:eastAsia="zh-CN"/>
        </w:rPr>
        <w:t xml:space="preserve"> </w:t>
      </w:r>
      <w:r>
        <w:rPr>
          <w:rFonts w:hint="eastAsia"/>
          <w:spacing w:val="-1"/>
          <w:sz w:val="24"/>
          <w:szCs w:val="24"/>
          <w:lang w:eastAsia="zh-CN"/>
        </w:rPr>
        <w:t>供应商应认真阅读竞争性磋商文件的全部内容。供应商应按照竞争性磋商文件要求提交响应文件并保证所提供的全部资料的真实性，并对竞争性磋商文件做出实质性响应，否则响应无效。</w:t>
      </w:r>
    </w:p>
    <w:p w14:paraId="5B0F0E78">
      <w:pPr>
        <w:pStyle w:val="13"/>
        <w:spacing w:line="360" w:lineRule="auto"/>
        <w:ind w:firstLine="478" w:firstLineChars="200"/>
        <w:rPr>
          <w:b/>
          <w:bCs/>
          <w:spacing w:val="-1"/>
          <w:sz w:val="24"/>
          <w:szCs w:val="24"/>
          <w:lang w:eastAsia="zh-CN"/>
        </w:rPr>
      </w:pPr>
      <w:r>
        <w:rPr>
          <w:rFonts w:hint="eastAsia"/>
          <w:b/>
          <w:bCs/>
          <w:spacing w:val="-1"/>
          <w:sz w:val="24"/>
          <w:szCs w:val="24"/>
          <w:lang w:eastAsia="zh-CN"/>
        </w:rPr>
        <w:t>8.对竞争性磋商文件的澄清或修改</w:t>
      </w:r>
    </w:p>
    <w:p w14:paraId="2281EFDF">
      <w:pPr>
        <w:pStyle w:val="13"/>
        <w:spacing w:line="360" w:lineRule="auto"/>
        <w:ind w:firstLine="476" w:firstLineChars="200"/>
        <w:rPr>
          <w:spacing w:val="-1"/>
          <w:sz w:val="24"/>
          <w:szCs w:val="24"/>
          <w:lang w:eastAsia="zh-CN"/>
        </w:rPr>
      </w:pPr>
      <w:r>
        <w:rPr>
          <w:rFonts w:hint="eastAsia"/>
          <w:spacing w:val="-1"/>
          <w:sz w:val="24"/>
          <w:szCs w:val="24"/>
          <w:lang w:eastAsia="zh-CN"/>
        </w:rPr>
        <w:t>8.1</w:t>
      </w:r>
      <w:r>
        <w:rPr>
          <w:rFonts w:hint="eastAsia" w:asciiTheme="minorEastAsia" w:hAnsiTheme="minorEastAsia" w:eastAsiaTheme="minorEastAsia" w:cstheme="minorEastAsia"/>
          <w:spacing w:val="-8"/>
          <w:sz w:val="24"/>
          <w:szCs w:val="24"/>
          <w:lang w:eastAsia="zh-CN"/>
        </w:rPr>
        <w:t>采购人或采购代理机构</w:t>
      </w:r>
      <w:r>
        <w:rPr>
          <w:rFonts w:hint="eastAsia"/>
          <w:spacing w:val="-1"/>
          <w:sz w:val="24"/>
          <w:szCs w:val="24"/>
          <w:lang w:eastAsia="zh-CN"/>
        </w:rPr>
        <w:t>可用补充文件的方式修正竞争性磋商文件，补充文件内容以公告的形式告知所有竞争性磋商文件收受人，该补充文件将成为竞争性磋商文件的组成部分，并替代所修正的部分。</w:t>
      </w:r>
    </w:p>
    <w:p w14:paraId="0AB7DE78">
      <w:pPr>
        <w:pStyle w:val="13"/>
        <w:spacing w:line="360" w:lineRule="auto"/>
        <w:ind w:firstLine="476" w:firstLineChars="200"/>
        <w:rPr>
          <w:spacing w:val="-1"/>
          <w:sz w:val="24"/>
          <w:szCs w:val="24"/>
          <w:lang w:eastAsia="zh-CN"/>
        </w:rPr>
      </w:pPr>
      <w:r>
        <w:rPr>
          <w:rFonts w:hint="eastAsia"/>
          <w:spacing w:val="-1"/>
          <w:sz w:val="24"/>
          <w:szCs w:val="24"/>
          <w:lang w:eastAsia="zh-CN"/>
        </w:rPr>
        <w:t>8.2</w:t>
      </w:r>
      <w:r>
        <w:rPr>
          <w:rFonts w:hint="eastAsia" w:asciiTheme="minorEastAsia" w:hAnsiTheme="minorEastAsia" w:eastAsiaTheme="minorEastAsia" w:cstheme="minorEastAsia"/>
          <w:spacing w:val="-8"/>
          <w:sz w:val="24"/>
          <w:szCs w:val="24"/>
          <w:lang w:eastAsia="zh-CN"/>
        </w:rPr>
        <w:t>采购人或采购代理机构</w:t>
      </w:r>
      <w:r>
        <w:rPr>
          <w:rFonts w:hint="eastAsia"/>
          <w:spacing w:val="-1"/>
          <w:sz w:val="24"/>
          <w:szCs w:val="24"/>
          <w:lang w:eastAsia="zh-CN"/>
        </w:rPr>
        <w:t>可以酌情延长上传截止时间，并将此变更以公告形式通知所有竞争性磋商文件收受人。</w:t>
      </w:r>
    </w:p>
    <w:p w14:paraId="71BA0F86">
      <w:pPr>
        <w:pStyle w:val="13"/>
        <w:spacing w:line="360" w:lineRule="auto"/>
        <w:ind w:firstLine="476" w:firstLineChars="200"/>
        <w:rPr>
          <w:spacing w:val="-1"/>
          <w:sz w:val="24"/>
          <w:szCs w:val="24"/>
          <w:lang w:eastAsia="zh-CN"/>
        </w:rPr>
      </w:pPr>
      <w:r>
        <w:rPr>
          <w:rFonts w:hint="eastAsia"/>
          <w:spacing w:val="-1"/>
          <w:sz w:val="24"/>
          <w:szCs w:val="24"/>
          <w:lang w:eastAsia="zh-CN"/>
        </w:rPr>
        <w:t>8.3澄清或者修改的内容为竞争性磋商文件的组成部分，并对所有获取竞争性磋商文件的潜在供应商具有约束力。澄清或者修改的内容可能影响响应文件编制的，将在提交首次响应文件截止之日5日前，以书面形式</w:t>
      </w:r>
      <w:r>
        <w:rPr>
          <w:rFonts w:hint="eastAsia" w:asciiTheme="minorEastAsia" w:hAnsiTheme="minorEastAsia" w:eastAsiaTheme="minorEastAsia" w:cstheme="minorEastAsia"/>
          <w:spacing w:val="-8"/>
          <w:sz w:val="24"/>
          <w:szCs w:val="24"/>
          <w:lang w:eastAsia="zh-CN"/>
        </w:rPr>
        <w:t>（必须在原公告发布媒体上发布公告）</w:t>
      </w:r>
      <w:r>
        <w:rPr>
          <w:rFonts w:hint="eastAsia"/>
          <w:spacing w:val="-1"/>
          <w:sz w:val="24"/>
          <w:szCs w:val="24"/>
          <w:lang w:eastAsia="zh-CN"/>
        </w:rPr>
        <w:t>通知所有获取磋商文件的供应商；不足5日的，将顺延上传响应文件截止时间。</w:t>
      </w:r>
    </w:p>
    <w:p w14:paraId="40734DE5">
      <w:pPr>
        <w:pStyle w:val="13"/>
        <w:spacing w:line="360" w:lineRule="auto"/>
        <w:ind w:firstLine="478" w:firstLineChars="200"/>
        <w:rPr>
          <w:b/>
          <w:bCs/>
          <w:spacing w:val="-1"/>
          <w:sz w:val="24"/>
          <w:szCs w:val="24"/>
          <w:lang w:eastAsia="zh-CN"/>
        </w:rPr>
      </w:pPr>
      <w:r>
        <w:rPr>
          <w:rFonts w:hint="eastAsia"/>
          <w:b/>
          <w:bCs/>
          <w:spacing w:val="-1"/>
          <w:sz w:val="24"/>
          <w:szCs w:val="24"/>
          <w:lang w:eastAsia="zh-CN"/>
        </w:rPr>
        <w:t>8.4政府采购项目实行网上受理，开标前所有信息保密。因此，</w:t>
      </w:r>
      <w:r>
        <w:rPr>
          <w:rFonts w:hint="eastAsia" w:asciiTheme="minorEastAsia" w:hAnsiTheme="minorEastAsia" w:eastAsiaTheme="minorEastAsia" w:cstheme="minorEastAsia"/>
          <w:b/>
          <w:bCs/>
          <w:spacing w:val="-8"/>
          <w:sz w:val="24"/>
          <w:szCs w:val="24"/>
          <w:lang w:eastAsia="zh-CN"/>
        </w:rPr>
        <w:t>采购人或采购代理机构</w:t>
      </w:r>
      <w:r>
        <w:rPr>
          <w:rFonts w:hint="eastAsia"/>
          <w:b/>
          <w:bCs/>
          <w:spacing w:val="-1"/>
          <w:sz w:val="24"/>
          <w:szCs w:val="24"/>
          <w:lang w:eastAsia="zh-CN"/>
        </w:rPr>
        <w:t>发布的一切公告信息（包括采购公告、变更公告、澄清公告等）均在“河南省政府采购网”“唐河县公共资源交易中心网”等媒体发布，请潜在供应商随时查询有关公告信息。若因潜在供应商没有及时查看到公告信息而造成的失误，责任自负。</w:t>
      </w:r>
    </w:p>
    <w:p w14:paraId="2D42665D">
      <w:pPr>
        <w:pStyle w:val="13"/>
        <w:spacing w:line="360" w:lineRule="auto"/>
        <w:ind w:firstLine="450" w:firstLineChars="200"/>
        <w:rPr>
          <w:rFonts w:asciiTheme="minorEastAsia" w:hAnsiTheme="minorEastAsia" w:eastAsiaTheme="minorEastAsia" w:cstheme="minorEastAsia"/>
          <w:b/>
          <w:bCs/>
          <w:spacing w:val="-8"/>
          <w:sz w:val="24"/>
          <w:szCs w:val="24"/>
          <w:lang w:eastAsia="zh-CN"/>
        </w:rPr>
      </w:pPr>
      <w:r>
        <w:rPr>
          <w:rFonts w:hint="eastAsia" w:asciiTheme="minorEastAsia" w:hAnsiTheme="minorEastAsia" w:eastAsiaTheme="minorEastAsia" w:cstheme="minorEastAsia"/>
          <w:b/>
          <w:bCs/>
          <w:spacing w:val="-8"/>
          <w:sz w:val="24"/>
          <w:szCs w:val="24"/>
          <w:lang w:eastAsia="zh-CN"/>
        </w:rPr>
        <w:t>8.5供应商应关注是否有发布最新的澄清更正公告和更正的最新磋商文件（电子答疑文件），如有则需下载最新的磋商文件，并在此基础上制作最新的响应文件并上传。</w:t>
      </w:r>
    </w:p>
    <w:p w14:paraId="350A51A4">
      <w:pPr>
        <w:pStyle w:val="13"/>
        <w:spacing w:before="91" w:line="221" w:lineRule="auto"/>
        <w:ind w:left="3213"/>
        <w:rPr>
          <w:sz w:val="28"/>
          <w:szCs w:val="28"/>
          <w:lang w:eastAsia="zh-CN"/>
        </w:rPr>
      </w:pPr>
      <w:r>
        <w:rPr>
          <w:spacing w:val="-4"/>
          <w:sz w:val="28"/>
          <w:szCs w:val="28"/>
          <w:lang w:eastAsia="zh-CN"/>
          <w14:textOutline w14:w="1803" w14:cap="flat" w14:cmpd="sng" w14:algn="ctr">
            <w14:solidFill>
              <w14:srgbClr w14:val="000000"/>
            </w14:solidFill>
            <w14:prstDash w14:val="solid"/>
            <w14:miter w14:val="0"/>
          </w14:textOutline>
        </w:rPr>
        <w:t>三</w:t>
      </w:r>
      <w:r>
        <w:rPr>
          <w:rFonts w:hint="eastAsia"/>
          <w:spacing w:val="10"/>
          <w:sz w:val="28"/>
          <w:szCs w:val="28"/>
          <w:lang w:eastAsia="zh-CN"/>
        </w:rPr>
        <w:t>、</w:t>
      </w:r>
      <w:r>
        <w:rPr>
          <w:spacing w:val="-4"/>
          <w:sz w:val="28"/>
          <w:szCs w:val="28"/>
          <w:lang w:eastAsia="zh-CN"/>
          <w14:textOutline w14:w="1803" w14:cap="flat" w14:cmpd="sng" w14:algn="ctr">
            <w14:solidFill>
              <w14:srgbClr w14:val="000000"/>
            </w14:solidFill>
            <w14:prstDash w14:val="solid"/>
            <w14:miter w14:val="0"/>
          </w14:textOutline>
        </w:rPr>
        <w:t>响应文件的编制</w:t>
      </w:r>
    </w:p>
    <w:p w14:paraId="01D918C7">
      <w:pPr>
        <w:pStyle w:val="13"/>
        <w:spacing w:before="204" w:line="220" w:lineRule="auto"/>
        <w:ind w:left="16"/>
        <w:rPr>
          <w:rFonts w:ascii="Arial" w:hAnsi="Arial" w:cs="Arial"/>
          <w:sz w:val="24"/>
          <w:szCs w:val="24"/>
          <w:lang w:eastAsia="zh-CN"/>
        </w:rPr>
      </w:pPr>
    </w:p>
    <w:p w14:paraId="45F1F970">
      <w:pPr>
        <w:pStyle w:val="13"/>
        <w:spacing w:line="360" w:lineRule="auto"/>
        <w:ind w:firstLine="478" w:firstLineChars="200"/>
        <w:rPr>
          <w:spacing w:val="-1"/>
          <w:sz w:val="24"/>
          <w:szCs w:val="24"/>
          <w:lang w:eastAsia="zh-CN"/>
        </w:rPr>
      </w:pPr>
      <w:r>
        <w:rPr>
          <w:rFonts w:hint="eastAsia"/>
          <w:b/>
          <w:bCs/>
          <w:spacing w:val="-1"/>
          <w:sz w:val="24"/>
          <w:szCs w:val="24"/>
          <w:lang w:eastAsia="zh-CN"/>
        </w:rPr>
        <w:t>9. 响应范围、竞争性磋商文件中计量单位的使用及磋商语言</w:t>
      </w:r>
    </w:p>
    <w:p w14:paraId="243B141F">
      <w:pPr>
        <w:pStyle w:val="13"/>
        <w:spacing w:line="360" w:lineRule="auto"/>
        <w:ind w:firstLine="476" w:firstLineChars="200"/>
        <w:rPr>
          <w:spacing w:val="-1"/>
          <w:sz w:val="24"/>
          <w:szCs w:val="24"/>
          <w:lang w:eastAsia="zh-CN"/>
        </w:rPr>
      </w:pPr>
      <w:r>
        <w:rPr>
          <w:rFonts w:hint="eastAsia"/>
          <w:spacing w:val="-1"/>
          <w:sz w:val="24"/>
          <w:szCs w:val="24"/>
          <w:lang w:eastAsia="zh-CN"/>
        </w:rPr>
        <w:t>9.1本项目如划分采购包，供应商可以对本项目的其中一个采购包进行响应，也可同时对多个采购包进行响应。供应商应当对所参与采购包对应第二章《采购需求》所列的全部内容进行响应，不得将一个采购包中的内容拆分响应，否则其对该采购包的响应将被认定为无效响应。</w:t>
      </w:r>
    </w:p>
    <w:p w14:paraId="1635FC8A">
      <w:pPr>
        <w:pStyle w:val="13"/>
        <w:spacing w:line="360" w:lineRule="auto"/>
        <w:ind w:firstLine="476" w:firstLineChars="200"/>
        <w:rPr>
          <w:spacing w:val="-1"/>
          <w:sz w:val="24"/>
          <w:szCs w:val="24"/>
          <w:lang w:eastAsia="zh-CN"/>
        </w:rPr>
      </w:pPr>
      <w:r>
        <w:rPr>
          <w:rFonts w:hint="eastAsia"/>
          <w:spacing w:val="-1"/>
          <w:sz w:val="24"/>
          <w:szCs w:val="24"/>
          <w:lang w:eastAsia="zh-CN"/>
        </w:rPr>
        <w:t>9.2除竞争性磋商文件有特殊要求外，本项目磋商所使用的计量单位，应采用中华人民共和国法定计量单位。</w:t>
      </w:r>
    </w:p>
    <w:p w14:paraId="3B4223AE">
      <w:pPr>
        <w:pStyle w:val="13"/>
        <w:spacing w:line="360" w:lineRule="auto"/>
        <w:ind w:firstLine="476" w:firstLineChars="200"/>
        <w:rPr>
          <w:spacing w:val="-1"/>
          <w:sz w:val="24"/>
          <w:szCs w:val="24"/>
          <w:lang w:eastAsia="zh-CN"/>
        </w:rPr>
      </w:pPr>
      <w:r>
        <w:rPr>
          <w:rFonts w:hint="eastAsia"/>
          <w:spacing w:val="-1"/>
          <w:sz w:val="24"/>
          <w:szCs w:val="24"/>
          <w:lang w:eastAsia="zh-CN"/>
        </w:rPr>
        <w:t>9.3除专用术语外，响应文件及来往函电均应使用中文书写。必要时专用术语应附有中文解释。供应商提交的支持资料和已印制的文献可以用外文，但相应内容应附有中文翻译本，在解释响应文件时以中文翻译本为准。未附中文翻译本或翻译本中文内容明显与外文内容不一致的，其不利后果由供应商自行承担。</w:t>
      </w:r>
    </w:p>
    <w:p w14:paraId="5DF033B9">
      <w:pPr>
        <w:pStyle w:val="13"/>
        <w:spacing w:line="360" w:lineRule="auto"/>
        <w:ind w:firstLine="478" w:firstLineChars="200"/>
        <w:rPr>
          <w:spacing w:val="-1"/>
          <w:sz w:val="24"/>
          <w:szCs w:val="24"/>
          <w:lang w:eastAsia="zh-CN"/>
        </w:rPr>
      </w:pPr>
      <w:r>
        <w:rPr>
          <w:rFonts w:hint="eastAsia"/>
          <w:b/>
          <w:bCs/>
          <w:spacing w:val="-1"/>
          <w:sz w:val="24"/>
          <w:szCs w:val="24"/>
          <w:lang w:eastAsia="zh-CN"/>
        </w:rPr>
        <w:t>10.响应文件构成</w:t>
      </w:r>
    </w:p>
    <w:p w14:paraId="65B384D3">
      <w:pPr>
        <w:pStyle w:val="13"/>
        <w:spacing w:line="360" w:lineRule="auto"/>
        <w:ind w:firstLine="476" w:firstLineChars="200"/>
        <w:rPr>
          <w:spacing w:val="-1"/>
          <w:sz w:val="24"/>
          <w:szCs w:val="24"/>
          <w:lang w:eastAsia="zh-CN"/>
        </w:rPr>
      </w:pPr>
      <w:r>
        <w:rPr>
          <w:rFonts w:hint="eastAsia"/>
          <w:spacing w:val="-1"/>
          <w:sz w:val="24"/>
          <w:szCs w:val="24"/>
          <w:lang w:eastAsia="zh-CN"/>
        </w:rPr>
        <w:t>10.1供应商应当按照竞争性磋商文件的要求编制响应文件，并对其提交的响应文件的真实性、合法性承担法律责任。响应文件的部分格式要求，见第六章《响应文件格式》。</w:t>
      </w:r>
    </w:p>
    <w:p w14:paraId="46E5B5AA">
      <w:pPr>
        <w:pStyle w:val="13"/>
        <w:spacing w:line="360" w:lineRule="auto"/>
        <w:ind w:firstLine="476" w:firstLineChars="200"/>
        <w:rPr>
          <w:spacing w:val="-1"/>
          <w:sz w:val="24"/>
          <w:szCs w:val="24"/>
          <w:lang w:eastAsia="zh-CN"/>
        </w:rPr>
      </w:pPr>
      <w:r>
        <w:rPr>
          <w:rFonts w:hint="eastAsia"/>
          <w:spacing w:val="-1"/>
          <w:sz w:val="24"/>
          <w:szCs w:val="24"/>
          <w:lang w:eastAsia="zh-CN"/>
        </w:rPr>
        <w:t>10.2对于竞争性磋商文件中标记了实质性格式文件的，供应商不得改变格式中给定的文字所表达的含义，不得删减格式中的实质性内容，不得对应当填写的空格不填写或不实质性响应，否则响应无效。未标记实质性格式的文件和竞争性磋商文件未提供格式的内容，可由供应商自行编写。</w:t>
      </w:r>
    </w:p>
    <w:p w14:paraId="09EA8021">
      <w:pPr>
        <w:spacing w:line="360" w:lineRule="auto"/>
        <w:ind w:firstLine="480" w:firstLineChars="200"/>
        <w:rPr>
          <w:rFonts w:asciiTheme="minorEastAsia" w:hAnsiTheme="minorEastAsia" w:cstheme="minorEastAsia"/>
          <w:b/>
          <w:bCs/>
          <w:szCs w:val="24"/>
        </w:rPr>
      </w:pPr>
      <w:r>
        <w:rPr>
          <w:rFonts w:hint="eastAsia" w:asciiTheme="minorEastAsia" w:hAnsiTheme="minorEastAsia" w:cstheme="minorEastAsia"/>
          <w:szCs w:val="24"/>
        </w:rPr>
        <w:t>10.3 电子响应文件应使用CA数字证书生成并在截止时间前上传其加密版本，根据磋商文件中规定的下载平台要求，具体详见《投标文件制作工具操作手册》。</w:t>
      </w:r>
      <w:r>
        <w:rPr>
          <w:rFonts w:hint="eastAsia" w:asciiTheme="minorEastAsia" w:hAnsiTheme="minorEastAsia" w:cstheme="minorEastAsia"/>
          <w:b/>
          <w:bCs/>
          <w:szCs w:val="24"/>
        </w:rPr>
        <w:t>否则，被视为无效响应文件，将被平台系统拒绝。</w:t>
      </w:r>
    </w:p>
    <w:p w14:paraId="2CD25624">
      <w:pPr>
        <w:spacing w:line="360" w:lineRule="auto"/>
        <w:ind w:firstLine="480" w:firstLineChars="200"/>
        <w:rPr>
          <w:rFonts w:asciiTheme="minorEastAsia" w:hAnsiTheme="minorEastAsia" w:cstheme="minorEastAsia"/>
          <w:szCs w:val="24"/>
        </w:rPr>
      </w:pPr>
      <w:r>
        <w:rPr>
          <w:rFonts w:hint="eastAsia" w:asciiTheme="minorEastAsia" w:hAnsiTheme="minorEastAsia" w:cstheme="minorEastAsia"/>
          <w:szCs w:val="24"/>
        </w:rPr>
        <w:t>10.4第四章《</w:t>
      </w:r>
      <w:r>
        <w:rPr>
          <w:rFonts w:hint="eastAsia"/>
          <w:spacing w:val="-1"/>
          <w:szCs w:val="24"/>
        </w:rPr>
        <w:t>评审程序、</w:t>
      </w:r>
      <w:r>
        <w:rPr>
          <w:spacing w:val="-1"/>
          <w:szCs w:val="24"/>
        </w:rPr>
        <w:t>评审方法和评审标准</w:t>
      </w:r>
      <w:r>
        <w:rPr>
          <w:rFonts w:hint="eastAsia" w:asciiTheme="minorEastAsia" w:hAnsiTheme="minorEastAsia" w:cstheme="minorEastAsia"/>
          <w:szCs w:val="24"/>
        </w:rPr>
        <w:t>》中涉及的证明文件。</w:t>
      </w:r>
    </w:p>
    <w:p w14:paraId="6BC20128">
      <w:pPr>
        <w:spacing w:line="360" w:lineRule="auto"/>
        <w:ind w:firstLine="480" w:firstLineChars="200"/>
        <w:rPr>
          <w:rFonts w:asciiTheme="minorEastAsia" w:hAnsiTheme="minorEastAsia" w:cstheme="minorEastAsia"/>
          <w:szCs w:val="24"/>
        </w:rPr>
      </w:pPr>
      <w:r>
        <w:rPr>
          <w:rFonts w:hint="eastAsia" w:asciiTheme="minorEastAsia" w:hAnsiTheme="minorEastAsia" w:cstheme="minorEastAsia"/>
          <w:szCs w:val="24"/>
        </w:rPr>
        <w:t>10.5对照第二章《采购需求》，说明所提供货物、服务或工程已对第二章《采购需求》做出了响应，或申明与第二章《采购需求》的偏差和例外。如第二章《采购需求》中要求提供证明文件的，</w:t>
      </w:r>
      <w:r>
        <w:rPr>
          <w:rFonts w:hint="eastAsia" w:asciiTheme="minorEastAsia" w:hAnsiTheme="minorEastAsia" w:cstheme="minorEastAsia"/>
          <w:spacing w:val="2"/>
          <w:szCs w:val="24"/>
        </w:rPr>
        <w:t>供应商</w:t>
      </w:r>
      <w:r>
        <w:rPr>
          <w:rFonts w:hint="eastAsia" w:asciiTheme="minorEastAsia" w:hAnsiTheme="minorEastAsia" w:cstheme="minorEastAsia"/>
          <w:szCs w:val="24"/>
        </w:rPr>
        <w:t>应当按具体要求提供证明文件。</w:t>
      </w:r>
    </w:p>
    <w:p w14:paraId="6FF65A7A">
      <w:pPr>
        <w:spacing w:line="360" w:lineRule="auto"/>
        <w:ind w:firstLine="480" w:firstLineChars="200"/>
        <w:rPr>
          <w:rFonts w:asciiTheme="minorEastAsia" w:hAnsiTheme="minorEastAsia" w:cstheme="minorEastAsia"/>
          <w:szCs w:val="24"/>
        </w:rPr>
      </w:pPr>
      <w:r>
        <w:rPr>
          <w:rFonts w:hint="eastAsia" w:asciiTheme="minorEastAsia" w:hAnsiTheme="minorEastAsia" w:cstheme="minorEastAsia"/>
          <w:szCs w:val="24"/>
        </w:rPr>
        <w:t>10.6</w:t>
      </w:r>
      <w:r>
        <w:rPr>
          <w:rFonts w:hint="eastAsia" w:asciiTheme="minorEastAsia" w:hAnsiTheme="minorEastAsia" w:cstheme="minorEastAsia"/>
          <w:spacing w:val="2"/>
          <w:szCs w:val="24"/>
        </w:rPr>
        <w:t>供应商</w:t>
      </w:r>
      <w:r>
        <w:rPr>
          <w:rFonts w:hint="eastAsia" w:asciiTheme="minorEastAsia" w:hAnsiTheme="minorEastAsia" w:cstheme="minorEastAsia"/>
          <w:szCs w:val="24"/>
        </w:rPr>
        <w:t>编制响应文件时，涉及营业执照、资质、业绩、财务、社保、纳税及各类证书、报告等内容，必须是原件的扫描件。</w:t>
      </w:r>
    </w:p>
    <w:p w14:paraId="4A2043D1">
      <w:pPr>
        <w:spacing w:line="360" w:lineRule="auto"/>
        <w:ind w:firstLine="480" w:firstLineChars="200"/>
        <w:rPr>
          <w:rFonts w:asciiTheme="minorEastAsia" w:hAnsiTheme="minorEastAsia" w:cstheme="minorEastAsia"/>
          <w:szCs w:val="24"/>
        </w:rPr>
      </w:pPr>
      <w:r>
        <w:rPr>
          <w:rFonts w:hint="eastAsia" w:asciiTheme="minorEastAsia" w:hAnsiTheme="minorEastAsia" w:cstheme="minorEastAsia"/>
          <w:szCs w:val="24"/>
        </w:rPr>
        <w:t>10.7</w:t>
      </w:r>
      <w:r>
        <w:rPr>
          <w:rFonts w:hint="eastAsia" w:asciiTheme="minorEastAsia" w:hAnsiTheme="minorEastAsia" w:cstheme="minorEastAsia"/>
          <w:spacing w:val="2"/>
          <w:szCs w:val="24"/>
        </w:rPr>
        <w:t>供应商</w:t>
      </w:r>
      <w:r>
        <w:rPr>
          <w:rFonts w:hint="eastAsia" w:asciiTheme="minorEastAsia" w:hAnsiTheme="minorEastAsia" w:cstheme="minorEastAsia"/>
          <w:szCs w:val="24"/>
        </w:rPr>
        <w:t>认为应附的其他材料。</w:t>
      </w:r>
    </w:p>
    <w:p w14:paraId="38BC434B">
      <w:pPr>
        <w:spacing w:line="360" w:lineRule="auto"/>
        <w:ind w:firstLine="482" w:firstLineChars="200"/>
        <w:rPr>
          <w:rFonts w:asciiTheme="minorEastAsia" w:hAnsiTheme="minorEastAsia" w:cstheme="minorEastAsia"/>
          <w:szCs w:val="24"/>
        </w:rPr>
      </w:pPr>
      <w:r>
        <w:rPr>
          <w:rFonts w:hint="eastAsia" w:asciiTheme="minorEastAsia" w:hAnsiTheme="minorEastAsia" w:cstheme="minorEastAsia"/>
          <w:b/>
          <w:bCs/>
          <w:szCs w:val="24"/>
        </w:rPr>
        <w:t>11.报价</w:t>
      </w:r>
    </w:p>
    <w:p w14:paraId="46DEFE1A">
      <w:pPr>
        <w:spacing w:line="360" w:lineRule="auto"/>
        <w:ind w:firstLine="480" w:firstLineChars="200"/>
        <w:rPr>
          <w:rFonts w:asciiTheme="minorEastAsia" w:hAnsiTheme="minorEastAsia" w:cstheme="minorEastAsia"/>
          <w:szCs w:val="24"/>
        </w:rPr>
      </w:pPr>
      <w:r>
        <w:rPr>
          <w:rFonts w:hint="eastAsia" w:asciiTheme="minorEastAsia" w:hAnsiTheme="minorEastAsia" w:cstheme="minorEastAsia"/>
          <w:szCs w:val="24"/>
        </w:rPr>
        <w:t>11.1 报价均以人民币报价。</w:t>
      </w:r>
    </w:p>
    <w:p w14:paraId="7EF4CF0E">
      <w:pPr>
        <w:spacing w:line="360" w:lineRule="auto"/>
        <w:ind w:firstLine="480" w:firstLineChars="200"/>
        <w:rPr>
          <w:rFonts w:asciiTheme="minorEastAsia" w:hAnsiTheme="minorEastAsia" w:cstheme="minorEastAsia"/>
          <w:szCs w:val="24"/>
        </w:rPr>
      </w:pPr>
      <w:r>
        <w:rPr>
          <w:rFonts w:hint="eastAsia" w:asciiTheme="minorEastAsia" w:hAnsiTheme="minorEastAsia" w:cstheme="minorEastAsia"/>
          <w:szCs w:val="24"/>
        </w:rPr>
        <w:t>11.2 供应商的报价应包括为完成本项目所发生的一切费用和税费，采购人将不再支付报价以外的任何费用。供应商的报价应包括但不限于下列内容，磋商文件中有特殊规定的，从其规定。</w:t>
      </w:r>
    </w:p>
    <w:p w14:paraId="3C827CF5">
      <w:pPr>
        <w:spacing w:line="360" w:lineRule="auto"/>
        <w:ind w:firstLine="480" w:firstLineChars="200"/>
        <w:rPr>
          <w:rFonts w:asciiTheme="minorEastAsia" w:hAnsiTheme="minorEastAsia" w:cstheme="minorEastAsia"/>
          <w:szCs w:val="24"/>
        </w:rPr>
      </w:pPr>
      <w:r>
        <w:rPr>
          <w:rFonts w:hint="eastAsia" w:asciiTheme="minorEastAsia" w:hAnsiTheme="minorEastAsia" w:cstheme="minorEastAsia"/>
          <w:szCs w:val="24"/>
        </w:rPr>
        <w:t>11.2.1 所投货物及标准附件、备品备件、专用工具等的出厂价（包括已在中国国内的进口货物完税后的仓库交货价、展室交货价或货架交货价）和运至最终目的地的运输费和保险费，安装调试、检验、技术服务、培训、质量保证、售后服务、税费等；报价时应详细列出所投产品的生产厂商、品牌、型号、单价、数量、总价等。</w:t>
      </w:r>
    </w:p>
    <w:p w14:paraId="39316C78">
      <w:pPr>
        <w:spacing w:line="360" w:lineRule="auto"/>
        <w:ind w:firstLine="480" w:firstLineChars="200"/>
        <w:rPr>
          <w:rFonts w:asciiTheme="minorEastAsia" w:hAnsiTheme="minorEastAsia" w:cstheme="minorEastAsia"/>
          <w:szCs w:val="24"/>
        </w:rPr>
      </w:pPr>
      <w:r>
        <w:rPr>
          <w:rFonts w:hint="eastAsia" w:asciiTheme="minorEastAsia" w:hAnsiTheme="minorEastAsia" w:cstheme="minorEastAsia"/>
          <w:szCs w:val="24"/>
        </w:rPr>
        <w:t>11.2.2 服务项目按照磋商文件要求完成本项目的全部相关费用。</w:t>
      </w:r>
    </w:p>
    <w:p w14:paraId="37CBB179">
      <w:pPr>
        <w:spacing w:line="360" w:lineRule="auto"/>
        <w:ind w:firstLine="480" w:firstLineChars="200"/>
        <w:rPr>
          <w:rFonts w:asciiTheme="minorEastAsia" w:hAnsiTheme="minorEastAsia" w:cstheme="minorEastAsia"/>
          <w:szCs w:val="24"/>
        </w:rPr>
      </w:pPr>
      <w:r>
        <w:rPr>
          <w:rFonts w:hint="eastAsia" w:asciiTheme="minorEastAsia" w:hAnsiTheme="minorEastAsia" w:cstheme="minorEastAsia"/>
          <w:szCs w:val="24"/>
        </w:rPr>
        <w:t>11.3 采购人不得向供应商索要或者接受其给予的赠品、回扣或者与采购无关的其他商品、服务。</w:t>
      </w:r>
    </w:p>
    <w:p w14:paraId="062CD519">
      <w:pPr>
        <w:spacing w:line="360" w:lineRule="auto"/>
        <w:ind w:firstLine="480" w:firstLineChars="200"/>
        <w:rPr>
          <w:rFonts w:asciiTheme="minorEastAsia" w:hAnsiTheme="minorEastAsia" w:cstheme="minorEastAsia"/>
          <w:szCs w:val="24"/>
        </w:rPr>
      </w:pPr>
      <w:r>
        <w:rPr>
          <w:rFonts w:hint="eastAsia" w:asciiTheme="minorEastAsia" w:hAnsiTheme="minorEastAsia" w:cstheme="minorEastAsia"/>
          <w:szCs w:val="24"/>
        </w:rPr>
        <w:t>11.4 供应商不能提供任何有选择性或可调整的报价（</w:t>
      </w:r>
      <w:r>
        <w:rPr>
          <w:rFonts w:hint="eastAsia" w:asciiTheme="minorEastAsia" w:hAnsiTheme="minorEastAsia" w:cstheme="minorEastAsia"/>
          <w:spacing w:val="-2"/>
          <w:szCs w:val="24"/>
        </w:rPr>
        <w:t>竞争性磋商</w:t>
      </w:r>
      <w:r>
        <w:rPr>
          <w:rFonts w:hint="eastAsia" w:asciiTheme="minorEastAsia" w:hAnsiTheme="minorEastAsia" w:cstheme="minorEastAsia"/>
          <w:szCs w:val="24"/>
        </w:rPr>
        <w:t>文件另有规定的除外），否则其响应无效。</w:t>
      </w:r>
    </w:p>
    <w:p w14:paraId="7E1A965B">
      <w:pPr>
        <w:spacing w:line="360" w:lineRule="auto"/>
        <w:ind w:firstLine="476" w:firstLineChars="200"/>
        <w:rPr>
          <w:rFonts w:ascii="宋体" w:hAnsi="宋体" w:eastAsia="宋体" w:cs="宋体"/>
          <w:spacing w:val="-1"/>
          <w:szCs w:val="24"/>
        </w:rPr>
      </w:pPr>
      <w:r>
        <w:rPr>
          <w:rFonts w:hint="eastAsia" w:ascii="宋体" w:hAnsi="宋体" w:eastAsia="宋体" w:cs="宋体"/>
          <w:spacing w:val="-1"/>
          <w:szCs w:val="24"/>
        </w:rPr>
        <w:t>11.5本项目将按供应商所提交的单价和总价来支付本项目所需的费用。对供应商没有填写单价和总价的内容,将被认为这些项目费用已包括在报价中。</w:t>
      </w:r>
    </w:p>
    <w:p w14:paraId="77BA34F3">
      <w:pPr>
        <w:spacing w:line="360" w:lineRule="auto"/>
        <w:ind w:firstLine="476" w:firstLineChars="200"/>
        <w:rPr>
          <w:rFonts w:ascii="宋体" w:hAnsi="宋体" w:eastAsia="宋体" w:cs="宋体"/>
          <w:spacing w:val="-1"/>
          <w:szCs w:val="24"/>
        </w:rPr>
      </w:pPr>
      <w:r>
        <w:rPr>
          <w:rFonts w:hint="eastAsia" w:ascii="宋体" w:hAnsi="宋体" w:eastAsia="宋体" w:cs="宋体"/>
          <w:spacing w:val="-1"/>
          <w:szCs w:val="24"/>
        </w:rPr>
        <w:t>11.6磋商结束，供应商进行网上最终报价。</w:t>
      </w:r>
    </w:p>
    <w:p w14:paraId="2DE74F2A">
      <w:pPr>
        <w:spacing w:line="360" w:lineRule="auto"/>
        <w:ind w:firstLine="476" w:firstLineChars="200"/>
        <w:rPr>
          <w:rFonts w:ascii="宋体" w:hAnsi="宋体" w:eastAsia="宋体" w:cs="宋体"/>
          <w:spacing w:val="-1"/>
          <w:szCs w:val="24"/>
        </w:rPr>
      </w:pPr>
      <w:r>
        <w:rPr>
          <w:rFonts w:hint="eastAsia" w:ascii="宋体" w:hAnsi="宋体" w:eastAsia="宋体" w:cs="宋体"/>
          <w:spacing w:val="-1"/>
          <w:szCs w:val="24"/>
        </w:rPr>
        <w:t>11.7本次采购设有预算，供应商最终报价超过预算的，磋商小组将不予评议。</w:t>
      </w:r>
    </w:p>
    <w:p w14:paraId="1D71754F">
      <w:pPr>
        <w:spacing w:line="360" w:lineRule="auto"/>
        <w:ind w:firstLine="476" w:firstLineChars="200"/>
        <w:rPr>
          <w:rFonts w:ascii="宋体" w:hAnsi="宋体" w:eastAsia="宋体" w:cs="宋体"/>
          <w:spacing w:val="-1"/>
          <w:szCs w:val="24"/>
        </w:rPr>
      </w:pPr>
      <w:r>
        <w:rPr>
          <w:rFonts w:hint="eastAsia" w:ascii="宋体" w:hAnsi="宋体" w:eastAsia="宋体" w:cs="宋体"/>
          <w:spacing w:val="-1"/>
          <w:szCs w:val="24"/>
        </w:rPr>
        <w:t>11.8供应商的所有报价不得低于成本恶意竞争。</w:t>
      </w:r>
    </w:p>
    <w:p w14:paraId="46726029">
      <w:pPr>
        <w:spacing w:line="360" w:lineRule="auto"/>
        <w:ind w:firstLine="478" w:firstLineChars="200"/>
        <w:rPr>
          <w:rFonts w:ascii="宋体" w:hAnsi="宋体" w:eastAsia="宋体" w:cs="宋体"/>
          <w:b/>
          <w:spacing w:val="-1"/>
          <w:szCs w:val="24"/>
        </w:rPr>
      </w:pPr>
      <w:r>
        <w:rPr>
          <w:rFonts w:hint="eastAsia" w:ascii="宋体" w:hAnsi="宋体" w:eastAsia="宋体" w:cs="宋体"/>
          <w:b/>
          <w:spacing w:val="-1"/>
          <w:szCs w:val="24"/>
        </w:rPr>
        <w:t>评标委员会认为投标人的报价明显低于其他通过符合性审查投标人的报价，有可能影响产品质量或者不能诚信履约的，应当要求其</w:t>
      </w:r>
      <w:r>
        <w:rPr>
          <w:rFonts w:ascii="宋体" w:hAnsi="宋体" w:eastAsia="宋体" w:cs="宋体"/>
          <w:b/>
          <w:spacing w:val="-1"/>
          <w:szCs w:val="24"/>
        </w:rPr>
        <w:t>(</w:t>
      </w:r>
      <w:r>
        <w:rPr>
          <w:rFonts w:hint="eastAsia" w:ascii="宋体" w:hAnsi="宋体" w:eastAsia="宋体" w:cs="宋体"/>
          <w:b/>
          <w:spacing w:val="-1"/>
          <w:szCs w:val="24"/>
        </w:rPr>
        <w:t>远程评标在线说明</w:t>
      </w:r>
      <w:r>
        <w:rPr>
          <w:rFonts w:ascii="宋体" w:hAnsi="宋体" w:eastAsia="宋体" w:cs="宋体"/>
          <w:b/>
          <w:spacing w:val="-1"/>
          <w:szCs w:val="24"/>
        </w:rPr>
        <w:t>)</w:t>
      </w:r>
      <w:r>
        <w:rPr>
          <w:rFonts w:hint="eastAsia" w:ascii="宋体" w:hAnsi="宋体" w:eastAsia="宋体" w:cs="宋体"/>
          <w:b/>
          <w:spacing w:val="-1"/>
          <w:szCs w:val="24"/>
        </w:rPr>
        <w:t>提供书面说明，必要时提交相关证明材料；投标人不能证明其报价合理性的，评标委员会应当将其作为无效投标处理。</w:t>
      </w:r>
    </w:p>
    <w:p w14:paraId="710519DE">
      <w:pPr>
        <w:spacing w:line="360" w:lineRule="auto"/>
        <w:ind w:firstLine="478" w:firstLineChars="200"/>
        <w:rPr>
          <w:rFonts w:ascii="宋体" w:hAnsi="宋体" w:eastAsia="宋体" w:cs="宋体"/>
          <w:b/>
          <w:spacing w:val="-1"/>
          <w:szCs w:val="24"/>
        </w:rPr>
      </w:pPr>
      <w:r>
        <w:rPr>
          <w:rFonts w:hint="eastAsia" w:ascii="宋体" w:hAnsi="宋体" w:eastAsia="宋体" w:cs="宋体"/>
          <w:b/>
          <w:spacing w:val="-1"/>
          <w:szCs w:val="24"/>
        </w:rPr>
        <w:t>（</w:t>
      </w:r>
      <w:r>
        <w:rPr>
          <w:rFonts w:ascii="宋体" w:hAnsi="宋体" w:eastAsia="宋体" w:cs="宋体"/>
          <w:b/>
          <w:spacing w:val="-1"/>
          <w:szCs w:val="24"/>
        </w:rPr>
        <w:t>1</w:t>
      </w:r>
      <w:r>
        <w:rPr>
          <w:rFonts w:hint="eastAsia" w:ascii="宋体" w:hAnsi="宋体" w:eastAsia="宋体" w:cs="宋体"/>
          <w:b/>
          <w:spacing w:val="-1"/>
          <w:szCs w:val="24"/>
        </w:rPr>
        <w:t>）</w:t>
      </w:r>
      <w:r>
        <w:rPr>
          <w:rFonts w:ascii="宋体" w:hAnsi="宋体" w:eastAsia="宋体" w:cs="宋体"/>
          <w:b/>
          <w:spacing w:val="-1"/>
          <w:szCs w:val="24"/>
        </w:rPr>
        <w:t xml:space="preserve"> </w:t>
      </w:r>
      <w:r>
        <w:rPr>
          <w:rFonts w:hint="eastAsia" w:ascii="宋体" w:hAnsi="宋体" w:eastAsia="宋体" w:cs="宋体"/>
          <w:b/>
          <w:spacing w:val="-1"/>
          <w:szCs w:val="24"/>
        </w:rPr>
        <w:t>投标人的说明材料应当按照国家财务会计制度的规定要求，逐项就提供的货物、工程和服务的主营业务成本、税金及附加、销售费用、管理费用、财务费用、培训费用、售后服务等成本构成事项详细陈述。</w:t>
      </w:r>
    </w:p>
    <w:p w14:paraId="53E56350">
      <w:pPr>
        <w:spacing w:line="360" w:lineRule="auto"/>
        <w:ind w:firstLine="478" w:firstLineChars="200"/>
        <w:rPr>
          <w:rFonts w:ascii="宋体" w:hAnsi="宋体" w:eastAsia="宋体" w:cs="宋体"/>
          <w:b/>
          <w:spacing w:val="-1"/>
          <w:szCs w:val="24"/>
        </w:rPr>
      </w:pPr>
      <w:r>
        <w:rPr>
          <w:rFonts w:hint="eastAsia" w:ascii="宋体" w:hAnsi="宋体" w:eastAsia="宋体" w:cs="宋体"/>
          <w:b/>
          <w:spacing w:val="-1"/>
          <w:szCs w:val="24"/>
        </w:rPr>
        <w:t>（</w:t>
      </w:r>
      <w:r>
        <w:rPr>
          <w:rFonts w:ascii="宋体" w:hAnsi="宋体" w:eastAsia="宋体" w:cs="宋体"/>
          <w:b/>
          <w:spacing w:val="-1"/>
          <w:szCs w:val="24"/>
        </w:rPr>
        <w:t>2</w:t>
      </w:r>
      <w:r>
        <w:rPr>
          <w:rFonts w:hint="eastAsia" w:ascii="宋体" w:hAnsi="宋体" w:eastAsia="宋体" w:cs="宋体"/>
          <w:b/>
          <w:spacing w:val="-1"/>
          <w:szCs w:val="24"/>
        </w:rPr>
        <w:t>）</w:t>
      </w:r>
      <w:r>
        <w:rPr>
          <w:rFonts w:ascii="宋体" w:hAnsi="宋体" w:eastAsia="宋体" w:cs="宋体"/>
          <w:b/>
          <w:spacing w:val="-1"/>
          <w:szCs w:val="24"/>
        </w:rPr>
        <w:t xml:space="preserve"> </w:t>
      </w:r>
      <w:r>
        <w:rPr>
          <w:rFonts w:hint="eastAsia" w:ascii="宋体" w:hAnsi="宋体" w:eastAsia="宋体" w:cs="宋体"/>
          <w:b/>
          <w:spacing w:val="-1"/>
          <w:szCs w:val="24"/>
        </w:rPr>
        <w:t>投标人答复后，评标委员会应当结合采购项目采购需求、专业实际情况、财务状况报告、与其他投标人比较情况等就投标人说明进行审查评价。</w:t>
      </w:r>
    </w:p>
    <w:p w14:paraId="171B850E">
      <w:pPr>
        <w:spacing w:line="360" w:lineRule="auto"/>
        <w:ind w:firstLine="478" w:firstLineChars="200"/>
        <w:rPr>
          <w:rFonts w:ascii="宋体" w:hAnsi="宋体" w:eastAsia="宋体" w:cs="宋体"/>
          <w:b/>
          <w:bCs/>
          <w:spacing w:val="-1"/>
          <w:szCs w:val="24"/>
        </w:rPr>
      </w:pPr>
      <w:r>
        <w:rPr>
          <w:rFonts w:hint="eastAsia" w:ascii="宋体" w:hAnsi="宋体" w:eastAsia="宋体" w:cs="宋体"/>
          <w:b/>
          <w:bCs/>
          <w:spacing w:val="-1"/>
          <w:szCs w:val="24"/>
        </w:rPr>
        <w:t>12.响应有效期</w:t>
      </w:r>
    </w:p>
    <w:p w14:paraId="47139EF1">
      <w:pPr>
        <w:spacing w:line="360" w:lineRule="auto"/>
        <w:ind w:firstLine="476" w:firstLineChars="200"/>
        <w:rPr>
          <w:rFonts w:ascii="宋体" w:hAnsi="宋体" w:eastAsia="宋体" w:cs="宋体"/>
          <w:spacing w:val="-1"/>
          <w:szCs w:val="24"/>
        </w:rPr>
      </w:pPr>
      <w:r>
        <w:rPr>
          <w:rFonts w:hint="eastAsia" w:ascii="宋体" w:hAnsi="宋体" w:eastAsia="宋体" w:cs="宋体"/>
          <w:spacing w:val="-1"/>
          <w:szCs w:val="24"/>
        </w:rPr>
        <w:t>12.1 响应文件应在本竞争性磋商文件《供应商须知表》中规定的响应有效期内保持有效，响应有效期少于磋商文件规定期限的，其响应无效。成交人的响应有效期延长至项目验收合格之日。</w:t>
      </w:r>
    </w:p>
    <w:p w14:paraId="708B4C4D">
      <w:pPr>
        <w:spacing w:line="360" w:lineRule="auto"/>
        <w:ind w:firstLine="476" w:firstLineChars="200"/>
        <w:rPr>
          <w:rFonts w:ascii="宋体" w:hAnsi="宋体" w:eastAsia="宋体" w:cs="宋体"/>
          <w:spacing w:val="-1"/>
          <w:szCs w:val="24"/>
        </w:rPr>
      </w:pPr>
      <w:r>
        <w:rPr>
          <w:rFonts w:hint="eastAsia" w:ascii="宋体" w:hAnsi="宋体" w:eastAsia="宋体" w:cs="宋体"/>
          <w:spacing w:val="-1"/>
          <w:szCs w:val="24"/>
        </w:rPr>
        <w:t>12.2、特别情况下，采购代理机构、采购人可于响应有效期满之前要求供应商同意延长有效期，要求与答复均为书面形式。供应商可以拒绝上述要求。对于同意该要求的供应商，既不要求也不允许其修改响应文件。</w:t>
      </w:r>
    </w:p>
    <w:p w14:paraId="2AF21D40">
      <w:pPr>
        <w:spacing w:line="360" w:lineRule="auto"/>
        <w:ind w:firstLine="482" w:firstLineChars="200"/>
        <w:rPr>
          <w:rFonts w:asciiTheme="minorEastAsia" w:hAnsiTheme="minorEastAsia" w:cstheme="minorEastAsia"/>
          <w:b/>
          <w:bCs/>
          <w:szCs w:val="24"/>
        </w:rPr>
      </w:pPr>
      <w:r>
        <w:rPr>
          <w:rFonts w:hint="eastAsia" w:asciiTheme="minorEastAsia" w:hAnsiTheme="minorEastAsia" w:cstheme="minorEastAsia"/>
          <w:b/>
          <w:bCs/>
          <w:szCs w:val="24"/>
        </w:rPr>
        <w:t>13.响应文件的签署、盖章</w:t>
      </w:r>
    </w:p>
    <w:p w14:paraId="4C0CB855">
      <w:pPr>
        <w:spacing w:line="360" w:lineRule="auto"/>
        <w:ind w:firstLine="480" w:firstLineChars="200"/>
        <w:rPr>
          <w:rFonts w:asciiTheme="minorEastAsia" w:hAnsiTheme="minorEastAsia" w:cstheme="minorEastAsia"/>
          <w:szCs w:val="24"/>
        </w:rPr>
      </w:pPr>
      <w:r>
        <w:rPr>
          <w:rFonts w:hint="eastAsia" w:asciiTheme="minorEastAsia" w:hAnsiTheme="minorEastAsia" w:cstheme="minorEastAsia"/>
          <w:szCs w:val="24"/>
        </w:rPr>
        <w:t>13.1 电子响应文件必须在规定签章处电子签章或手写签字后扫描上传进响应文件。</w:t>
      </w:r>
    </w:p>
    <w:p w14:paraId="34066EAE">
      <w:pPr>
        <w:spacing w:line="360" w:lineRule="auto"/>
        <w:ind w:firstLine="480" w:firstLineChars="200"/>
        <w:rPr>
          <w:rFonts w:asciiTheme="minorEastAsia" w:hAnsiTheme="minorEastAsia" w:cstheme="minorEastAsia"/>
          <w:szCs w:val="24"/>
        </w:rPr>
      </w:pPr>
      <w:r>
        <w:rPr>
          <w:rFonts w:hint="eastAsia" w:asciiTheme="minorEastAsia" w:hAnsiTheme="minorEastAsia" w:cstheme="minorEastAsia"/>
          <w:szCs w:val="24"/>
        </w:rPr>
        <w:t>13.2 竞争性磋商文件要求盖章的内容，一般通过CA加盖电子签章。</w:t>
      </w:r>
    </w:p>
    <w:p w14:paraId="6D90832E">
      <w:pPr>
        <w:pStyle w:val="13"/>
        <w:spacing w:before="122" w:line="190" w:lineRule="auto"/>
        <w:ind w:left="3239"/>
        <w:rPr>
          <w:spacing w:val="-4"/>
          <w:sz w:val="28"/>
          <w:szCs w:val="28"/>
          <w:lang w:eastAsia="zh-CN"/>
          <w14:textOutline w14:w="1803" w14:cap="flat" w14:cmpd="sng" w14:algn="ctr">
            <w14:solidFill>
              <w14:srgbClr w14:val="000000"/>
            </w14:solidFill>
            <w14:prstDash w14:val="solid"/>
            <w14:miter w14:val="0"/>
          </w14:textOutline>
        </w:rPr>
      </w:pPr>
    </w:p>
    <w:p w14:paraId="467AD094">
      <w:pPr>
        <w:pStyle w:val="13"/>
        <w:spacing w:before="122" w:line="190" w:lineRule="auto"/>
        <w:jc w:val="center"/>
        <w:rPr>
          <w:rFonts w:ascii="Arial Unicode MS" w:hAnsi="Arial Unicode MS" w:eastAsia="Arial Unicode MS" w:cs="Arial Unicode MS"/>
          <w:sz w:val="28"/>
          <w:szCs w:val="28"/>
          <w:lang w:eastAsia="zh-CN"/>
        </w:rPr>
      </w:pPr>
      <w:r>
        <w:rPr>
          <w:spacing w:val="-4"/>
          <w:sz w:val="28"/>
          <w:szCs w:val="28"/>
          <w:lang w:eastAsia="zh-CN"/>
          <w14:textOutline w14:w="1803" w14:cap="flat" w14:cmpd="sng" w14:algn="ctr">
            <w14:solidFill>
              <w14:srgbClr w14:val="000000"/>
            </w14:solidFill>
            <w14:prstDash w14:val="solid"/>
            <w14:miter w14:val="0"/>
          </w14:textOutline>
        </w:rPr>
        <w:t>四</w:t>
      </w:r>
      <w:r>
        <w:rPr>
          <w:rFonts w:hint="eastAsia"/>
          <w:spacing w:val="10"/>
          <w:sz w:val="28"/>
          <w:szCs w:val="28"/>
          <w:lang w:eastAsia="zh-CN"/>
        </w:rPr>
        <w:t>、</w:t>
      </w:r>
      <w:r>
        <w:rPr>
          <w:spacing w:val="-4"/>
          <w:sz w:val="28"/>
          <w:szCs w:val="28"/>
          <w:lang w:eastAsia="zh-CN"/>
          <w14:textOutline w14:w="1803" w14:cap="flat" w14:cmpd="sng" w14:algn="ctr">
            <w14:solidFill>
              <w14:srgbClr w14:val="000000"/>
            </w14:solidFill>
            <w14:prstDash w14:val="solid"/>
            <w14:miter w14:val="0"/>
          </w14:textOutline>
        </w:rPr>
        <w:t>响应文件的</w:t>
      </w:r>
      <w:r>
        <w:rPr>
          <w:rFonts w:hint="eastAsia" w:ascii="Arial Unicode MS" w:hAnsi="Arial Unicode MS" w:cs="Arial Unicode MS"/>
          <w:spacing w:val="-4"/>
          <w:sz w:val="28"/>
          <w:szCs w:val="28"/>
          <w:lang w:eastAsia="zh-CN"/>
          <w14:textOutline w14:w="1803" w14:cap="flat" w14:cmpd="sng" w14:algn="ctr">
            <w14:solidFill>
              <w14:srgbClr w14:val="000000"/>
            </w14:solidFill>
            <w14:prstDash w14:val="solid"/>
            <w14:miter w14:val="0"/>
          </w14:textOutline>
        </w:rPr>
        <w:t>提</w:t>
      </w:r>
      <w:r>
        <w:rPr>
          <w:rFonts w:ascii="Arial Unicode MS" w:hAnsi="Arial Unicode MS" w:eastAsia="Arial Unicode MS" w:cs="Arial Unicode MS"/>
          <w:spacing w:val="-4"/>
          <w:sz w:val="28"/>
          <w:szCs w:val="28"/>
          <w:lang w:eastAsia="zh-CN"/>
          <w14:textOutline w14:w="1803" w14:cap="flat" w14:cmpd="sng" w14:algn="ctr">
            <w14:solidFill>
              <w14:srgbClr w14:val="000000"/>
            </w14:solidFill>
            <w14:prstDash w14:val="solid"/>
            <w14:miter w14:val="0"/>
          </w14:textOutline>
        </w:rPr>
        <w:t>交</w:t>
      </w:r>
    </w:p>
    <w:p w14:paraId="2BCCB061">
      <w:pPr>
        <w:pStyle w:val="13"/>
        <w:spacing w:line="360" w:lineRule="auto"/>
        <w:ind w:firstLine="478" w:firstLineChars="200"/>
        <w:rPr>
          <w:b/>
          <w:bCs/>
          <w:spacing w:val="-1"/>
          <w:sz w:val="24"/>
          <w:szCs w:val="24"/>
          <w:lang w:eastAsia="zh-CN"/>
        </w:rPr>
      </w:pPr>
      <w:r>
        <w:rPr>
          <w:rFonts w:hint="eastAsia"/>
          <w:b/>
          <w:bCs/>
          <w:spacing w:val="-1"/>
          <w:sz w:val="24"/>
          <w:szCs w:val="24"/>
          <w:lang w:eastAsia="zh-CN"/>
        </w:rPr>
        <w:t>14.响应文件的提交</w:t>
      </w:r>
    </w:p>
    <w:p w14:paraId="26853BB4">
      <w:pPr>
        <w:spacing w:line="360" w:lineRule="auto"/>
        <w:ind w:firstLine="492" w:firstLineChars="200"/>
        <w:rPr>
          <w:rFonts w:asciiTheme="minorEastAsia" w:hAnsiTheme="minorEastAsia" w:cstheme="minorEastAsia"/>
          <w:spacing w:val="3"/>
          <w:szCs w:val="24"/>
        </w:rPr>
      </w:pPr>
      <w:r>
        <w:rPr>
          <w:rFonts w:hint="eastAsia" w:asciiTheme="minorEastAsia" w:hAnsiTheme="minorEastAsia" w:cstheme="minorEastAsia"/>
          <w:spacing w:val="3"/>
          <w:szCs w:val="24"/>
        </w:rPr>
        <w:t>14.1电子响应文件的提交是指使用</w:t>
      </w:r>
      <w:r>
        <w:rPr>
          <w:rFonts w:hint="eastAsia" w:asciiTheme="minorEastAsia" w:hAnsiTheme="minorEastAsia" w:cstheme="minorEastAsia"/>
          <w:spacing w:val="3"/>
          <w:szCs w:val="24"/>
          <w:lang w:eastAsia="zh-CN"/>
        </w:rPr>
        <w:t>唐河县公共资源交易中心</w:t>
      </w:r>
      <w:r>
        <w:rPr>
          <w:rFonts w:hint="eastAsia" w:asciiTheme="minorEastAsia" w:hAnsiTheme="minorEastAsia" w:cstheme="minorEastAsia"/>
          <w:spacing w:val="3"/>
          <w:szCs w:val="24"/>
        </w:rPr>
        <w:t>网上交易系统在上传截止时间前完成制作软件生成的加密电子响应文件的上传。未在上传截止时间前完成上传的，视为逾期提交。逾期提交的响应文件不予受理。</w:t>
      </w:r>
    </w:p>
    <w:p w14:paraId="50210DA5">
      <w:pPr>
        <w:spacing w:line="360" w:lineRule="auto"/>
        <w:ind w:firstLine="492" w:firstLineChars="200"/>
        <w:rPr>
          <w:rFonts w:asciiTheme="minorEastAsia" w:hAnsiTheme="minorEastAsia" w:cstheme="minorEastAsia"/>
          <w:spacing w:val="3"/>
          <w:szCs w:val="24"/>
        </w:rPr>
      </w:pPr>
      <w:r>
        <w:rPr>
          <w:rFonts w:hint="eastAsia" w:asciiTheme="minorEastAsia" w:hAnsiTheme="minorEastAsia" w:cstheme="minorEastAsia"/>
          <w:spacing w:val="3"/>
          <w:szCs w:val="24"/>
        </w:rPr>
        <w:t>14.2 采购人及采购代理机构拒绝接受通过电子交易平台以外任何形式提交的响应文件。</w:t>
      </w:r>
    </w:p>
    <w:p w14:paraId="07BD424D">
      <w:pPr>
        <w:spacing w:line="360" w:lineRule="auto"/>
        <w:ind w:firstLine="478" w:firstLineChars="200"/>
        <w:rPr>
          <w:rFonts w:ascii="宋体" w:hAnsi="宋体" w:eastAsia="宋体" w:cs="宋体"/>
          <w:b/>
          <w:bCs/>
          <w:spacing w:val="-1"/>
          <w:szCs w:val="24"/>
        </w:rPr>
      </w:pPr>
      <w:r>
        <w:rPr>
          <w:rFonts w:hint="eastAsia" w:ascii="宋体" w:hAnsi="宋体" w:eastAsia="宋体" w:cs="宋体"/>
          <w:b/>
          <w:bCs/>
          <w:spacing w:val="-1"/>
          <w:szCs w:val="24"/>
        </w:rPr>
        <w:t>15.响应文件上传截止时间</w:t>
      </w:r>
    </w:p>
    <w:p w14:paraId="50DC72EE">
      <w:pPr>
        <w:pStyle w:val="13"/>
        <w:spacing w:line="360" w:lineRule="auto"/>
        <w:ind w:firstLine="492" w:firstLineChars="200"/>
        <w:rPr>
          <w:rFonts w:asciiTheme="minorEastAsia" w:hAnsiTheme="minorEastAsia" w:eastAsiaTheme="minorEastAsia" w:cstheme="minorEastAsia"/>
          <w:spacing w:val="3"/>
          <w:sz w:val="24"/>
          <w:szCs w:val="24"/>
          <w:lang w:eastAsia="zh-CN"/>
        </w:rPr>
      </w:pPr>
      <w:r>
        <w:rPr>
          <w:rFonts w:hint="eastAsia" w:asciiTheme="minorEastAsia" w:hAnsiTheme="minorEastAsia" w:eastAsiaTheme="minorEastAsia" w:cstheme="minorEastAsia"/>
          <w:spacing w:val="3"/>
          <w:sz w:val="24"/>
          <w:szCs w:val="24"/>
          <w:lang w:eastAsia="zh-CN"/>
        </w:rPr>
        <w:t>15.1 供应商应在竞争性磋商文件要求响应文件上传截止时间前，将电子响应文件提交至电子交易平台。</w:t>
      </w:r>
    </w:p>
    <w:p w14:paraId="4A352004">
      <w:pPr>
        <w:pStyle w:val="13"/>
        <w:spacing w:line="360" w:lineRule="auto"/>
        <w:ind w:firstLine="494" w:firstLineChars="200"/>
        <w:rPr>
          <w:rFonts w:asciiTheme="minorEastAsia" w:hAnsiTheme="minorEastAsia" w:eastAsiaTheme="minorEastAsia" w:cstheme="minorEastAsia"/>
          <w:b/>
          <w:bCs/>
          <w:spacing w:val="3"/>
          <w:sz w:val="24"/>
          <w:szCs w:val="24"/>
          <w:lang w:eastAsia="zh-CN"/>
        </w:rPr>
      </w:pPr>
      <w:r>
        <w:rPr>
          <w:rFonts w:hint="eastAsia" w:asciiTheme="minorEastAsia" w:hAnsiTheme="minorEastAsia" w:eastAsiaTheme="minorEastAsia" w:cstheme="minorEastAsia"/>
          <w:b/>
          <w:bCs/>
          <w:spacing w:val="3"/>
          <w:sz w:val="24"/>
          <w:szCs w:val="24"/>
          <w:lang w:eastAsia="zh-CN"/>
        </w:rPr>
        <w:t>16.响应文件的修改与撤回</w:t>
      </w:r>
    </w:p>
    <w:p w14:paraId="1D2A5249">
      <w:pPr>
        <w:pStyle w:val="13"/>
        <w:spacing w:line="360" w:lineRule="auto"/>
        <w:ind w:firstLine="492" w:firstLineChars="200"/>
        <w:rPr>
          <w:rFonts w:hint="eastAsia" w:asciiTheme="minorEastAsia" w:hAnsiTheme="minorEastAsia" w:eastAsiaTheme="minorEastAsia" w:cstheme="minorEastAsia"/>
          <w:spacing w:val="3"/>
          <w:sz w:val="24"/>
          <w:szCs w:val="24"/>
          <w:lang w:eastAsia="zh-CN"/>
        </w:rPr>
      </w:pPr>
      <w:r>
        <w:rPr>
          <w:rFonts w:hint="eastAsia" w:asciiTheme="minorEastAsia" w:hAnsiTheme="minorEastAsia" w:eastAsiaTheme="minorEastAsia" w:cstheme="minorEastAsia"/>
          <w:spacing w:val="3"/>
          <w:sz w:val="24"/>
          <w:szCs w:val="24"/>
          <w:lang w:eastAsia="zh-CN"/>
        </w:rPr>
        <w:t>16.1在采购文件规定的电子响应文件上传截止时间前，供应商可以修改或撤回已上传的电子响应文件，最终电子响应文件以上传截止时间前完成上传至唐河县公共资源交易电子交易平台最后一份加密电子响应文件为准。上传截止时间之后，供应商不得修改或撤回电子响应文件。</w:t>
      </w:r>
    </w:p>
    <w:p w14:paraId="47015263">
      <w:bookmarkStart w:id="10" w:name="_Toc2118"/>
      <w:r>
        <w:br w:type="page"/>
      </w:r>
    </w:p>
    <w:p w14:paraId="2A65525B">
      <w:pPr>
        <w:pStyle w:val="2"/>
      </w:pPr>
      <w:bookmarkStart w:id="11" w:name="_Toc27539"/>
      <w:r>
        <w:t>第</w:t>
      </w:r>
      <w:r>
        <w:rPr>
          <w:rFonts w:hint="eastAsia"/>
        </w:rPr>
        <w:t>四</w:t>
      </w:r>
      <w:r>
        <w:t xml:space="preserve">章   </w:t>
      </w:r>
      <w:r>
        <w:rPr>
          <w:rFonts w:hint="eastAsia"/>
        </w:rPr>
        <w:t>评审程序、</w:t>
      </w:r>
      <w:r>
        <w:t>评审方法和评审标准</w:t>
      </w:r>
      <w:bookmarkEnd w:id="10"/>
      <w:bookmarkEnd w:id="11"/>
    </w:p>
    <w:p w14:paraId="79B4F31A">
      <w:pPr>
        <w:spacing w:line="360" w:lineRule="auto"/>
        <w:ind w:firstLine="494" w:firstLineChars="200"/>
        <w:rPr>
          <w:rFonts w:asciiTheme="minorEastAsia" w:hAnsiTheme="minorEastAsia" w:cstheme="minorEastAsia"/>
          <w:b/>
          <w:bCs/>
          <w:spacing w:val="3"/>
          <w:szCs w:val="24"/>
        </w:rPr>
      </w:pPr>
      <w:r>
        <w:rPr>
          <w:rFonts w:hint="eastAsia" w:asciiTheme="minorEastAsia" w:hAnsiTheme="minorEastAsia" w:cstheme="minorEastAsia"/>
          <w:b/>
          <w:bCs/>
          <w:spacing w:val="3"/>
          <w:szCs w:val="24"/>
        </w:rPr>
        <w:t>一、编制、确认竞争性磋商文件</w:t>
      </w:r>
    </w:p>
    <w:p w14:paraId="362C1D95">
      <w:pPr>
        <w:spacing w:line="360" w:lineRule="auto"/>
        <w:ind w:firstLine="492" w:firstLineChars="200"/>
        <w:rPr>
          <w:rFonts w:asciiTheme="minorEastAsia" w:hAnsiTheme="minorEastAsia" w:cstheme="minorEastAsia"/>
          <w:spacing w:val="3"/>
          <w:szCs w:val="24"/>
        </w:rPr>
      </w:pPr>
      <w:r>
        <w:rPr>
          <w:rFonts w:hint="eastAsia" w:asciiTheme="minorEastAsia" w:hAnsiTheme="minorEastAsia" w:cstheme="minorEastAsia"/>
          <w:spacing w:val="3"/>
          <w:szCs w:val="24"/>
        </w:rPr>
        <w:t>采购人或采购代理机构根据采购项目特点和采购实际需求编制竞争性磋商文件，编制的竞争性磋商文件应由采购人审核并确认。</w:t>
      </w:r>
    </w:p>
    <w:p w14:paraId="4202F10A">
      <w:pPr>
        <w:tabs>
          <w:tab w:val="left" w:pos="743"/>
        </w:tabs>
        <w:spacing w:line="360" w:lineRule="auto"/>
        <w:ind w:firstLine="494" w:firstLineChars="200"/>
        <w:rPr>
          <w:rFonts w:asciiTheme="minorEastAsia" w:hAnsiTheme="minorEastAsia" w:cstheme="minorEastAsia"/>
          <w:b/>
          <w:bCs/>
          <w:spacing w:val="3"/>
          <w:szCs w:val="24"/>
        </w:rPr>
      </w:pPr>
      <w:r>
        <w:rPr>
          <w:rFonts w:hint="eastAsia" w:asciiTheme="minorEastAsia" w:hAnsiTheme="minorEastAsia" w:cstheme="minorEastAsia"/>
          <w:b/>
          <w:bCs/>
          <w:spacing w:val="3"/>
          <w:szCs w:val="24"/>
        </w:rPr>
        <w:t>二、发布竞争性磋商公告，邀请供应商参加磋商</w:t>
      </w:r>
    </w:p>
    <w:p w14:paraId="6FFF6B18">
      <w:pPr>
        <w:spacing w:line="360" w:lineRule="auto"/>
        <w:ind w:firstLine="492" w:firstLineChars="200"/>
        <w:rPr>
          <w:rFonts w:asciiTheme="minorEastAsia" w:hAnsiTheme="minorEastAsia" w:cstheme="minorEastAsia"/>
          <w:spacing w:val="3"/>
          <w:szCs w:val="24"/>
        </w:rPr>
      </w:pPr>
      <w:r>
        <w:rPr>
          <w:rFonts w:hint="eastAsia" w:asciiTheme="minorEastAsia" w:hAnsiTheme="minorEastAsia" w:cstheme="minorEastAsia"/>
          <w:spacing w:val="3"/>
          <w:szCs w:val="24"/>
        </w:rPr>
        <w:t>竞争性磋商文件经采购人书面确认后，将在指定媒体和</w:t>
      </w:r>
      <w:r>
        <w:rPr>
          <w:rFonts w:hint="eastAsia" w:asciiTheme="minorEastAsia" w:hAnsiTheme="minorEastAsia" w:cstheme="minorEastAsia"/>
          <w:spacing w:val="3"/>
          <w:szCs w:val="24"/>
          <w:lang w:eastAsia="zh-CN"/>
        </w:rPr>
        <w:t>唐河县公共资源交易中心</w:t>
      </w:r>
      <w:r>
        <w:rPr>
          <w:rFonts w:hint="eastAsia" w:asciiTheme="minorEastAsia" w:hAnsiTheme="minorEastAsia" w:cstheme="minorEastAsia"/>
          <w:spacing w:val="3"/>
          <w:szCs w:val="24"/>
        </w:rPr>
        <w:t>网发布竞争性磋商公告。供应商按照公告和竞争性磋商文件要求制作并递交响应文件。</w:t>
      </w:r>
    </w:p>
    <w:p w14:paraId="263AC5DE">
      <w:pPr>
        <w:spacing w:line="360" w:lineRule="auto"/>
        <w:ind w:firstLine="480"/>
        <w:rPr>
          <w:rFonts w:asciiTheme="minorEastAsia" w:hAnsiTheme="minorEastAsia" w:cstheme="minorEastAsia"/>
          <w:b/>
          <w:bCs/>
          <w:spacing w:val="3"/>
          <w:szCs w:val="24"/>
        </w:rPr>
      </w:pPr>
      <w:r>
        <w:rPr>
          <w:rFonts w:hint="eastAsia" w:asciiTheme="minorEastAsia" w:hAnsiTheme="minorEastAsia" w:cstheme="minorEastAsia"/>
          <w:b/>
          <w:bCs/>
          <w:spacing w:val="3"/>
          <w:szCs w:val="24"/>
        </w:rPr>
        <w:t>三、组建磋商小组</w:t>
      </w:r>
    </w:p>
    <w:p w14:paraId="7B9A7FA2">
      <w:pPr>
        <w:spacing w:line="360" w:lineRule="auto"/>
        <w:ind w:firstLine="492" w:firstLineChars="200"/>
        <w:rPr>
          <w:rFonts w:asciiTheme="minorEastAsia" w:hAnsiTheme="minorEastAsia" w:cstheme="minorEastAsia"/>
          <w:spacing w:val="3"/>
          <w:szCs w:val="24"/>
        </w:rPr>
      </w:pPr>
      <w:r>
        <w:rPr>
          <w:rFonts w:hint="eastAsia" w:asciiTheme="minorEastAsia" w:hAnsiTheme="minorEastAsia" w:cstheme="minorEastAsia"/>
          <w:spacing w:val="3"/>
          <w:szCs w:val="24"/>
        </w:rPr>
        <w:t>根据</w:t>
      </w:r>
      <w:r>
        <w:rPr>
          <w:rFonts w:hint="eastAsia" w:asciiTheme="minorEastAsia" w:hAnsiTheme="minorEastAsia" w:cstheme="minorEastAsia"/>
          <w:spacing w:val="-2"/>
          <w:szCs w:val="24"/>
        </w:rPr>
        <w:t>《中华人民共和国政府采购法》《中华人民共和国政府采购法实施条例》《政府采购竞争性磋商采购方式管理暂行办法》《财政部关于竞争性磋商采购方式管理暂行办法有关问题的补充通知》</w:t>
      </w:r>
      <w:r>
        <w:rPr>
          <w:rFonts w:hint="eastAsia" w:asciiTheme="minorEastAsia" w:hAnsiTheme="minorEastAsia" w:cstheme="minorEastAsia"/>
          <w:spacing w:val="3"/>
          <w:szCs w:val="24"/>
        </w:rPr>
        <w:t>的规定和采购项目的特点组建竞争性磋商小组，竞争性磋商小组由采购人代表和评审专家共3人以上单数组成，其中评审专家人数不得少于磋商小组成员总数的2/3。评审专家应当从政府采购评审专家库内相关专业的专家名单中随机抽取。技术复杂、专业性强的采购项目，评审专家中应当包含1名法律专家。</w:t>
      </w:r>
    </w:p>
    <w:p w14:paraId="694D3593">
      <w:pPr>
        <w:spacing w:line="360" w:lineRule="auto"/>
        <w:ind w:firstLine="492" w:firstLineChars="200"/>
        <w:rPr>
          <w:rFonts w:asciiTheme="minorEastAsia" w:hAnsiTheme="minorEastAsia" w:cstheme="minorEastAsia"/>
          <w:spacing w:val="3"/>
          <w:szCs w:val="24"/>
        </w:rPr>
      </w:pPr>
      <w:r>
        <w:rPr>
          <w:rFonts w:hint="eastAsia" w:asciiTheme="minorEastAsia" w:hAnsiTheme="minorEastAsia" w:cstheme="minorEastAsia"/>
          <w:spacing w:val="3"/>
          <w:szCs w:val="24"/>
        </w:rPr>
        <w:t>竞争性磋商小组负责对响应文件进行评审、质疑、评估、比较、评分，组织磋商和最后报价。</w:t>
      </w:r>
    </w:p>
    <w:p w14:paraId="20E2C1FD">
      <w:pPr>
        <w:spacing w:line="360" w:lineRule="auto"/>
        <w:ind w:firstLine="492" w:firstLineChars="200"/>
        <w:rPr>
          <w:rFonts w:asciiTheme="minorEastAsia" w:hAnsiTheme="minorEastAsia" w:cstheme="minorEastAsia"/>
          <w:spacing w:val="3"/>
          <w:szCs w:val="24"/>
        </w:rPr>
      </w:pPr>
      <w:r>
        <w:rPr>
          <w:rFonts w:hint="eastAsia" w:asciiTheme="minorEastAsia" w:hAnsiTheme="minorEastAsia" w:cstheme="minorEastAsia"/>
          <w:spacing w:val="3"/>
          <w:szCs w:val="24"/>
        </w:rPr>
        <w:t>评审专家应当严格遵守评审工作纪律，按照客观、公正、审慎的原则，根据磋商文件规定的评审程序、评审方法和评审标准进行独立评审。</w:t>
      </w:r>
    </w:p>
    <w:p w14:paraId="127641C3">
      <w:pPr>
        <w:spacing w:line="360" w:lineRule="auto"/>
        <w:ind w:firstLine="492" w:firstLineChars="200"/>
        <w:rPr>
          <w:rFonts w:asciiTheme="minorEastAsia" w:hAnsiTheme="minorEastAsia" w:cstheme="minorEastAsia"/>
          <w:spacing w:val="3"/>
          <w:szCs w:val="24"/>
        </w:rPr>
      </w:pPr>
      <w:r>
        <w:rPr>
          <w:rFonts w:hint="eastAsia" w:asciiTheme="minorEastAsia" w:hAnsiTheme="minorEastAsia" w:cstheme="minorEastAsia"/>
          <w:spacing w:val="3"/>
          <w:szCs w:val="24"/>
        </w:rPr>
        <w:t>评审专家应当在评审报告上使用本人CA锁进行签章，对自己的评审意见承担法律责任。对需要共同认定的事项存在争议的，按照少数服从多数的原则做出结论。对评审报告有异议的，应当在评审报告上签署不同意见并说明理由，否则视为同意评审报告。</w:t>
      </w:r>
    </w:p>
    <w:p w14:paraId="4B70A64D">
      <w:pPr>
        <w:spacing w:line="360" w:lineRule="auto"/>
        <w:ind w:firstLine="492" w:firstLineChars="200"/>
        <w:rPr>
          <w:rFonts w:asciiTheme="minorEastAsia" w:hAnsiTheme="minorEastAsia" w:cstheme="minorEastAsia"/>
          <w:spacing w:val="3"/>
          <w:szCs w:val="24"/>
        </w:rPr>
      </w:pPr>
      <w:r>
        <w:rPr>
          <w:rFonts w:hint="eastAsia" w:asciiTheme="minorEastAsia" w:hAnsiTheme="minorEastAsia" w:cstheme="minorEastAsia"/>
          <w:spacing w:val="3"/>
          <w:szCs w:val="24"/>
        </w:rPr>
        <w:t>评审活动结束，按照《河南省政府采购评审专家劳务报酬支付标准》的通知(豫财购〔2017〕9 号)的规定，发放劳务报酬。</w:t>
      </w:r>
    </w:p>
    <w:p w14:paraId="7734FB23">
      <w:pPr>
        <w:spacing w:line="360" w:lineRule="auto"/>
        <w:ind w:firstLine="492" w:firstLineChars="200"/>
        <w:rPr>
          <w:rFonts w:asciiTheme="minorEastAsia" w:hAnsiTheme="minorEastAsia" w:cstheme="minorEastAsia"/>
          <w:spacing w:val="3"/>
          <w:szCs w:val="24"/>
        </w:rPr>
      </w:pPr>
      <w:r>
        <w:rPr>
          <w:rFonts w:hint="eastAsia" w:asciiTheme="minorEastAsia" w:hAnsiTheme="minorEastAsia" w:cstheme="minorEastAsia"/>
          <w:spacing w:val="3"/>
          <w:szCs w:val="24"/>
        </w:rPr>
        <w:t>评审专家未完成评审工作擅自离开评审现场，或者在评审活动中有违法违规行为的，不得获取劳务报酬和报销异地评审差旅费。评审专家以外的其他人员不得获取评审劳务报酬。</w:t>
      </w:r>
    </w:p>
    <w:p w14:paraId="78652357">
      <w:pPr>
        <w:pStyle w:val="29"/>
        <w:spacing w:after="0" w:line="360" w:lineRule="auto"/>
        <w:ind w:left="0" w:leftChars="0" w:firstLine="494"/>
        <w:rPr>
          <w:rFonts w:asciiTheme="minorEastAsia" w:hAnsiTheme="minorEastAsia" w:cstheme="minorEastAsia"/>
          <w:spacing w:val="3"/>
          <w:kern w:val="0"/>
        </w:rPr>
      </w:pPr>
      <w:r>
        <w:rPr>
          <w:rFonts w:hint="eastAsia" w:asciiTheme="minorEastAsia" w:hAnsiTheme="minorEastAsia" w:cstheme="minorEastAsia"/>
          <w:b/>
          <w:bCs/>
          <w:spacing w:val="3"/>
          <w:kern w:val="0"/>
        </w:rPr>
        <w:t>四、解密电子响应文件</w:t>
      </w:r>
    </w:p>
    <w:p w14:paraId="2D9BD027">
      <w:pPr>
        <w:spacing w:line="360" w:lineRule="auto"/>
        <w:ind w:firstLine="492" w:firstLineChars="200"/>
        <w:rPr>
          <w:rFonts w:asciiTheme="minorEastAsia" w:hAnsiTheme="minorEastAsia" w:cstheme="minorEastAsia"/>
          <w:spacing w:val="3"/>
          <w:szCs w:val="24"/>
        </w:rPr>
      </w:pPr>
      <w:r>
        <w:rPr>
          <w:rFonts w:hint="eastAsia" w:asciiTheme="minorEastAsia" w:hAnsiTheme="minorEastAsia" w:cstheme="minorEastAsia"/>
          <w:spacing w:val="3"/>
          <w:szCs w:val="24"/>
        </w:rPr>
        <w:t>供应商解密：供应商制作电子响应文件时，必须使用本单位的CA进行加密，供应商在解密前须自行检查CA的有效性。解密时未在开启响应文件时间后30分钟内进行解密成功的视为撤销其响应文件（因电子开标系统原因除外）。</w:t>
      </w:r>
    </w:p>
    <w:p w14:paraId="132DFFE1">
      <w:pPr>
        <w:spacing w:line="360" w:lineRule="auto"/>
        <w:ind w:firstLine="494" w:firstLineChars="200"/>
        <w:rPr>
          <w:rFonts w:asciiTheme="minorEastAsia" w:hAnsiTheme="minorEastAsia" w:cstheme="minorEastAsia"/>
          <w:spacing w:val="3"/>
          <w:szCs w:val="24"/>
        </w:rPr>
      </w:pPr>
      <w:r>
        <w:rPr>
          <w:rFonts w:hint="eastAsia" w:asciiTheme="minorEastAsia" w:hAnsiTheme="minorEastAsia" w:cstheme="minorEastAsia"/>
          <w:b/>
          <w:bCs/>
          <w:spacing w:val="3"/>
          <w:szCs w:val="24"/>
        </w:rPr>
        <w:t>五、评审</w:t>
      </w:r>
    </w:p>
    <w:p w14:paraId="341F8B5A">
      <w:pPr>
        <w:spacing w:line="360" w:lineRule="auto"/>
        <w:ind w:firstLine="492" w:firstLineChars="200"/>
        <w:rPr>
          <w:rFonts w:asciiTheme="minorEastAsia" w:hAnsiTheme="minorEastAsia" w:cstheme="minorEastAsia"/>
          <w:spacing w:val="3"/>
          <w:szCs w:val="24"/>
        </w:rPr>
      </w:pPr>
      <w:r>
        <w:rPr>
          <w:rFonts w:hint="eastAsia" w:asciiTheme="minorEastAsia" w:hAnsiTheme="minorEastAsia" w:cstheme="minorEastAsia"/>
          <w:spacing w:val="3"/>
          <w:szCs w:val="24"/>
        </w:rPr>
        <w:t>磋商小组对供应商提交的响应文件进行评审。主要对响应文件的有效性、完整性和响应程度进行审查，具体包括：</w:t>
      </w:r>
    </w:p>
    <w:p w14:paraId="7E5615C8">
      <w:pPr>
        <w:widowControl/>
        <w:jc w:val="left"/>
        <w:rPr>
          <w:rFonts w:asciiTheme="minorEastAsia" w:hAnsiTheme="minorEastAsia" w:cstheme="minorEastAsia"/>
          <w:spacing w:val="3"/>
          <w:szCs w:val="24"/>
        </w:rPr>
      </w:pPr>
      <w:r>
        <w:rPr>
          <w:rFonts w:hint="eastAsia" w:asciiTheme="minorEastAsia" w:hAnsiTheme="minorEastAsia" w:cstheme="minorEastAsia"/>
          <w:spacing w:val="3"/>
          <w:szCs w:val="24"/>
        </w:rPr>
        <w:t>1.资格性审查</w:t>
      </w:r>
    </w:p>
    <w:tbl>
      <w:tblPr>
        <w:tblStyle w:val="50"/>
        <w:tblW w:w="1025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78"/>
        <w:gridCol w:w="1668"/>
        <w:gridCol w:w="6307"/>
        <w:gridCol w:w="1500"/>
      </w:tblGrid>
      <w:tr w14:paraId="01B355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1" w:hRule="atLeast"/>
        </w:trPr>
        <w:tc>
          <w:tcPr>
            <w:tcW w:w="778" w:type="dxa"/>
          </w:tcPr>
          <w:p w14:paraId="06A0D801">
            <w:pPr>
              <w:spacing w:before="119" w:line="222" w:lineRule="auto"/>
              <w:jc w:val="center"/>
              <w:rPr>
                <w:rFonts w:asciiTheme="minorEastAsia" w:hAnsiTheme="minorEastAsia" w:eastAsiaTheme="minorEastAsia" w:cstheme="minorEastAsia"/>
                <w:kern w:val="0"/>
                <w:szCs w:val="24"/>
              </w:rPr>
            </w:pPr>
            <w:r>
              <w:rPr>
                <w:rFonts w:hint="eastAsia" w:asciiTheme="minorEastAsia" w:hAnsiTheme="minorEastAsia" w:eastAsiaTheme="minorEastAsia" w:cstheme="minorEastAsia"/>
                <w:spacing w:val="-3"/>
                <w:kern w:val="0"/>
                <w:szCs w:val="24"/>
                <w14:textOutline w14:w="1536" w14:cap="flat" w14:cmpd="sng" w14:algn="ctr">
                  <w14:solidFill>
                    <w14:srgbClr w14:val="000000"/>
                  </w14:solidFill>
                  <w14:prstDash w14:val="solid"/>
                  <w14:miter w14:val="0"/>
                </w14:textOutline>
              </w:rPr>
              <w:t>序号</w:t>
            </w:r>
          </w:p>
        </w:tc>
        <w:tc>
          <w:tcPr>
            <w:tcW w:w="1668" w:type="dxa"/>
          </w:tcPr>
          <w:p w14:paraId="6C5F28DC">
            <w:pPr>
              <w:spacing w:before="119" w:line="220" w:lineRule="auto"/>
              <w:jc w:val="center"/>
              <w:rPr>
                <w:rFonts w:asciiTheme="minorEastAsia" w:hAnsiTheme="minorEastAsia" w:eastAsiaTheme="minorEastAsia" w:cstheme="minorEastAsia"/>
                <w:kern w:val="0"/>
                <w:szCs w:val="24"/>
              </w:rPr>
            </w:pPr>
            <w:r>
              <w:rPr>
                <w:rFonts w:hint="eastAsia" w:asciiTheme="minorEastAsia" w:hAnsiTheme="minorEastAsia" w:eastAsiaTheme="minorEastAsia" w:cstheme="minorEastAsia"/>
                <w:spacing w:val="-4"/>
                <w:kern w:val="0"/>
                <w:szCs w:val="24"/>
                <w14:textOutline w14:w="1536" w14:cap="flat" w14:cmpd="sng" w14:algn="ctr">
                  <w14:solidFill>
                    <w14:srgbClr w14:val="000000"/>
                  </w14:solidFill>
                  <w14:prstDash w14:val="solid"/>
                  <w14:miter w14:val="0"/>
                </w14:textOutline>
              </w:rPr>
              <w:t>审查因素</w:t>
            </w:r>
          </w:p>
        </w:tc>
        <w:tc>
          <w:tcPr>
            <w:tcW w:w="6307" w:type="dxa"/>
          </w:tcPr>
          <w:p w14:paraId="0F54325C">
            <w:pPr>
              <w:spacing w:before="119" w:line="220" w:lineRule="auto"/>
              <w:jc w:val="center"/>
              <w:rPr>
                <w:rFonts w:asciiTheme="minorEastAsia" w:hAnsiTheme="minorEastAsia" w:eastAsiaTheme="minorEastAsia" w:cstheme="minorEastAsia"/>
                <w:kern w:val="0"/>
                <w:szCs w:val="24"/>
              </w:rPr>
            </w:pPr>
            <w:r>
              <w:rPr>
                <w:rFonts w:hint="eastAsia" w:asciiTheme="minorEastAsia" w:hAnsiTheme="minorEastAsia" w:eastAsiaTheme="minorEastAsia" w:cstheme="minorEastAsia"/>
                <w:spacing w:val="-4"/>
                <w:kern w:val="0"/>
                <w:szCs w:val="24"/>
                <w14:textOutline w14:w="1536" w14:cap="flat" w14:cmpd="sng" w14:algn="ctr">
                  <w14:solidFill>
                    <w14:srgbClr w14:val="000000"/>
                  </w14:solidFill>
                  <w14:prstDash w14:val="solid"/>
                  <w14:miter w14:val="0"/>
                </w14:textOutline>
              </w:rPr>
              <w:t>审查内容</w:t>
            </w:r>
          </w:p>
        </w:tc>
        <w:tc>
          <w:tcPr>
            <w:tcW w:w="1500" w:type="dxa"/>
          </w:tcPr>
          <w:p w14:paraId="6A319EF7">
            <w:pPr>
              <w:spacing w:before="119" w:line="220" w:lineRule="auto"/>
              <w:jc w:val="center"/>
              <w:rPr>
                <w:rFonts w:asciiTheme="minorEastAsia" w:hAnsiTheme="minorEastAsia" w:eastAsiaTheme="minorEastAsia" w:cstheme="minorEastAsia"/>
                <w:kern w:val="0"/>
                <w:szCs w:val="24"/>
              </w:rPr>
            </w:pPr>
            <w:r>
              <w:rPr>
                <w:rFonts w:hint="eastAsia" w:asciiTheme="minorEastAsia" w:hAnsiTheme="minorEastAsia" w:eastAsiaTheme="minorEastAsia" w:cstheme="minorEastAsia"/>
                <w:spacing w:val="-2"/>
                <w:kern w:val="0"/>
                <w:szCs w:val="24"/>
                <w14:textOutline w14:w="1536" w14:cap="flat" w14:cmpd="sng" w14:algn="ctr">
                  <w14:solidFill>
                    <w14:srgbClr w14:val="000000"/>
                  </w14:solidFill>
                  <w14:prstDash w14:val="solid"/>
                  <w14:miter w14:val="0"/>
                </w14:textOutline>
              </w:rPr>
              <w:t>备注</w:t>
            </w:r>
          </w:p>
        </w:tc>
      </w:tr>
      <w:tr w14:paraId="7742E1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778" w:type="dxa"/>
            <w:vAlign w:val="center"/>
          </w:tcPr>
          <w:p w14:paraId="727BB540">
            <w:pPr>
              <w:pStyle w:val="51"/>
              <w:spacing w:before="69" w:line="199" w:lineRule="auto"/>
              <w:ind w:left="372"/>
              <w:jc w:val="both"/>
              <w:rPr>
                <w:rFonts w:asciiTheme="minorEastAsia" w:hAnsiTheme="minorEastAsia" w:eastAsiaTheme="minorEastAsia" w:cstheme="minorEastAsia"/>
                <w:szCs w:val="24"/>
              </w:rPr>
            </w:pPr>
            <w:r>
              <w:rPr>
                <w:rFonts w:hint="eastAsia" w:asciiTheme="minorEastAsia" w:hAnsiTheme="minorEastAsia" w:eastAsiaTheme="minorEastAsia" w:cstheme="minorEastAsia"/>
                <w:szCs w:val="24"/>
              </w:rPr>
              <w:t>1</w:t>
            </w:r>
          </w:p>
        </w:tc>
        <w:tc>
          <w:tcPr>
            <w:tcW w:w="1668" w:type="dxa"/>
            <w:vAlign w:val="center"/>
          </w:tcPr>
          <w:p w14:paraId="5FC3ACBE">
            <w:pPr>
              <w:spacing w:before="32" w:line="232" w:lineRule="auto"/>
              <w:ind w:left="112" w:right="105"/>
              <w:jc w:val="center"/>
              <w:rPr>
                <w:rFonts w:asciiTheme="minorEastAsia" w:hAnsiTheme="minorEastAsia" w:eastAsiaTheme="minorEastAsia" w:cstheme="minorEastAsia"/>
                <w:kern w:val="0"/>
                <w:szCs w:val="24"/>
              </w:rPr>
            </w:pPr>
            <w:r>
              <w:rPr>
                <w:rFonts w:hint="eastAsia" w:asciiTheme="minorEastAsia" w:hAnsiTheme="minorEastAsia" w:eastAsiaTheme="minorEastAsia" w:cstheme="minorEastAsia"/>
                <w:spacing w:val="-2"/>
                <w:kern w:val="0"/>
                <w:szCs w:val="24"/>
              </w:rPr>
              <w:t>满足第一章《竞争性磋商公告》</w:t>
            </w:r>
            <w:r>
              <w:rPr>
                <w:rFonts w:hint="eastAsia" w:asciiTheme="minorEastAsia" w:hAnsiTheme="minorEastAsia" w:eastAsiaTheme="minorEastAsia" w:cstheme="minorEastAsia"/>
                <w:spacing w:val="2"/>
                <w:kern w:val="0"/>
                <w:szCs w:val="24"/>
              </w:rPr>
              <w:t>供应商</w:t>
            </w:r>
            <w:r>
              <w:rPr>
                <w:rFonts w:hint="eastAsia" w:asciiTheme="minorEastAsia" w:hAnsiTheme="minorEastAsia" w:eastAsiaTheme="minorEastAsia" w:cstheme="minorEastAsia"/>
                <w:spacing w:val="-2"/>
                <w:kern w:val="0"/>
                <w:szCs w:val="24"/>
              </w:rPr>
              <w:t>具备的资格要求</w:t>
            </w:r>
          </w:p>
        </w:tc>
        <w:tc>
          <w:tcPr>
            <w:tcW w:w="6307" w:type="dxa"/>
            <w:vAlign w:val="center"/>
          </w:tcPr>
          <w:p w14:paraId="4D583DD9">
            <w:pPr>
              <w:spacing w:before="32" w:line="232" w:lineRule="auto"/>
              <w:ind w:right="105"/>
              <w:rPr>
                <w:rFonts w:hint="eastAsia" w:asciiTheme="minorEastAsia" w:hAnsiTheme="minorEastAsia" w:eastAsiaTheme="minorEastAsia" w:cstheme="minorEastAsia"/>
                <w:kern w:val="0"/>
                <w:szCs w:val="24"/>
                <w:lang w:val="en-US" w:eastAsia="zh-CN"/>
              </w:rPr>
            </w:pPr>
            <w:r>
              <w:rPr>
                <w:rFonts w:hint="eastAsia" w:asciiTheme="minorEastAsia" w:hAnsiTheme="minorEastAsia" w:eastAsiaTheme="minorEastAsia" w:cstheme="minorEastAsia"/>
                <w:kern w:val="0"/>
                <w:szCs w:val="24"/>
                <w:lang w:val="en-US" w:eastAsia="zh-CN"/>
              </w:rPr>
              <w:t>1、满足《中华人民共和国政府采购法》第二十二条规定；2、落实政府采购政策满足的资格要求：</w:t>
            </w:r>
            <w:r>
              <w:rPr>
                <w:rFonts w:hint="eastAsia" w:asciiTheme="minorEastAsia" w:hAnsiTheme="minorEastAsia" w:eastAsiaTheme="minorEastAsia" w:cstheme="minorEastAsia"/>
                <w:kern w:val="0"/>
                <w:szCs w:val="24"/>
                <w:lang w:val="en-US" w:eastAsia="zh-CN"/>
              </w:rPr>
              <w:tab/>
            </w:r>
          </w:p>
          <w:p w14:paraId="17D5022E">
            <w:pPr>
              <w:spacing w:before="32" w:line="232" w:lineRule="auto"/>
              <w:ind w:right="105"/>
              <w:rPr>
                <w:rFonts w:hint="eastAsia" w:asciiTheme="minorEastAsia" w:hAnsiTheme="minorEastAsia" w:eastAsiaTheme="minorEastAsia" w:cstheme="minorEastAsia"/>
                <w:kern w:val="0"/>
                <w:szCs w:val="24"/>
                <w:lang w:val="en-US" w:eastAsia="zh-CN"/>
              </w:rPr>
            </w:pPr>
            <w:r>
              <w:rPr>
                <w:rFonts w:hint="eastAsia" w:asciiTheme="minorEastAsia" w:hAnsiTheme="minorEastAsia" w:eastAsiaTheme="minorEastAsia" w:cstheme="minorEastAsia"/>
                <w:kern w:val="0"/>
                <w:szCs w:val="24"/>
                <w:lang w:val="en-US" w:eastAsia="zh-CN"/>
              </w:rPr>
              <w:t>本项目执行扶持中小企业、监狱企业和残疾人福利性单位发展的政策</w:t>
            </w:r>
            <w:r>
              <w:rPr>
                <w:rFonts w:hint="eastAsia" w:asciiTheme="minorEastAsia" w:hAnsiTheme="minorEastAsia" w:eastAsiaTheme="minorEastAsia" w:cstheme="minorEastAsia"/>
                <w:kern w:val="0"/>
                <w:szCs w:val="24"/>
                <w:lang w:val="en-US" w:eastAsia="zh-CN"/>
              </w:rPr>
              <w:tab/>
            </w:r>
          </w:p>
          <w:p w14:paraId="464CFBC3">
            <w:pPr>
              <w:spacing w:before="32" w:line="232" w:lineRule="auto"/>
              <w:ind w:right="105"/>
              <w:rPr>
                <w:rFonts w:hint="eastAsia" w:asciiTheme="minorEastAsia" w:hAnsiTheme="minorEastAsia" w:eastAsiaTheme="minorEastAsia" w:cstheme="minorEastAsia"/>
                <w:kern w:val="0"/>
                <w:szCs w:val="24"/>
                <w:lang w:val="en-US" w:eastAsia="zh-CN"/>
              </w:rPr>
            </w:pPr>
            <w:r>
              <w:rPr>
                <w:rFonts w:hint="eastAsia" w:asciiTheme="minorEastAsia" w:hAnsiTheme="minorEastAsia" w:eastAsiaTheme="minorEastAsia" w:cstheme="minorEastAsia"/>
                <w:kern w:val="0"/>
                <w:szCs w:val="24"/>
                <w:lang w:val="en-US" w:eastAsia="zh-CN"/>
              </w:rPr>
              <w:t>3、本项目的特定资格要求</w:t>
            </w:r>
            <w:r>
              <w:rPr>
                <w:rFonts w:hint="eastAsia" w:asciiTheme="minorEastAsia" w:hAnsiTheme="minorEastAsia" w:eastAsiaTheme="minorEastAsia" w:cstheme="minorEastAsia"/>
                <w:kern w:val="0"/>
                <w:szCs w:val="24"/>
                <w:lang w:val="en-US" w:eastAsia="zh-CN"/>
              </w:rPr>
              <w:tab/>
            </w:r>
          </w:p>
          <w:p w14:paraId="1195FEEE">
            <w:pPr>
              <w:spacing w:before="32" w:line="232" w:lineRule="auto"/>
              <w:ind w:left="112" w:right="105" w:firstLine="480" w:firstLineChars="200"/>
              <w:rPr>
                <w:rFonts w:hint="eastAsia" w:asciiTheme="minorEastAsia" w:hAnsiTheme="minorEastAsia" w:eastAsiaTheme="minorEastAsia" w:cstheme="minorEastAsia"/>
                <w:kern w:val="0"/>
                <w:szCs w:val="24"/>
              </w:rPr>
            </w:pPr>
            <w:r>
              <w:rPr>
                <w:rFonts w:hint="eastAsia" w:asciiTheme="minorEastAsia" w:hAnsiTheme="minorEastAsia" w:eastAsiaTheme="minorEastAsia" w:cstheme="minorEastAsia"/>
                <w:kern w:val="0"/>
                <w:szCs w:val="24"/>
              </w:rPr>
              <w:t>（1）供应商需具有独立承担民事责任的能力以及有效的营业执照；</w:t>
            </w:r>
          </w:p>
          <w:p w14:paraId="4A40A569">
            <w:pPr>
              <w:spacing w:before="32" w:line="232" w:lineRule="auto"/>
              <w:ind w:left="112" w:right="105" w:firstLine="480" w:firstLineChars="200"/>
              <w:rPr>
                <w:rFonts w:hint="eastAsia" w:asciiTheme="minorEastAsia" w:hAnsiTheme="minorEastAsia" w:eastAsiaTheme="minorEastAsia" w:cstheme="minorEastAsia"/>
                <w:kern w:val="0"/>
                <w:szCs w:val="24"/>
              </w:rPr>
            </w:pPr>
            <w:r>
              <w:rPr>
                <w:rFonts w:hint="eastAsia" w:asciiTheme="minorEastAsia" w:hAnsiTheme="minorEastAsia" w:eastAsiaTheme="minorEastAsia" w:cstheme="minorEastAsia"/>
                <w:kern w:val="0"/>
                <w:szCs w:val="24"/>
              </w:rPr>
              <w:t>（2）供应商参加政府采购活动近三年内，在经营活动中没有重大违纪记录的书面声明；</w:t>
            </w:r>
          </w:p>
          <w:p w14:paraId="26D9E3CC">
            <w:pPr>
              <w:spacing w:before="32" w:line="232" w:lineRule="auto"/>
              <w:ind w:left="112" w:right="105" w:firstLine="480" w:firstLineChars="200"/>
              <w:rPr>
                <w:rFonts w:hint="eastAsia" w:asciiTheme="minorEastAsia" w:hAnsiTheme="minorEastAsia" w:eastAsiaTheme="minorEastAsia" w:cstheme="minorEastAsia"/>
                <w:kern w:val="0"/>
                <w:szCs w:val="24"/>
              </w:rPr>
            </w:pPr>
            <w:r>
              <w:rPr>
                <w:rFonts w:hint="eastAsia" w:asciiTheme="minorEastAsia" w:hAnsiTheme="minorEastAsia" w:eastAsiaTheme="minorEastAsia" w:cstheme="minorEastAsia"/>
                <w:kern w:val="0"/>
                <w:szCs w:val="24"/>
              </w:rPr>
              <w:t>（3）供应商须具备检验检测机构资质认定证书（CMA），CMA资质附表中的项目需包含本项目采购的检测内容，监督抽检任务检测项目需包含《食品安全监督抽检实施细则（2026年版）》中项目；</w:t>
            </w:r>
          </w:p>
          <w:p w14:paraId="3AF2FA65">
            <w:pPr>
              <w:spacing w:before="32" w:line="232" w:lineRule="auto"/>
              <w:ind w:left="112" w:right="105" w:firstLine="480" w:firstLineChars="200"/>
              <w:rPr>
                <w:rFonts w:hint="eastAsia" w:asciiTheme="minorEastAsia" w:hAnsiTheme="minorEastAsia" w:eastAsiaTheme="minorEastAsia" w:cstheme="minorEastAsia"/>
                <w:kern w:val="0"/>
                <w:szCs w:val="24"/>
              </w:rPr>
            </w:pPr>
            <w:r>
              <w:rPr>
                <w:rFonts w:hint="eastAsia" w:asciiTheme="minorEastAsia" w:hAnsiTheme="minorEastAsia" w:eastAsiaTheme="minorEastAsia" w:cstheme="minorEastAsia"/>
                <w:kern w:val="0"/>
                <w:szCs w:val="24"/>
              </w:rPr>
              <w:t>（4）供应商须具有保证检验检测质量、按照规定时限完成检验检测任务、提供良好的检验检测相关服务的能力（自行承诺）；</w:t>
            </w:r>
          </w:p>
          <w:p w14:paraId="32ED301C">
            <w:pPr>
              <w:spacing w:before="32" w:line="232" w:lineRule="auto"/>
              <w:ind w:left="112" w:right="105" w:firstLine="480" w:firstLineChars="200"/>
              <w:rPr>
                <w:rFonts w:hint="eastAsia" w:asciiTheme="minorEastAsia" w:hAnsiTheme="minorEastAsia" w:eastAsiaTheme="minorEastAsia" w:cstheme="minorEastAsia"/>
                <w:kern w:val="0"/>
                <w:szCs w:val="24"/>
              </w:rPr>
            </w:pPr>
            <w:r>
              <w:rPr>
                <w:rFonts w:hint="eastAsia" w:asciiTheme="minorEastAsia" w:hAnsiTheme="minorEastAsia" w:eastAsiaTheme="minorEastAsia" w:cstheme="minorEastAsia"/>
                <w:kern w:val="0"/>
                <w:szCs w:val="24"/>
              </w:rPr>
              <w:t>（5）供应商须具备与其检测项目、检品数量相适应的人员、仪器设备、环境设施及辅助用品、具备所有检验项目指定检验方法执行的检验检测能力及风险研判能力；具备与检验检测工作相适应、有效运行的质量管理体系（自行承诺）；</w:t>
            </w:r>
          </w:p>
          <w:p w14:paraId="5AE83A58">
            <w:pPr>
              <w:spacing w:before="32" w:line="232" w:lineRule="auto"/>
              <w:ind w:left="112" w:right="105" w:firstLine="480" w:firstLineChars="200"/>
              <w:rPr>
                <w:rFonts w:hint="eastAsia" w:asciiTheme="minorEastAsia" w:hAnsiTheme="minorEastAsia" w:eastAsiaTheme="minorEastAsia" w:cstheme="minorEastAsia"/>
                <w:kern w:val="0"/>
                <w:szCs w:val="24"/>
              </w:rPr>
            </w:pPr>
            <w:r>
              <w:rPr>
                <w:rFonts w:hint="eastAsia" w:asciiTheme="minorEastAsia" w:hAnsiTheme="minorEastAsia" w:eastAsiaTheme="minorEastAsia" w:cstheme="minorEastAsia"/>
                <w:kern w:val="0"/>
                <w:szCs w:val="24"/>
              </w:rPr>
              <w:t>（6）供应商须具有开展食品安全抽检所必需的抽样设备和技术能力，拥有独立的专业抽样队伍，具备抽样、送样的能力；按工作需要具备满足样品储运条件的设备和车辆。具备与检验检测工作相适应的人员、仪器设备与设施（自行承诺）；</w:t>
            </w:r>
          </w:p>
          <w:p w14:paraId="20D122C0">
            <w:pPr>
              <w:spacing w:before="32" w:line="232" w:lineRule="auto"/>
              <w:ind w:left="112" w:right="105" w:firstLine="480" w:firstLineChars="200"/>
              <w:rPr>
                <w:rFonts w:hint="eastAsia" w:asciiTheme="minorEastAsia" w:hAnsiTheme="minorEastAsia" w:eastAsiaTheme="minorEastAsia" w:cstheme="minorEastAsia"/>
                <w:kern w:val="0"/>
                <w:szCs w:val="24"/>
              </w:rPr>
            </w:pPr>
            <w:r>
              <w:rPr>
                <w:rFonts w:hint="eastAsia" w:asciiTheme="minorEastAsia" w:hAnsiTheme="minorEastAsia" w:eastAsiaTheme="minorEastAsia" w:cstheme="minorEastAsia"/>
                <w:kern w:val="0"/>
                <w:szCs w:val="24"/>
              </w:rPr>
              <w:t>（7）供应商须具有良好的商业信誉和健全的财务会计制度：供应商需提供2024年或2025年度财务报表或财务审计报告（若成立不足一年的公司，则提供成立月份以来的企业财务报表）；</w:t>
            </w:r>
          </w:p>
          <w:p w14:paraId="753EF262">
            <w:pPr>
              <w:spacing w:before="32" w:line="232" w:lineRule="auto"/>
              <w:ind w:left="112" w:right="105" w:firstLine="480" w:firstLineChars="200"/>
              <w:rPr>
                <w:rFonts w:hint="eastAsia" w:asciiTheme="minorEastAsia" w:hAnsiTheme="minorEastAsia" w:eastAsiaTheme="minorEastAsia" w:cstheme="minorEastAsia"/>
                <w:kern w:val="0"/>
                <w:szCs w:val="24"/>
              </w:rPr>
            </w:pPr>
            <w:r>
              <w:rPr>
                <w:rFonts w:hint="eastAsia" w:asciiTheme="minorEastAsia" w:hAnsiTheme="minorEastAsia" w:eastAsiaTheme="minorEastAsia" w:cstheme="minorEastAsia"/>
                <w:kern w:val="0"/>
                <w:szCs w:val="24"/>
              </w:rPr>
              <w:t>（8）供应商依法缴纳税收（提供近一年内任意三个月完税证明或缴税凭证）和社会保障资金（提供近一年内任意三个月的社保缴纳凭证或社保缴费记录)。依法免税或不需要缴纳社会保障资金的供应商，应提供相应证明文件；</w:t>
            </w:r>
          </w:p>
          <w:p w14:paraId="67E7262C">
            <w:pPr>
              <w:spacing w:before="32" w:line="232" w:lineRule="auto"/>
              <w:ind w:left="112" w:right="105" w:firstLine="480" w:firstLineChars="200"/>
              <w:rPr>
                <w:rFonts w:hint="eastAsia" w:asciiTheme="minorEastAsia" w:hAnsiTheme="minorEastAsia" w:eastAsiaTheme="minorEastAsia" w:cstheme="minorEastAsia"/>
                <w:kern w:val="0"/>
                <w:szCs w:val="24"/>
              </w:rPr>
            </w:pPr>
            <w:r>
              <w:rPr>
                <w:rFonts w:hint="eastAsia" w:asciiTheme="minorEastAsia" w:hAnsiTheme="minorEastAsia" w:eastAsiaTheme="minorEastAsia" w:cstheme="minorEastAsia"/>
                <w:kern w:val="0"/>
                <w:szCs w:val="24"/>
              </w:rPr>
              <w:t>（9）具有出具经电子签名检验报告并能够与相应信息系统做好数据对接的能力，具有食品安全分析研判能力和食品安全应急处置能力，能够按照规定时限完成检验检测任务，并及时填报相应的抽检信息平台（自行承诺）；</w:t>
            </w:r>
          </w:p>
          <w:p w14:paraId="76454559">
            <w:pPr>
              <w:spacing w:before="32" w:line="232" w:lineRule="auto"/>
              <w:ind w:left="112" w:right="105" w:firstLine="480" w:firstLineChars="200"/>
              <w:rPr>
                <w:rFonts w:hint="eastAsia" w:asciiTheme="minorEastAsia" w:hAnsiTheme="minorEastAsia" w:eastAsiaTheme="minorEastAsia" w:cstheme="minorEastAsia"/>
                <w:kern w:val="0"/>
                <w:szCs w:val="24"/>
              </w:rPr>
            </w:pPr>
            <w:r>
              <w:rPr>
                <w:rFonts w:hint="eastAsia" w:asciiTheme="minorEastAsia" w:hAnsiTheme="minorEastAsia" w:eastAsiaTheme="minorEastAsia" w:cstheme="minorEastAsia"/>
                <w:kern w:val="0"/>
                <w:szCs w:val="24"/>
              </w:rPr>
              <w:t>（10）根据《关于在政府采购活动中查询和使用信用记录有关问题通知》（财库【2016】125号）、豫财购（2016）15号的规定，对列入失信被执行人、重大税收违法失信主体、政府采购严重违法失信行为记录名单的投标人，拒绝参与本项目政府采购活动（查询渠道：“信用中国”网站、中国政府采购网，开标时提供相关网站查询截图）。查询日期不得早于竞争性磋商公告发布之日，提供截图必须清晰可辨；</w:t>
            </w:r>
          </w:p>
          <w:p w14:paraId="600580AC">
            <w:pPr>
              <w:spacing w:before="32" w:line="232" w:lineRule="auto"/>
              <w:ind w:left="112" w:right="105" w:firstLine="480" w:firstLineChars="200"/>
              <w:rPr>
                <w:rFonts w:hint="eastAsia" w:asciiTheme="minorEastAsia" w:hAnsiTheme="minorEastAsia" w:eastAsiaTheme="minorEastAsia" w:cstheme="minorEastAsia"/>
                <w:kern w:val="0"/>
                <w:szCs w:val="24"/>
              </w:rPr>
            </w:pPr>
            <w:r>
              <w:rPr>
                <w:rFonts w:hint="eastAsia" w:asciiTheme="minorEastAsia" w:hAnsiTheme="minorEastAsia" w:eastAsiaTheme="minorEastAsia" w:cstheme="minorEastAsia"/>
                <w:kern w:val="0"/>
                <w:szCs w:val="24"/>
              </w:rPr>
              <w:t>（11）本项目不接受联合体投标，不允许转包和分包。</w:t>
            </w:r>
          </w:p>
          <w:p w14:paraId="2A733C58">
            <w:pPr>
              <w:spacing w:before="32" w:line="232" w:lineRule="auto"/>
              <w:ind w:right="105" w:firstLine="480" w:firstLineChars="200"/>
              <w:rPr>
                <w:rFonts w:hint="eastAsia" w:asciiTheme="minorEastAsia" w:hAnsiTheme="minorEastAsia" w:eastAsiaTheme="minorEastAsia" w:cstheme="minorEastAsia"/>
                <w:kern w:val="0"/>
                <w:szCs w:val="24"/>
              </w:rPr>
            </w:pPr>
            <w:r>
              <w:rPr>
                <w:rFonts w:hint="eastAsia" w:asciiTheme="minorEastAsia" w:hAnsiTheme="minorEastAsia" w:eastAsiaTheme="minorEastAsia" w:cstheme="minorEastAsia"/>
                <w:kern w:val="0"/>
                <w:szCs w:val="24"/>
              </w:rPr>
              <w:t xml:space="preserve">  按照唐河县财政局《关于在政府采购活动中试行供应商资格信用承诺制的通知》唐财购[2021]18号的要求，供应商在投标(响应)时，按照规定提供“投标承诺函”(详见采购文件)的，无需再提交上述（7）、（8）的证明材料。供应商在中标(成交)后，应将上述由投标承诺函替代的证明材料提交采购人、采购代理机构，证明材料将随公告一并公示。</w:t>
            </w:r>
          </w:p>
          <w:p w14:paraId="55FCED8B">
            <w:pPr>
              <w:spacing w:before="32" w:line="232" w:lineRule="auto"/>
              <w:ind w:left="112" w:right="105" w:firstLine="480" w:firstLineChars="200"/>
              <w:rPr>
                <w:rFonts w:asciiTheme="minorEastAsia" w:hAnsiTheme="minorEastAsia" w:eastAsiaTheme="minorEastAsia" w:cstheme="minorEastAsia"/>
                <w:kern w:val="0"/>
                <w:szCs w:val="24"/>
              </w:rPr>
            </w:pPr>
            <w:r>
              <w:rPr>
                <w:rFonts w:hint="eastAsia" w:asciiTheme="minorEastAsia" w:hAnsiTheme="minorEastAsia" w:eastAsiaTheme="minorEastAsia" w:cstheme="minorEastAsia"/>
                <w:kern w:val="0"/>
                <w:szCs w:val="24"/>
              </w:rPr>
              <w:t>注：本项目实行资格后审，审查内容以投标截止时间前上传企业诚信库信息(南阳市诚信库网站 https://ggzyjy.nanyang.gov.cn/ )为准，过期更改的诚信库(南阳市)信息不做为本项目评审依据。开标现场不接受诚信库(南阳市)信息原件。诚信库(南阳市)上传信息必须内容齐全，真实有效，原件扫描清晰可辨。否则，由此造成应得分而未得分或审查不合格情况的，由投标企业承诺责任。</w:t>
            </w:r>
          </w:p>
        </w:tc>
        <w:tc>
          <w:tcPr>
            <w:tcW w:w="1500" w:type="dxa"/>
            <w:vAlign w:val="center"/>
          </w:tcPr>
          <w:p w14:paraId="05B9F230">
            <w:pPr>
              <w:spacing w:before="32" w:line="232" w:lineRule="auto"/>
              <w:ind w:left="112" w:right="105"/>
              <w:rPr>
                <w:rFonts w:asciiTheme="minorEastAsia" w:hAnsiTheme="minorEastAsia" w:eastAsiaTheme="minorEastAsia" w:cstheme="minorEastAsia"/>
                <w:spacing w:val="-2"/>
                <w:kern w:val="0"/>
                <w:szCs w:val="24"/>
              </w:rPr>
            </w:pPr>
            <w:r>
              <w:rPr>
                <w:rFonts w:hint="eastAsia" w:asciiTheme="minorEastAsia" w:hAnsiTheme="minorEastAsia" w:eastAsiaTheme="minorEastAsia" w:cstheme="minorEastAsia"/>
                <w:spacing w:val="-2"/>
                <w:kern w:val="0"/>
                <w:szCs w:val="24"/>
              </w:rPr>
              <w:t>供应商为企业（包括合伙企业、个体工商户）的，应提供有效的营业执照；</w:t>
            </w:r>
          </w:p>
          <w:p w14:paraId="1029B7BD">
            <w:pPr>
              <w:spacing w:before="32" w:line="232" w:lineRule="auto"/>
              <w:ind w:left="112" w:right="105"/>
              <w:rPr>
                <w:rFonts w:asciiTheme="minorEastAsia" w:hAnsiTheme="minorEastAsia" w:eastAsiaTheme="minorEastAsia" w:cstheme="minorEastAsia"/>
                <w:spacing w:val="-2"/>
                <w:kern w:val="0"/>
                <w:szCs w:val="24"/>
              </w:rPr>
            </w:pPr>
            <w:r>
              <w:rPr>
                <w:rFonts w:hint="eastAsia" w:asciiTheme="minorEastAsia" w:hAnsiTheme="minorEastAsia" w:eastAsiaTheme="minorEastAsia" w:cstheme="minorEastAsia"/>
                <w:spacing w:val="-2"/>
                <w:kern w:val="0"/>
                <w:szCs w:val="24"/>
              </w:rPr>
              <w:t>供应商为事业单位的，应提供有效的事业单位法人证书；</w:t>
            </w:r>
          </w:p>
          <w:p w14:paraId="42712912">
            <w:pPr>
              <w:spacing w:before="32" w:line="232" w:lineRule="auto"/>
              <w:ind w:left="112" w:right="105"/>
              <w:rPr>
                <w:rFonts w:asciiTheme="minorEastAsia" w:hAnsiTheme="minorEastAsia" w:eastAsiaTheme="minorEastAsia" w:cstheme="minorEastAsia"/>
                <w:spacing w:val="-2"/>
                <w:kern w:val="0"/>
                <w:szCs w:val="24"/>
              </w:rPr>
            </w:pPr>
            <w:r>
              <w:rPr>
                <w:rFonts w:hint="eastAsia" w:asciiTheme="minorEastAsia" w:hAnsiTheme="minorEastAsia" w:eastAsiaTheme="minorEastAsia" w:cstheme="minorEastAsia"/>
                <w:spacing w:val="-2"/>
                <w:kern w:val="0"/>
                <w:szCs w:val="24"/>
              </w:rPr>
              <w:t>供应商是非企业机构的，应提供有效的执业许可证、登记证书等证明文件；</w:t>
            </w:r>
          </w:p>
          <w:p w14:paraId="7C140BBB">
            <w:pPr>
              <w:spacing w:before="32" w:line="232" w:lineRule="auto"/>
              <w:ind w:left="112" w:right="105"/>
              <w:rPr>
                <w:rFonts w:asciiTheme="minorEastAsia" w:hAnsiTheme="minorEastAsia" w:eastAsiaTheme="minorEastAsia" w:cstheme="minorEastAsia"/>
                <w:spacing w:val="-2"/>
                <w:kern w:val="0"/>
                <w:szCs w:val="24"/>
              </w:rPr>
            </w:pPr>
            <w:r>
              <w:rPr>
                <w:rFonts w:hint="eastAsia" w:asciiTheme="minorEastAsia" w:hAnsiTheme="minorEastAsia" w:eastAsiaTheme="minorEastAsia" w:cstheme="minorEastAsia"/>
                <w:spacing w:val="-2"/>
                <w:kern w:val="0"/>
                <w:szCs w:val="24"/>
              </w:rPr>
              <w:t>供应商是自然人的，应提供有效的自然人身份证明。</w:t>
            </w:r>
          </w:p>
          <w:p w14:paraId="67D80589">
            <w:pPr>
              <w:spacing w:before="32" w:line="232" w:lineRule="auto"/>
              <w:ind w:left="112" w:right="105"/>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spacing w:val="-2"/>
                <w:kern w:val="0"/>
                <w:szCs w:val="24"/>
              </w:rPr>
              <w:t>分支机构参加采购的，应提供该分支机构或其所属法人/其他组织的相应证明文件；同时还应提供其所属法人/其他组织出具的授权其参与本项目的授权书（格式自拟，须加盖其所属法人/其他组织的公章）；对于银行、 保险、石油石化、电力、电信等行业的分支机构，可以提供上述授权，也可以提供其所属法人/其他组织的有关文件或制度等能够证明授权其独立开展业务的证明材料。</w:t>
            </w:r>
          </w:p>
        </w:tc>
      </w:tr>
      <w:tr w14:paraId="0F22E9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778" w:type="dxa"/>
            <w:vAlign w:val="center"/>
          </w:tcPr>
          <w:p w14:paraId="082FAC22">
            <w:pPr>
              <w:pStyle w:val="51"/>
              <w:spacing w:before="137" w:line="201" w:lineRule="auto"/>
              <w:ind w:left="243"/>
              <w:rPr>
                <w:rFonts w:asciiTheme="minorEastAsia" w:hAnsiTheme="minorEastAsia" w:eastAsiaTheme="minorEastAsia" w:cstheme="minorEastAsia"/>
                <w:szCs w:val="24"/>
                <w:lang w:eastAsia="zh-CN"/>
              </w:rPr>
            </w:pPr>
            <w:r>
              <w:rPr>
                <w:rFonts w:hint="eastAsia" w:asciiTheme="minorEastAsia" w:hAnsiTheme="minorEastAsia" w:eastAsiaTheme="minorEastAsia" w:cstheme="minorEastAsia"/>
                <w:spacing w:val="8"/>
                <w:szCs w:val="24"/>
                <w:lang w:eastAsia="zh-CN"/>
              </w:rPr>
              <w:t>2</w:t>
            </w:r>
          </w:p>
        </w:tc>
        <w:tc>
          <w:tcPr>
            <w:tcW w:w="1668" w:type="dxa"/>
            <w:vAlign w:val="center"/>
          </w:tcPr>
          <w:p w14:paraId="3BF880A0">
            <w:pPr>
              <w:spacing w:before="116" w:line="221" w:lineRule="auto"/>
              <w:ind w:left="136"/>
              <w:rPr>
                <w:rFonts w:asciiTheme="minorEastAsia" w:hAnsiTheme="minorEastAsia" w:eastAsiaTheme="minorEastAsia" w:cstheme="minorEastAsia"/>
                <w:kern w:val="0"/>
                <w:szCs w:val="24"/>
              </w:rPr>
            </w:pPr>
            <w:r>
              <w:rPr>
                <w:rFonts w:hint="eastAsia" w:asciiTheme="minorEastAsia" w:hAnsiTheme="minorEastAsia" w:eastAsiaTheme="minorEastAsia" w:cstheme="minorEastAsia"/>
                <w:spacing w:val="-5"/>
                <w:kern w:val="0"/>
                <w:szCs w:val="24"/>
              </w:rPr>
              <w:t>中小企业政策</w:t>
            </w:r>
          </w:p>
        </w:tc>
        <w:tc>
          <w:tcPr>
            <w:tcW w:w="6307" w:type="dxa"/>
            <w:vAlign w:val="center"/>
          </w:tcPr>
          <w:p w14:paraId="4CA408A4">
            <w:pPr>
              <w:spacing w:before="116" w:line="219" w:lineRule="auto"/>
              <w:ind w:left="119"/>
              <w:rPr>
                <w:rFonts w:asciiTheme="minorEastAsia" w:hAnsiTheme="minorEastAsia" w:eastAsiaTheme="minorEastAsia" w:cstheme="minorEastAsia"/>
                <w:kern w:val="0"/>
                <w:szCs w:val="24"/>
              </w:rPr>
            </w:pPr>
            <w:r>
              <w:rPr>
                <w:rFonts w:hint="eastAsia" w:asciiTheme="minorEastAsia" w:hAnsiTheme="minorEastAsia" w:eastAsiaTheme="minorEastAsia" w:cstheme="minorEastAsia"/>
                <w:spacing w:val="-2"/>
                <w:kern w:val="0"/>
                <w:szCs w:val="24"/>
              </w:rPr>
              <w:t>具体要求见第一章《竞争性磋商公告》</w:t>
            </w:r>
          </w:p>
        </w:tc>
        <w:tc>
          <w:tcPr>
            <w:tcW w:w="1500" w:type="dxa"/>
            <w:vAlign w:val="center"/>
          </w:tcPr>
          <w:p w14:paraId="299AC8A0">
            <w:pPr>
              <w:pStyle w:val="51"/>
              <w:rPr>
                <w:rFonts w:asciiTheme="minorEastAsia" w:hAnsiTheme="minorEastAsia" w:eastAsiaTheme="minorEastAsia" w:cstheme="minorEastAsia"/>
                <w:lang w:eastAsia="zh-CN"/>
              </w:rPr>
            </w:pPr>
          </w:p>
        </w:tc>
      </w:tr>
      <w:tr w14:paraId="53E6FD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3" w:hRule="atLeast"/>
        </w:trPr>
        <w:tc>
          <w:tcPr>
            <w:tcW w:w="778" w:type="dxa"/>
            <w:vAlign w:val="center"/>
          </w:tcPr>
          <w:p w14:paraId="48F99918">
            <w:pPr>
              <w:pStyle w:val="51"/>
              <w:spacing w:before="49" w:line="199" w:lineRule="auto"/>
              <w:jc w:val="center"/>
              <w:rPr>
                <w:rFonts w:asciiTheme="minorEastAsia" w:hAnsiTheme="minorEastAsia" w:eastAsiaTheme="minorEastAsia" w:cstheme="minorEastAsia"/>
                <w:szCs w:val="24"/>
              </w:rPr>
            </w:pPr>
            <w:r>
              <w:rPr>
                <w:rFonts w:hint="eastAsia" w:asciiTheme="minorEastAsia" w:hAnsiTheme="minorEastAsia" w:eastAsiaTheme="minorEastAsia" w:cstheme="minorEastAsia"/>
                <w:spacing w:val="8"/>
                <w:szCs w:val="24"/>
              </w:rPr>
              <w:t>2-1</w:t>
            </w:r>
          </w:p>
        </w:tc>
        <w:tc>
          <w:tcPr>
            <w:tcW w:w="1668" w:type="dxa"/>
            <w:vAlign w:val="center"/>
          </w:tcPr>
          <w:p w14:paraId="7CC415B2">
            <w:pPr>
              <w:spacing w:before="78" w:line="229" w:lineRule="auto"/>
              <w:ind w:left="112" w:right="105" w:firstLine="23"/>
              <w:rPr>
                <w:rFonts w:asciiTheme="minorEastAsia" w:hAnsiTheme="minorEastAsia" w:eastAsiaTheme="minorEastAsia" w:cstheme="minorEastAsia"/>
                <w:kern w:val="0"/>
                <w:szCs w:val="24"/>
              </w:rPr>
            </w:pPr>
            <w:r>
              <w:rPr>
                <w:rFonts w:hint="eastAsia" w:asciiTheme="minorEastAsia" w:hAnsiTheme="minorEastAsia" w:eastAsiaTheme="minorEastAsia" w:cstheme="minorEastAsia"/>
                <w:spacing w:val="7"/>
                <w:kern w:val="0"/>
                <w:szCs w:val="24"/>
              </w:rPr>
              <w:t>中小企业证明文</w:t>
            </w:r>
            <w:r>
              <w:rPr>
                <w:rFonts w:hint="eastAsia" w:asciiTheme="minorEastAsia" w:hAnsiTheme="minorEastAsia" w:eastAsiaTheme="minorEastAsia" w:cstheme="minorEastAsia"/>
                <w:kern w:val="0"/>
                <w:szCs w:val="24"/>
              </w:rPr>
              <w:t>件</w:t>
            </w:r>
          </w:p>
        </w:tc>
        <w:tc>
          <w:tcPr>
            <w:tcW w:w="6307" w:type="dxa"/>
            <w:vAlign w:val="center"/>
          </w:tcPr>
          <w:p w14:paraId="5460B4CD">
            <w:pPr>
              <w:spacing w:before="36" w:line="215" w:lineRule="auto"/>
              <w:ind w:left="115" w:right="102" w:firstLine="14"/>
              <w:rPr>
                <w:rFonts w:asciiTheme="minorEastAsia" w:hAnsiTheme="minorEastAsia" w:eastAsiaTheme="minorEastAsia" w:cstheme="minorEastAsia"/>
                <w:kern w:val="0"/>
                <w:szCs w:val="24"/>
              </w:rPr>
            </w:pPr>
            <w:r>
              <w:rPr>
                <w:rFonts w:hint="eastAsia" w:asciiTheme="minorEastAsia" w:hAnsiTheme="minorEastAsia" w:eastAsiaTheme="minorEastAsia" w:cstheme="minorEastAsia"/>
                <w:spacing w:val="1"/>
                <w:kern w:val="0"/>
                <w:szCs w:val="24"/>
              </w:rPr>
              <w:t>当本项目（包）涉及预留份额专门面向中小企业采购，此时须在在《资格证明文件》中</w:t>
            </w:r>
            <w:r>
              <w:rPr>
                <w:rFonts w:hint="eastAsia" w:asciiTheme="minorEastAsia" w:hAnsiTheme="minorEastAsia" w:eastAsiaTheme="minorEastAsia" w:cstheme="minorEastAsia"/>
                <w:spacing w:val="15"/>
                <w:kern w:val="0"/>
                <w:szCs w:val="24"/>
              </w:rPr>
              <w:t>提</w:t>
            </w:r>
            <w:r>
              <w:rPr>
                <w:rFonts w:hint="eastAsia" w:asciiTheme="minorEastAsia" w:hAnsiTheme="minorEastAsia" w:eastAsiaTheme="minorEastAsia" w:cstheme="minorEastAsia"/>
                <w:spacing w:val="-5"/>
                <w:kern w:val="0"/>
                <w:szCs w:val="24"/>
              </w:rPr>
              <w:t>供。</w:t>
            </w:r>
          </w:p>
          <w:p w14:paraId="123FD352">
            <w:pPr>
              <w:pStyle w:val="51"/>
              <w:spacing w:before="4" w:line="220" w:lineRule="auto"/>
              <w:ind w:left="116" w:right="102" w:firstLine="15"/>
              <w:rPr>
                <w:rFonts w:asciiTheme="minorEastAsia" w:hAnsiTheme="minorEastAsia" w:eastAsiaTheme="minorEastAsia" w:cstheme="minorEastAsia"/>
                <w:szCs w:val="24"/>
                <w:lang w:eastAsia="zh-CN"/>
              </w:rPr>
            </w:pPr>
            <w:r>
              <w:rPr>
                <w:rFonts w:hint="eastAsia" w:asciiTheme="minorEastAsia" w:hAnsiTheme="minorEastAsia" w:eastAsiaTheme="minorEastAsia" w:cstheme="minorEastAsia"/>
                <w:spacing w:val="-5"/>
                <w:szCs w:val="24"/>
                <w:lang w:eastAsia="zh-CN"/>
              </w:rPr>
              <w:t>1、</w:t>
            </w:r>
            <w:r>
              <w:rPr>
                <w:rFonts w:hint="eastAsia" w:asciiTheme="minorEastAsia" w:hAnsiTheme="minorEastAsia" w:eastAsiaTheme="minorEastAsia" w:cstheme="minorEastAsia"/>
                <w:spacing w:val="-2"/>
                <w:szCs w:val="24"/>
                <w:lang w:eastAsia="zh-CN"/>
              </w:rPr>
              <w:t>供应商</w:t>
            </w:r>
            <w:r>
              <w:rPr>
                <w:rFonts w:hint="eastAsia" w:asciiTheme="minorEastAsia" w:hAnsiTheme="minorEastAsia" w:eastAsiaTheme="minorEastAsia" w:cstheme="minorEastAsia"/>
                <w:spacing w:val="-5"/>
                <w:szCs w:val="24"/>
                <w:lang w:eastAsia="zh-CN"/>
              </w:rPr>
              <w:t>单独参与的，应提供《中小企业声</w:t>
            </w:r>
            <w:r>
              <w:rPr>
                <w:rFonts w:hint="eastAsia" w:asciiTheme="minorEastAsia" w:hAnsiTheme="minorEastAsia" w:eastAsiaTheme="minorEastAsia" w:cstheme="minorEastAsia"/>
                <w:spacing w:val="1"/>
                <w:szCs w:val="24"/>
                <w:lang w:eastAsia="zh-CN"/>
              </w:rPr>
              <w:t>明函》或《残疾人福利性单位声明函》或由省级以上监狱管理局、戒毒管理局（含新疆生产建设兵团）出具的属于监狱企业的证明</w:t>
            </w:r>
            <w:r>
              <w:rPr>
                <w:rFonts w:hint="eastAsia" w:asciiTheme="minorEastAsia" w:hAnsiTheme="minorEastAsia" w:eastAsiaTheme="minorEastAsia" w:cstheme="minorEastAsia"/>
                <w:spacing w:val="14"/>
                <w:szCs w:val="24"/>
                <w:lang w:eastAsia="zh-CN"/>
              </w:rPr>
              <w:t xml:space="preserve"> </w:t>
            </w:r>
            <w:r>
              <w:rPr>
                <w:rFonts w:hint="eastAsia" w:asciiTheme="minorEastAsia" w:hAnsiTheme="minorEastAsia" w:eastAsiaTheme="minorEastAsia" w:cstheme="minorEastAsia"/>
                <w:spacing w:val="-11"/>
                <w:szCs w:val="24"/>
                <w:lang w:eastAsia="zh-CN"/>
              </w:rPr>
              <w:t>文件。</w:t>
            </w:r>
          </w:p>
          <w:p w14:paraId="46EB8600">
            <w:pPr>
              <w:pStyle w:val="51"/>
              <w:spacing w:before="20" w:line="236" w:lineRule="auto"/>
              <w:ind w:left="113" w:right="102" w:firstLine="9"/>
              <w:rPr>
                <w:rFonts w:asciiTheme="minorEastAsia" w:hAnsiTheme="minorEastAsia" w:eastAsiaTheme="minorEastAsia" w:cstheme="minorEastAsia"/>
                <w:szCs w:val="24"/>
                <w:lang w:eastAsia="zh-CN"/>
              </w:rPr>
            </w:pPr>
            <w:r>
              <w:rPr>
                <w:rFonts w:hint="eastAsia" w:asciiTheme="minorEastAsia" w:hAnsiTheme="minorEastAsia" w:eastAsiaTheme="minorEastAsia" w:cstheme="minorEastAsia"/>
                <w:spacing w:val="-6"/>
                <w:szCs w:val="24"/>
                <w:lang w:eastAsia="zh-CN"/>
              </w:rPr>
              <w:t>2、如采购文件要求以联合体形式参加</w:t>
            </w:r>
            <w:r>
              <w:rPr>
                <w:rFonts w:hint="eastAsia" w:asciiTheme="minorEastAsia" w:hAnsiTheme="minorEastAsia" w:eastAsiaTheme="minorEastAsia" w:cstheme="minorEastAsia"/>
                <w:spacing w:val="1"/>
                <w:szCs w:val="24"/>
                <w:lang w:eastAsia="zh-CN"/>
              </w:rPr>
              <w:t>，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w:t>
            </w:r>
            <w:r>
              <w:rPr>
                <w:rFonts w:hint="eastAsia" w:asciiTheme="minorEastAsia" w:hAnsiTheme="minorEastAsia" w:eastAsiaTheme="minorEastAsia" w:cstheme="minorEastAsia"/>
                <w:spacing w:val="-2"/>
                <w:szCs w:val="24"/>
                <w:lang w:eastAsia="zh-CN"/>
              </w:rPr>
              <w:t>竞争性磋商</w:t>
            </w:r>
            <w:r>
              <w:rPr>
                <w:rFonts w:hint="eastAsia" w:asciiTheme="minorEastAsia" w:hAnsiTheme="minorEastAsia" w:eastAsiaTheme="minorEastAsia" w:cstheme="minorEastAsia"/>
                <w:spacing w:val="1"/>
                <w:szCs w:val="24"/>
                <w:lang w:eastAsia="zh-CN"/>
              </w:rPr>
              <w:t>文件</w:t>
            </w:r>
            <w:r>
              <w:rPr>
                <w:rFonts w:hint="eastAsia" w:asciiTheme="minorEastAsia" w:hAnsiTheme="minorEastAsia" w:eastAsiaTheme="minorEastAsia" w:cstheme="minorEastAsia"/>
                <w:spacing w:val="-4"/>
                <w:szCs w:val="24"/>
                <w:lang w:eastAsia="zh-CN"/>
              </w:rPr>
              <w:t>关于预留份额的要求。</w:t>
            </w:r>
          </w:p>
        </w:tc>
        <w:tc>
          <w:tcPr>
            <w:tcW w:w="1500" w:type="dxa"/>
            <w:vAlign w:val="center"/>
          </w:tcPr>
          <w:p w14:paraId="4D86F65E">
            <w:pPr>
              <w:spacing w:before="78" w:line="229" w:lineRule="auto"/>
              <w:ind w:left="118" w:right="116" w:hanging="1"/>
              <w:jc w:val="center"/>
              <w:rPr>
                <w:rFonts w:asciiTheme="minorEastAsia" w:hAnsiTheme="minorEastAsia" w:eastAsiaTheme="minorEastAsia" w:cstheme="minorEastAsia"/>
                <w:kern w:val="0"/>
                <w:szCs w:val="24"/>
              </w:rPr>
            </w:pPr>
            <w:r>
              <w:rPr>
                <w:rFonts w:hint="eastAsia" w:asciiTheme="minorEastAsia" w:hAnsiTheme="minorEastAsia" w:eastAsiaTheme="minorEastAsia" w:cstheme="minorEastAsia"/>
                <w:spacing w:val="-6"/>
                <w:kern w:val="0"/>
                <w:szCs w:val="24"/>
              </w:rPr>
              <w:t>格式见《响应</w:t>
            </w:r>
            <w:r>
              <w:rPr>
                <w:rFonts w:hint="eastAsia" w:asciiTheme="minorEastAsia" w:hAnsiTheme="minorEastAsia" w:eastAsiaTheme="minorEastAsia" w:cstheme="minorEastAsia"/>
                <w:spacing w:val="-4"/>
                <w:kern w:val="0"/>
                <w:szCs w:val="24"/>
              </w:rPr>
              <w:t>文件格式》</w:t>
            </w:r>
          </w:p>
        </w:tc>
      </w:tr>
      <w:tr w14:paraId="01130D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778" w:type="dxa"/>
            <w:vAlign w:val="center"/>
          </w:tcPr>
          <w:p w14:paraId="6D69CE1C">
            <w:pPr>
              <w:pStyle w:val="51"/>
              <w:spacing w:before="213" w:line="201" w:lineRule="auto"/>
              <w:ind w:left="364"/>
              <w:rPr>
                <w:rFonts w:asciiTheme="minorEastAsia" w:hAnsiTheme="minorEastAsia" w:eastAsiaTheme="minorEastAsia" w:cstheme="minorEastAsia"/>
                <w:szCs w:val="24"/>
              </w:rPr>
            </w:pPr>
            <w:r>
              <w:rPr>
                <w:rFonts w:hint="eastAsia" w:asciiTheme="minorEastAsia" w:hAnsiTheme="minorEastAsia" w:eastAsiaTheme="minorEastAsia" w:cstheme="minorEastAsia"/>
                <w:szCs w:val="24"/>
              </w:rPr>
              <w:t>3</w:t>
            </w:r>
          </w:p>
        </w:tc>
        <w:tc>
          <w:tcPr>
            <w:tcW w:w="1668" w:type="dxa"/>
            <w:vAlign w:val="center"/>
          </w:tcPr>
          <w:p w14:paraId="73F3D48D">
            <w:pPr>
              <w:spacing w:before="35" w:line="224" w:lineRule="auto"/>
              <w:ind w:left="113" w:right="105"/>
              <w:rPr>
                <w:rFonts w:asciiTheme="minorEastAsia" w:hAnsiTheme="minorEastAsia" w:eastAsiaTheme="minorEastAsia" w:cstheme="minorEastAsia"/>
                <w:kern w:val="0"/>
                <w:szCs w:val="24"/>
              </w:rPr>
            </w:pPr>
            <w:r>
              <w:rPr>
                <w:rFonts w:hint="eastAsia" w:asciiTheme="minorEastAsia" w:hAnsiTheme="minorEastAsia" w:eastAsiaTheme="minorEastAsia" w:cstheme="minorEastAsia"/>
                <w:spacing w:val="10"/>
                <w:kern w:val="0"/>
                <w:szCs w:val="24"/>
              </w:rPr>
              <w:t>本项目的其他资</w:t>
            </w:r>
            <w:r>
              <w:rPr>
                <w:rFonts w:hint="eastAsia" w:asciiTheme="minorEastAsia" w:hAnsiTheme="minorEastAsia" w:eastAsiaTheme="minorEastAsia" w:cstheme="minorEastAsia"/>
                <w:spacing w:val="-3"/>
                <w:kern w:val="0"/>
                <w:szCs w:val="24"/>
              </w:rPr>
              <w:t>格要求</w:t>
            </w:r>
          </w:p>
        </w:tc>
        <w:tc>
          <w:tcPr>
            <w:tcW w:w="6307" w:type="dxa"/>
            <w:vAlign w:val="center"/>
          </w:tcPr>
          <w:p w14:paraId="35F85D4F">
            <w:pPr>
              <w:spacing w:before="192" w:line="219" w:lineRule="auto"/>
              <w:ind w:left="118"/>
              <w:rPr>
                <w:rFonts w:asciiTheme="minorEastAsia" w:hAnsiTheme="minorEastAsia" w:eastAsiaTheme="minorEastAsia" w:cstheme="minorEastAsia"/>
                <w:kern w:val="0"/>
                <w:szCs w:val="24"/>
              </w:rPr>
            </w:pPr>
            <w:r>
              <w:rPr>
                <w:rFonts w:hint="eastAsia" w:asciiTheme="minorEastAsia" w:hAnsiTheme="minorEastAsia" w:eastAsiaTheme="minorEastAsia" w:cstheme="minorEastAsia"/>
                <w:spacing w:val="-2"/>
                <w:kern w:val="0"/>
                <w:szCs w:val="24"/>
              </w:rPr>
              <w:t>如有，见第一章《竞争性磋商公告》</w:t>
            </w:r>
          </w:p>
        </w:tc>
        <w:tc>
          <w:tcPr>
            <w:tcW w:w="1500" w:type="dxa"/>
            <w:vAlign w:val="center"/>
          </w:tcPr>
          <w:p w14:paraId="4A1D0057">
            <w:pPr>
              <w:pStyle w:val="51"/>
              <w:rPr>
                <w:rFonts w:asciiTheme="minorEastAsia" w:hAnsiTheme="minorEastAsia" w:eastAsiaTheme="minorEastAsia" w:cstheme="minorEastAsia"/>
                <w:lang w:eastAsia="zh-CN"/>
              </w:rPr>
            </w:pPr>
          </w:p>
        </w:tc>
      </w:tr>
    </w:tbl>
    <w:p w14:paraId="467AB4DD">
      <w:pPr>
        <w:pStyle w:val="45"/>
        <w:ind w:firstLine="482" w:firstLineChars="200"/>
        <w:rPr>
          <w:rFonts w:hint="eastAsia" w:asciiTheme="minorEastAsia" w:hAnsiTheme="minorEastAsia" w:eastAsiaTheme="minorEastAsia" w:cstheme="minorEastAsia"/>
          <w:b/>
          <w:bCs/>
          <w:color w:val="auto"/>
          <w:kern w:val="2"/>
          <w:sz w:val="24"/>
          <w:szCs w:val="24"/>
          <w:shd w:val="clear"/>
          <w:lang w:val="en-US" w:eastAsia="zh-CN" w:bidi="ar-SA"/>
        </w:rPr>
      </w:pPr>
      <w:r>
        <w:rPr>
          <w:rFonts w:hint="eastAsia" w:asciiTheme="minorEastAsia" w:hAnsiTheme="minorEastAsia" w:eastAsiaTheme="minorEastAsia" w:cstheme="minorEastAsia"/>
          <w:b/>
          <w:bCs/>
          <w:color w:val="auto"/>
          <w:kern w:val="2"/>
          <w:sz w:val="24"/>
          <w:szCs w:val="24"/>
          <w:shd w:val="clear"/>
          <w:lang w:val="en-US" w:eastAsia="zh-CN" w:bidi="ar-SA"/>
        </w:rPr>
        <w:t xml:space="preserve">备注：以上材料以供应商南阳市公共资源交易中心企业诚信库“投标所需的其他材料” </w:t>
      </w:r>
    </w:p>
    <w:p w14:paraId="488B28CB">
      <w:pPr>
        <w:pStyle w:val="45"/>
        <w:rPr>
          <w:rFonts w:hint="eastAsia" w:asciiTheme="minorEastAsia" w:hAnsiTheme="minorEastAsia" w:eastAsiaTheme="minorEastAsia" w:cstheme="minorEastAsia"/>
          <w:b/>
          <w:bCs/>
          <w:color w:val="auto"/>
          <w:kern w:val="2"/>
          <w:sz w:val="24"/>
          <w:szCs w:val="24"/>
          <w:shd w:val="clear"/>
          <w:lang w:val="en-US" w:eastAsia="zh-CN" w:bidi="ar-SA"/>
        </w:rPr>
      </w:pPr>
      <w:r>
        <w:rPr>
          <w:rFonts w:hint="eastAsia" w:asciiTheme="minorEastAsia" w:hAnsiTheme="minorEastAsia" w:eastAsiaTheme="minorEastAsia" w:cstheme="minorEastAsia"/>
          <w:b/>
          <w:bCs/>
          <w:color w:val="auto"/>
          <w:kern w:val="2"/>
          <w:sz w:val="24"/>
          <w:szCs w:val="24"/>
          <w:shd w:val="clear"/>
          <w:lang w:val="en-US" w:eastAsia="zh-CN" w:bidi="ar-SA"/>
        </w:rPr>
        <w:t xml:space="preserve">中上传的原件扫描件为准，由磋商小组依据投标企业在南阳市公共资源交易中心网站诚信库 </w:t>
      </w:r>
    </w:p>
    <w:p w14:paraId="7FD90F28">
      <w:pPr>
        <w:pStyle w:val="45"/>
        <w:rPr>
          <w:rFonts w:hint="eastAsia" w:asciiTheme="minorEastAsia" w:hAnsiTheme="minorEastAsia" w:eastAsiaTheme="minorEastAsia" w:cstheme="minorEastAsia"/>
          <w:b/>
          <w:bCs/>
          <w:color w:val="auto"/>
          <w:kern w:val="2"/>
          <w:sz w:val="24"/>
          <w:szCs w:val="24"/>
          <w:shd w:val="clear"/>
          <w:lang w:val="en-US" w:eastAsia="zh-CN" w:bidi="ar-SA"/>
        </w:rPr>
      </w:pPr>
      <w:r>
        <w:rPr>
          <w:rFonts w:hint="eastAsia" w:asciiTheme="minorEastAsia" w:hAnsiTheme="minorEastAsia" w:eastAsiaTheme="minorEastAsia" w:cstheme="minorEastAsia"/>
          <w:b/>
          <w:bCs/>
          <w:color w:val="auto"/>
          <w:kern w:val="2"/>
          <w:sz w:val="24"/>
          <w:szCs w:val="24"/>
          <w:shd w:val="clear"/>
          <w:lang w:val="en-US" w:eastAsia="zh-CN" w:bidi="ar-SA"/>
        </w:rPr>
        <w:t xml:space="preserve">填报的信息资料扫描件进行审查。以投标截止时间前填报上传企业诚信库信息为准，过期更 </w:t>
      </w:r>
    </w:p>
    <w:p w14:paraId="6BCB4D0C">
      <w:pPr>
        <w:pStyle w:val="45"/>
        <w:rPr>
          <w:rFonts w:hint="eastAsia" w:asciiTheme="minorEastAsia" w:hAnsiTheme="minorEastAsia" w:eastAsiaTheme="minorEastAsia" w:cstheme="minorEastAsia"/>
          <w:b/>
          <w:bCs/>
          <w:color w:val="auto"/>
          <w:kern w:val="2"/>
          <w:sz w:val="24"/>
          <w:szCs w:val="24"/>
          <w:shd w:val="clear"/>
          <w:lang w:val="en-US" w:eastAsia="zh-CN" w:bidi="ar-SA"/>
        </w:rPr>
      </w:pPr>
      <w:r>
        <w:rPr>
          <w:rFonts w:hint="eastAsia" w:asciiTheme="minorEastAsia" w:hAnsiTheme="minorEastAsia" w:eastAsiaTheme="minorEastAsia" w:cstheme="minorEastAsia"/>
          <w:b/>
          <w:bCs/>
          <w:color w:val="auto"/>
          <w:kern w:val="2"/>
          <w:sz w:val="24"/>
          <w:szCs w:val="24"/>
          <w:shd w:val="clear"/>
          <w:lang w:val="en-US" w:eastAsia="zh-CN" w:bidi="ar-SA"/>
        </w:rPr>
        <w:t xml:space="preserve">改的诚信库信息不作为本项目评审依据。开评标现场不接受诚信库信息原件。诚信库上传信 </w:t>
      </w:r>
    </w:p>
    <w:p w14:paraId="66FA154D">
      <w:pPr>
        <w:pStyle w:val="45"/>
        <w:rPr>
          <w:rFonts w:hint="eastAsia" w:asciiTheme="minorEastAsia" w:hAnsiTheme="minorEastAsia" w:eastAsiaTheme="minorEastAsia" w:cstheme="minorEastAsia"/>
          <w:b/>
          <w:bCs/>
          <w:color w:val="auto"/>
          <w:kern w:val="2"/>
          <w:sz w:val="24"/>
          <w:szCs w:val="24"/>
          <w:shd w:val="clear"/>
          <w:lang w:val="en-US" w:eastAsia="zh-CN" w:bidi="ar-SA"/>
        </w:rPr>
      </w:pPr>
      <w:r>
        <w:rPr>
          <w:rFonts w:hint="eastAsia" w:asciiTheme="minorEastAsia" w:hAnsiTheme="minorEastAsia" w:eastAsiaTheme="minorEastAsia" w:cstheme="minorEastAsia"/>
          <w:b/>
          <w:bCs/>
          <w:color w:val="auto"/>
          <w:kern w:val="2"/>
          <w:sz w:val="24"/>
          <w:szCs w:val="24"/>
          <w:shd w:val="clear"/>
          <w:lang w:val="en-US" w:eastAsia="zh-CN" w:bidi="ar-SA"/>
        </w:rPr>
        <w:t xml:space="preserve">息必须内容齐全，真实有效，原件扫描件清晰可辨。否则，由此造成资格审查不合格等情况 </w:t>
      </w:r>
    </w:p>
    <w:p w14:paraId="2E8CB8F5">
      <w:pPr>
        <w:pStyle w:val="45"/>
        <w:rPr>
          <w:rFonts w:hint="eastAsia" w:asciiTheme="minorEastAsia" w:hAnsiTheme="minorEastAsia" w:eastAsiaTheme="minorEastAsia" w:cstheme="minorEastAsia"/>
          <w:b/>
          <w:bCs/>
          <w:color w:val="auto"/>
          <w:kern w:val="2"/>
          <w:sz w:val="24"/>
          <w:szCs w:val="24"/>
          <w:shd w:val="clear"/>
          <w:lang w:val="en-US" w:eastAsia="zh-CN" w:bidi="ar-SA"/>
        </w:rPr>
      </w:pPr>
      <w:r>
        <w:rPr>
          <w:rFonts w:hint="eastAsia" w:asciiTheme="minorEastAsia" w:hAnsiTheme="minorEastAsia" w:eastAsiaTheme="minorEastAsia" w:cstheme="minorEastAsia"/>
          <w:b/>
          <w:bCs/>
          <w:color w:val="auto"/>
          <w:kern w:val="2"/>
          <w:sz w:val="24"/>
          <w:szCs w:val="24"/>
          <w:shd w:val="clear"/>
          <w:lang w:val="en-US" w:eastAsia="zh-CN" w:bidi="ar-SA"/>
        </w:rPr>
        <w:t>的，由投标企业承担责任</w:t>
      </w:r>
      <w:r>
        <w:rPr>
          <w:rFonts w:hint="eastAsia" w:cstheme="minorEastAsia"/>
          <w:b/>
          <w:bCs/>
          <w:color w:val="auto"/>
          <w:kern w:val="2"/>
          <w:sz w:val="24"/>
          <w:szCs w:val="24"/>
          <w:shd w:val="clear"/>
          <w:lang w:val="en-US" w:eastAsia="zh-CN" w:bidi="ar-SA"/>
        </w:rPr>
        <w:t>。</w:t>
      </w:r>
    </w:p>
    <w:p w14:paraId="0CE9E574">
      <w:pPr>
        <w:rPr>
          <w:rFonts w:hint="eastAsia" w:asciiTheme="minorEastAsia" w:hAnsiTheme="minorEastAsia" w:eastAsiaTheme="minorEastAsia" w:cstheme="minorEastAsia"/>
          <w:b/>
          <w:bCs/>
          <w:color w:val="auto"/>
          <w:kern w:val="2"/>
          <w:sz w:val="24"/>
          <w:szCs w:val="24"/>
          <w:shd w:val="clear"/>
          <w:lang w:val="en-US" w:eastAsia="zh-CN" w:bidi="ar-SA"/>
        </w:rPr>
      </w:pPr>
    </w:p>
    <w:p w14:paraId="3D66569D">
      <w:pPr>
        <w:pStyle w:val="13"/>
        <w:spacing w:line="360" w:lineRule="auto"/>
        <w:ind w:firstLine="486" w:firstLineChars="200"/>
        <w:rPr>
          <w:rFonts w:asciiTheme="minorEastAsia" w:hAnsiTheme="minorEastAsia" w:eastAsiaTheme="minorEastAsia" w:cstheme="minorEastAsia"/>
          <w:spacing w:val="1"/>
          <w:sz w:val="24"/>
          <w:szCs w:val="24"/>
          <w:lang w:eastAsia="zh-CN"/>
        </w:rPr>
      </w:pPr>
      <w:r>
        <w:rPr>
          <w:rFonts w:hint="eastAsia" w:asciiTheme="minorEastAsia" w:hAnsiTheme="minorEastAsia" w:eastAsiaTheme="minorEastAsia" w:cstheme="minorEastAsia"/>
          <w:b/>
          <w:bCs/>
          <w:spacing w:val="1"/>
          <w:sz w:val="24"/>
          <w:szCs w:val="24"/>
          <w:lang w:eastAsia="zh-CN"/>
        </w:rPr>
        <w:t>2.符合性审查</w:t>
      </w:r>
      <w:r>
        <w:rPr>
          <w:rFonts w:hint="eastAsia" w:asciiTheme="minorEastAsia" w:hAnsiTheme="minorEastAsia" w:eastAsiaTheme="minorEastAsia" w:cstheme="minorEastAsia"/>
          <w:spacing w:val="1"/>
          <w:sz w:val="24"/>
          <w:szCs w:val="24"/>
          <w:lang w:eastAsia="zh-CN"/>
        </w:rPr>
        <w:t>。</w:t>
      </w:r>
    </w:p>
    <w:tbl>
      <w:tblPr>
        <w:tblStyle w:val="31"/>
        <w:tblW w:w="102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
        <w:gridCol w:w="2903"/>
        <w:gridCol w:w="6397"/>
      </w:tblGrid>
      <w:tr w14:paraId="7D443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0" w:type="dxa"/>
            <w:vAlign w:val="center"/>
          </w:tcPr>
          <w:p w14:paraId="6E854FCD">
            <w:pPr>
              <w:pStyle w:val="45"/>
              <w:jc w:val="center"/>
              <w:rPr>
                <w:rFonts w:ascii="宋体" w:hAnsi="宋体" w:eastAsia="宋体"/>
                <w:b/>
              </w:rPr>
            </w:pPr>
            <w:r>
              <w:rPr>
                <w:rFonts w:hint="eastAsia" w:ascii="宋体" w:hAnsi="宋体" w:eastAsia="宋体"/>
                <w:b/>
              </w:rPr>
              <w:t>序号</w:t>
            </w:r>
          </w:p>
        </w:tc>
        <w:tc>
          <w:tcPr>
            <w:tcW w:w="2903" w:type="dxa"/>
            <w:vAlign w:val="center"/>
          </w:tcPr>
          <w:p w14:paraId="02A87059">
            <w:pPr>
              <w:pStyle w:val="45"/>
              <w:jc w:val="center"/>
              <w:rPr>
                <w:rFonts w:ascii="宋体" w:hAnsi="宋体" w:eastAsia="宋体"/>
                <w:b/>
              </w:rPr>
            </w:pPr>
            <w:r>
              <w:rPr>
                <w:rFonts w:hint="eastAsia" w:ascii="宋体" w:hAnsi="宋体" w:eastAsia="宋体"/>
                <w:b/>
              </w:rPr>
              <w:t>审查因素</w:t>
            </w:r>
          </w:p>
        </w:tc>
        <w:tc>
          <w:tcPr>
            <w:tcW w:w="6397" w:type="dxa"/>
            <w:vAlign w:val="center"/>
          </w:tcPr>
          <w:p w14:paraId="18D615D5">
            <w:pPr>
              <w:pStyle w:val="45"/>
              <w:jc w:val="center"/>
              <w:rPr>
                <w:rFonts w:ascii="宋体" w:hAnsi="宋体" w:eastAsia="宋体"/>
                <w:b/>
              </w:rPr>
            </w:pPr>
            <w:r>
              <w:rPr>
                <w:rFonts w:hint="eastAsia" w:ascii="宋体" w:hAnsi="宋体" w:eastAsia="宋体"/>
                <w:b/>
              </w:rPr>
              <w:t>审查内容</w:t>
            </w:r>
          </w:p>
        </w:tc>
      </w:tr>
      <w:tr w14:paraId="6714D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940" w:type="dxa"/>
            <w:vAlign w:val="top"/>
          </w:tcPr>
          <w:p w14:paraId="433D6754">
            <w:pPr>
              <w:pStyle w:val="45"/>
              <w:jc w:val="center"/>
              <w:rPr>
                <w:rFonts w:hint="eastAsia" w:ascii="宋体" w:hAnsi="宋体" w:eastAsia="宋体" w:cs="宋体"/>
                <w:bCs/>
              </w:rPr>
            </w:pPr>
          </w:p>
          <w:p w14:paraId="2DA3D7EA">
            <w:pPr>
              <w:pStyle w:val="45"/>
              <w:ind w:firstLine="240" w:firstLineChars="100"/>
              <w:jc w:val="both"/>
              <w:rPr>
                <w:rFonts w:hint="eastAsia" w:ascii="宋体" w:hAnsi="宋体" w:eastAsia="宋体" w:cs="宋体"/>
                <w:bCs/>
                <w:lang w:val="en-US" w:eastAsia="zh-CN"/>
              </w:rPr>
            </w:pPr>
            <w:r>
              <w:rPr>
                <w:rFonts w:hint="eastAsia" w:ascii="宋体" w:hAnsi="宋体" w:eastAsia="宋体" w:cs="宋体"/>
                <w:bCs/>
                <w:lang w:val="en-US" w:eastAsia="zh-CN"/>
              </w:rPr>
              <w:t>1</w:t>
            </w:r>
          </w:p>
        </w:tc>
        <w:tc>
          <w:tcPr>
            <w:tcW w:w="2903" w:type="dxa"/>
            <w:vAlign w:val="top"/>
          </w:tcPr>
          <w:p w14:paraId="05747C16">
            <w:pPr>
              <w:pStyle w:val="45"/>
              <w:jc w:val="both"/>
              <w:rPr>
                <w:rFonts w:hint="eastAsia" w:ascii="宋体" w:hAnsi="宋体" w:eastAsia="宋体" w:cs="宋体"/>
                <w:bCs/>
              </w:rPr>
            </w:pPr>
          </w:p>
          <w:p w14:paraId="78B593AE">
            <w:pPr>
              <w:pStyle w:val="45"/>
              <w:jc w:val="both"/>
              <w:rPr>
                <w:rFonts w:hint="eastAsia" w:ascii="宋体" w:hAnsi="宋体" w:eastAsia="宋体" w:cs="宋体"/>
                <w:bCs/>
              </w:rPr>
            </w:pPr>
            <w:r>
              <w:rPr>
                <w:rFonts w:hint="eastAsia" w:ascii="宋体" w:hAnsi="宋体" w:eastAsia="宋体" w:cs="宋体"/>
                <w:bCs/>
              </w:rPr>
              <w:t>供应商名称</w:t>
            </w:r>
          </w:p>
        </w:tc>
        <w:tc>
          <w:tcPr>
            <w:tcW w:w="6397" w:type="dxa"/>
            <w:vAlign w:val="top"/>
          </w:tcPr>
          <w:p w14:paraId="4AF3958A">
            <w:pPr>
              <w:pStyle w:val="45"/>
              <w:jc w:val="both"/>
              <w:rPr>
                <w:rFonts w:hint="eastAsia" w:ascii="宋体" w:hAnsi="宋体" w:eastAsia="宋体" w:cs="宋体"/>
                <w:bCs/>
              </w:rPr>
            </w:pPr>
            <w:r>
              <w:rPr>
                <w:rFonts w:hint="eastAsia" w:ascii="宋体" w:hAnsi="宋体" w:eastAsia="宋体" w:cs="宋体"/>
                <w:bCs/>
              </w:rPr>
              <w:t>与企业法人营业执照一致（以供应商南阳市公共资源交易中心企业诚信库“基本信息”中上传的原件扫描件为准）</w:t>
            </w:r>
          </w:p>
        </w:tc>
      </w:tr>
      <w:tr w14:paraId="68F92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0" w:type="dxa"/>
            <w:vAlign w:val="top"/>
          </w:tcPr>
          <w:p w14:paraId="43E710FC">
            <w:pPr>
              <w:pStyle w:val="45"/>
              <w:jc w:val="center"/>
              <w:rPr>
                <w:rFonts w:hint="eastAsia" w:ascii="宋体" w:hAnsi="宋体" w:eastAsia="宋体" w:cs="宋体"/>
                <w:bCs/>
                <w:lang w:val="en-US" w:eastAsia="zh-CN"/>
              </w:rPr>
            </w:pPr>
            <w:r>
              <w:rPr>
                <w:rFonts w:hint="eastAsia" w:ascii="宋体" w:hAnsi="宋体" w:eastAsia="宋体" w:cs="宋体"/>
                <w:bCs/>
                <w:lang w:val="en-US" w:eastAsia="zh-CN"/>
              </w:rPr>
              <w:t>2</w:t>
            </w:r>
          </w:p>
        </w:tc>
        <w:tc>
          <w:tcPr>
            <w:tcW w:w="2903" w:type="dxa"/>
            <w:vAlign w:val="top"/>
          </w:tcPr>
          <w:p w14:paraId="71349548">
            <w:pPr>
              <w:pStyle w:val="45"/>
              <w:jc w:val="both"/>
              <w:rPr>
                <w:rFonts w:hint="eastAsia" w:ascii="宋体" w:hAnsi="宋体" w:eastAsia="宋体" w:cs="宋体"/>
                <w:bCs/>
              </w:rPr>
            </w:pPr>
            <w:r>
              <w:rPr>
                <w:rFonts w:hint="eastAsia" w:ascii="宋体" w:hAnsi="宋体" w:eastAsia="宋体" w:cs="宋体"/>
                <w:bCs/>
              </w:rPr>
              <w:t>响应性文件签字盖章</w:t>
            </w:r>
          </w:p>
        </w:tc>
        <w:tc>
          <w:tcPr>
            <w:tcW w:w="6397" w:type="dxa"/>
            <w:vAlign w:val="top"/>
          </w:tcPr>
          <w:p w14:paraId="18413F10">
            <w:pPr>
              <w:pStyle w:val="45"/>
              <w:jc w:val="both"/>
              <w:rPr>
                <w:rFonts w:hint="eastAsia" w:ascii="宋体" w:hAnsi="宋体" w:eastAsia="宋体" w:cs="宋体"/>
                <w:bCs/>
              </w:rPr>
            </w:pPr>
            <w:r>
              <w:rPr>
                <w:rFonts w:hint="eastAsia" w:ascii="宋体" w:hAnsi="宋体" w:eastAsia="宋体" w:cs="宋体"/>
                <w:bCs/>
              </w:rPr>
              <w:t>按照磋商文件要求签字盖章</w:t>
            </w:r>
          </w:p>
        </w:tc>
      </w:tr>
      <w:tr w14:paraId="73BF8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0" w:type="dxa"/>
            <w:vAlign w:val="top"/>
          </w:tcPr>
          <w:p w14:paraId="62CE9F6C">
            <w:pPr>
              <w:pStyle w:val="45"/>
              <w:jc w:val="center"/>
              <w:rPr>
                <w:rFonts w:hint="eastAsia" w:ascii="宋体" w:hAnsi="宋体" w:eastAsia="宋体" w:cs="宋体"/>
                <w:bCs/>
                <w:lang w:val="en-US" w:eastAsia="zh-CN"/>
              </w:rPr>
            </w:pPr>
            <w:r>
              <w:rPr>
                <w:rFonts w:hint="eastAsia" w:ascii="宋体" w:hAnsi="宋体" w:eastAsia="宋体" w:cs="宋体"/>
                <w:bCs/>
                <w:lang w:val="en-US" w:eastAsia="zh-CN"/>
              </w:rPr>
              <w:t>3</w:t>
            </w:r>
          </w:p>
        </w:tc>
        <w:tc>
          <w:tcPr>
            <w:tcW w:w="2903" w:type="dxa"/>
            <w:vAlign w:val="top"/>
          </w:tcPr>
          <w:p w14:paraId="17EEF036">
            <w:pPr>
              <w:pStyle w:val="45"/>
              <w:jc w:val="both"/>
              <w:rPr>
                <w:rFonts w:hint="eastAsia" w:ascii="宋体" w:hAnsi="宋体" w:eastAsia="宋体" w:cs="宋体"/>
                <w:bCs/>
              </w:rPr>
            </w:pPr>
            <w:r>
              <w:rPr>
                <w:rFonts w:hint="eastAsia" w:ascii="宋体" w:hAnsi="宋体" w:eastAsia="宋体" w:cs="宋体"/>
                <w:bCs/>
              </w:rPr>
              <w:t>报价唯一</w:t>
            </w:r>
          </w:p>
        </w:tc>
        <w:tc>
          <w:tcPr>
            <w:tcW w:w="6397" w:type="dxa"/>
            <w:vAlign w:val="top"/>
          </w:tcPr>
          <w:p w14:paraId="0F02F775">
            <w:pPr>
              <w:pStyle w:val="45"/>
              <w:jc w:val="both"/>
              <w:rPr>
                <w:rFonts w:hint="eastAsia" w:ascii="宋体" w:hAnsi="宋体" w:eastAsia="宋体" w:cs="宋体"/>
                <w:bCs/>
              </w:rPr>
            </w:pPr>
            <w:r>
              <w:rPr>
                <w:rFonts w:hint="eastAsia" w:ascii="宋体" w:hAnsi="宋体" w:eastAsia="宋体" w:cs="宋体"/>
                <w:bCs/>
              </w:rPr>
              <w:t>只有一个有效报价且不超过最高限价</w:t>
            </w:r>
          </w:p>
        </w:tc>
      </w:tr>
      <w:tr w14:paraId="21383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940" w:type="dxa"/>
            <w:vAlign w:val="center"/>
          </w:tcPr>
          <w:p w14:paraId="27892E7E">
            <w:pPr>
              <w:pStyle w:val="45"/>
              <w:jc w:val="center"/>
              <w:rPr>
                <w:rFonts w:ascii="宋体" w:hAnsi="宋体" w:eastAsia="宋体"/>
              </w:rPr>
            </w:pPr>
            <w:r>
              <w:rPr>
                <w:rFonts w:hint="eastAsia" w:ascii="宋体" w:hAnsi="宋体" w:eastAsia="宋体"/>
              </w:rPr>
              <w:t>4</w:t>
            </w:r>
          </w:p>
        </w:tc>
        <w:tc>
          <w:tcPr>
            <w:tcW w:w="2903" w:type="dxa"/>
            <w:vAlign w:val="center"/>
          </w:tcPr>
          <w:p w14:paraId="4739E61B">
            <w:pPr>
              <w:pStyle w:val="45"/>
              <w:jc w:val="both"/>
              <w:rPr>
                <w:rFonts w:hint="eastAsia" w:ascii="宋体" w:hAnsi="宋体" w:eastAsia="宋体" w:cs="宋体"/>
                <w:bCs/>
              </w:rPr>
            </w:pPr>
            <w:r>
              <w:rPr>
                <w:rFonts w:hint="eastAsia" w:ascii="宋体" w:hAnsi="宋体" w:eastAsia="宋体" w:cs="宋体"/>
                <w:bCs/>
              </w:rPr>
              <w:t>响应文件格式</w:t>
            </w:r>
          </w:p>
        </w:tc>
        <w:tc>
          <w:tcPr>
            <w:tcW w:w="6397" w:type="dxa"/>
            <w:vAlign w:val="center"/>
          </w:tcPr>
          <w:p w14:paraId="4DE813C3">
            <w:pPr>
              <w:pStyle w:val="45"/>
              <w:jc w:val="both"/>
              <w:rPr>
                <w:rFonts w:hint="eastAsia" w:ascii="宋体" w:hAnsi="宋体" w:eastAsia="宋体" w:cs="宋体"/>
                <w:bCs/>
              </w:rPr>
            </w:pPr>
            <w:r>
              <w:rPr>
                <w:rFonts w:hint="eastAsia" w:ascii="宋体" w:hAnsi="宋体" w:eastAsia="宋体" w:cs="宋体"/>
                <w:bCs/>
                <w:lang w:eastAsia="zh-CN"/>
              </w:rPr>
              <w:t>符合竞争性磋商文件中相关要求</w:t>
            </w:r>
          </w:p>
        </w:tc>
      </w:tr>
      <w:tr w14:paraId="4A75E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940" w:type="dxa"/>
            <w:vAlign w:val="center"/>
          </w:tcPr>
          <w:p w14:paraId="46EB9204">
            <w:pPr>
              <w:pStyle w:val="45"/>
              <w:jc w:val="center"/>
              <w:rPr>
                <w:rFonts w:ascii="宋体" w:hAnsi="宋体" w:eastAsia="宋体"/>
                <w:bCs/>
              </w:rPr>
            </w:pPr>
            <w:r>
              <w:rPr>
                <w:rFonts w:hint="eastAsia" w:ascii="宋体" w:hAnsi="宋体" w:eastAsia="宋体"/>
                <w:bCs/>
              </w:rPr>
              <w:t>5</w:t>
            </w:r>
          </w:p>
        </w:tc>
        <w:tc>
          <w:tcPr>
            <w:tcW w:w="2903" w:type="dxa"/>
            <w:vAlign w:val="center"/>
          </w:tcPr>
          <w:p w14:paraId="61F8DCC0">
            <w:pPr>
              <w:pStyle w:val="45"/>
              <w:jc w:val="left"/>
              <w:rPr>
                <w:rFonts w:hint="default" w:ascii="宋体" w:hAnsi="宋体" w:eastAsia="宋体"/>
                <w:bCs/>
                <w:lang w:val="en-US" w:eastAsia="zh-CN"/>
              </w:rPr>
            </w:pPr>
            <w:r>
              <w:rPr>
                <w:rFonts w:hint="eastAsia" w:ascii="宋体" w:hAnsi="宋体" w:eastAsia="宋体"/>
                <w:bCs/>
                <w:lang w:val="en-US" w:eastAsia="zh-CN"/>
              </w:rPr>
              <w:t>服务期限</w:t>
            </w:r>
          </w:p>
        </w:tc>
        <w:tc>
          <w:tcPr>
            <w:tcW w:w="6397" w:type="dxa"/>
            <w:vAlign w:val="center"/>
          </w:tcPr>
          <w:p w14:paraId="0324A2F2">
            <w:pPr>
              <w:pStyle w:val="45"/>
              <w:jc w:val="left"/>
              <w:rPr>
                <w:rFonts w:ascii="宋体" w:hAnsi="宋体" w:eastAsia="宋体"/>
                <w:bCs/>
              </w:rPr>
            </w:pPr>
            <w:r>
              <w:rPr>
                <w:rFonts w:hint="eastAsia" w:ascii="宋体" w:hAnsi="宋体" w:eastAsia="宋体" w:cs="宋体"/>
                <w:bCs/>
                <w:lang w:eastAsia="zh-CN"/>
              </w:rPr>
              <w:t>符合竞争性磋商文件中相关要求</w:t>
            </w:r>
          </w:p>
        </w:tc>
      </w:tr>
      <w:tr w14:paraId="28FF5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0" w:type="dxa"/>
            <w:vAlign w:val="center"/>
          </w:tcPr>
          <w:p w14:paraId="3A65C130">
            <w:pPr>
              <w:pStyle w:val="45"/>
              <w:jc w:val="center"/>
              <w:rPr>
                <w:rFonts w:ascii="宋体" w:hAnsi="宋体" w:eastAsia="宋体"/>
                <w:bCs/>
              </w:rPr>
            </w:pPr>
            <w:r>
              <w:rPr>
                <w:rFonts w:hint="eastAsia" w:ascii="宋体" w:hAnsi="宋体" w:eastAsia="宋体"/>
                <w:bCs/>
              </w:rPr>
              <w:t>6</w:t>
            </w:r>
          </w:p>
        </w:tc>
        <w:tc>
          <w:tcPr>
            <w:tcW w:w="2903" w:type="dxa"/>
            <w:vAlign w:val="center"/>
          </w:tcPr>
          <w:p w14:paraId="07EB4A65">
            <w:pPr>
              <w:pStyle w:val="45"/>
              <w:jc w:val="both"/>
              <w:rPr>
                <w:rFonts w:hint="eastAsia" w:ascii="宋体" w:hAnsi="宋体" w:eastAsia="宋体"/>
                <w:bCs/>
                <w:lang w:eastAsia="zh-CN"/>
              </w:rPr>
            </w:pPr>
            <w:r>
              <w:rPr>
                <w:rFonts w:hint="eastAsia" w:ascii="宋体" w:hAnsi="宋体" w:eastAsia="宋体"/>
                <w:bCs/>
              </w:rPr>
              <w:t>质量</w:t>
            </w:r>
            <w:r>
              <w:rPr>
                <w:rFonts w:hint="eastAsia" w:ascii="宋体" w:hAnsi="宋体" w:eastAsia="宋体"/>
                <w:bCs/>
                <w:lang w:val="en-US" w:eastAsia="zh-CN"/>
              </w:rPr>
              <w:t>标准</w:t>
            </w:r>
          </w:p>
        </w:tc>
        <w:tc>
          <w:tcPr>
            <w:tcW w:w="6397" w:type="dxa"/>
            <w:vAlign w:val="center"/>
          </w:tcPr>
          <w:p w14:paraId="2BFC84F2">
            <w:pPr>
              <w:pStyle w:val="45"/>
              <w:jc w:val="both"/>
              <w:rPr>
                <w:rFonts w:ascii="宋体" w:hAnsi="宋体" w:eastAsia="宋体"/>
                <w:bCs/>
              </w:rPr>
            </w:pPr>
            <w:r>
              <w:rPr>
                <w:rFonts w:hint="eastAsia" w:ascii="宋体" w:hAnsi="宋体" w:eastAsia="宋体" w:cs="宋体"/>
                <w:bCs/>
                <w:lang w:eastAsia="zh-CN"/>
              </w:rPr>
              <w:t>符合竞争性磋商文件中相关要求</w:t>
            </w:r>
          </w:p>
        </w:tc>
      </w:tr>
      <w:tr w14:paraId="1E05C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0" w:type="dxa"/>
            <w:vAlign w:val="center"/>
          </w:tcPr>
          <w:p w14:paraId="1FA5BAA0">
            <w:pPr>
              <w:pStyle w:val="45"/>
              <w:jc w:val="center"/>
              <w:rPr>
                <w:rFonts w:hint="default" w:ascii="宋体" w:hAnsi="宋体" w:eastAsia="宋体" w:cs="宋体"/>
                <w:bCs/>
                <w:lang w:val="en-US" w:eastAsia="zh-CN"/>
              </w:rPr>
            </w:pPr>
            <w:r>
              <w:rPr>
                <w:rFonts w:hint="eastAsia" w:ascii="宋体" w:hAnsi="宋体" w:eastAsia="宋体" w:cs="宋体"/>
                <w:bCs/>
                <w:lang w:val="en-US" w:eastAsia="zh-CN"/>
              </w:rPr>
              <w:t>7</w:t>
            </w:r>
          </w:p>
        </w:tc>
        <w:tc>
          <w:tcPr>
            <w:tcW w:w="2903" w:type="dxa"/>
            <w:vAlign w:val="top"/>
          </w:tcPr>
          <w:p w14:paraId="29DA7FA3">
            <w:pPr>
              <w:pStyle w:val="45"/>
              <w:jc w:val="left"/>
              <w:rPr>
                <w:rFonts w:hint="eastAsia" w:ascii="宋体" w:hAnsi="宋体" w:eastAsia="宋体" w:cs="宋体"/>
                <w:bCs/>
                <w:lang w:val="en-US" w:eastAsia="en-US"/>
              </w:rPr>
            </w:pPr>
            <w:r>
              <w:rPr>
                <w:rFonts w:hint="eastAsia" w:ascii="宋体" w:hAnsi="宋体" w:eastAsia="宋体" w:cs="宋体"/>
                <w:bCs/>
                <w:lang w:eastAsia="zh-CN"/>
              </w:rPr>
              <w:t>采购内容</w:t>
            </w:r>
          </w:p>
        </w:tc>
        <w:tc>
          <w:tcPr>
            <w:tcW w:w="6397" w:type="dxa"/>
            <w:vAlign w:val="top"/>
          </w:tcPr>
          <w:p w14:paraId="226A85C1">
            <w:pPr>
              <w:pStyle w:val="45"/>
              <w:jc w:val="left"/>
              <w:rPr>
                <w:rFonts w:hint="eastAsia" w:ascii="宋体" w:hAnsi="宋体" w:eastAsia="宋体" w:cs="宋体"/>
                <w:bCs/>
                <w:lang w:val="en-US" w:eastAsia="en-US"/>
              </w:rPr>
            </w:pPr>
            <w:r>
              <w:rPr>
                <w:rFonts w:hint="eastAsia" w:ascii="宋体" w:hAnsi="宋体" w:eastAsia="宋体" w:cs="宋体"/>
                <w:bCs/>
                <w:lang w:eastAsia="zh-CN"/>
              </w:rPr>
              <w:t>符合竞争性磋商文件中相关要求</w:t>
            </w:r>
          </w:p>
        </w:tc>
      </w:tr>
      <w:tr w14:paraId="55330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0" w:type="dxa"/>
            <w:vAlign w:val="center"/>
          </w:tcPr>
          <w:p w14:paraId="6E4A1033">
            <w:pPr>
              <w:pStyle w:val="45"/>
              <w:jc w:val="center"/>
              <w:rPr>
                <w:rFonts w:hint="default" w:ascii="宋体" w:hAnsi="宋体" w:eastAsia="宋体" w:cs="宋体"/>
                <w:bCs/>
                <w:lang w:val="en-US" w:eastAsia="zh-CN"/>
              </w:rPr>
            </w:pPr>
            <w:r>
              <w:rPr>
                <w:rFonts w:hint="eastAsia" w:ascii="宋体" w:hAnsi="宋体" w:eastAsia="宋体" w:cs="宋体"/>
                <w:bCs/>
                <w:lang w:val="en-US" w:eastAsia="zh-CN"/>
              </w:rPr>
              <w:t>8</w:t>
            </w:r>
          </w:p>
        </w:tc>
        <w:tc>
          <w:tcPr>
            <w:tcW w:w="2903" w:type="dxa"/>
            <w:vAlign w:val="top"/>
          </w:tcPr>
          <w:p w14:paraId="7EAA1CDB">
            <w:pPr>
              <w:pStyle w:val="45"/>
              <w:jc w:val="left"/>
              <w:rPr>
                <w:rFonts w:hint="eastAsia" w:ascii="宋体" w:hAnsi="宋体" w:eastAsia="宋体" w:cs="宋体"/>
                <w:bCs/>
                <w:lang w:val="en-US" w:eastAsia="en-US"/>
              </w:rPr>
            </w:pPr>
            <w:r>
              <w:rPr>
                <w:rFonts w:hint="eastAsia" w:ascii="宋体" w:hAnsi="宋体" w:eastAsia="宋体" w:cs="宋体"/>
                <w:bCs/>
                <w:lang w:eastAsia="zh-CN"/>
              </w:rPr>
              <w:t>磋商有效期</w:t>
            </w:r>
          </w:p>
        </w:tc>
        <w:tc>
          <w:tcPr>
            <w:tcW w:w="6397" w:type="dxa"/>
            <w:vAlign w:val="top"/>
          </w:tcPr>
          <w:p w14:paraId="1A5B4D05">
            <w:pPr>
              <w:pStyle w:val="45"/>
              <w:jc w:val="left"/>
              <w:rPr>
                <w:rFonts w:hint="eastAsia" w:ascii="宋体" w:hAnsi="宋体" w:eastAsia="宋体" w:cs="宋体"/>
                <w:bCs/>
                <w:lang w:val="en-US" w:eastAsia="en-US"/>
              </w:rPr>
            </w:pPr>
            <w:r>
              <w:rPr>
                <w:rFonts w:hint="eastAsia" w:ascii="宋体" w:hAnsi="宋体" w:eastAsia="宋体" w:cs="宋体"/>
                <w:bCs/>
                <w:lang w:eastAsia="zh-CN"/>
              </w:rPr>
              <w:t>符合竞争性磋商文件中相关要求</w:t>
            </w:r>
          </w:p>
        </w:tc>
      </w:tr>
    </w:tbl>
    <w:p w14:paraId="6A6C110A">
      <w:pPr>
        <w:spacing w:line="360" w:lineRule="auto"/>
        <w:ind w:firstLine="492" w:firstLineChars="200"/>
        <w:rPr>
          <w:rFonts w:asciiTheme="minorEastAsia" w:hAnsiTheme="minorEastAsia" w:cstheme="minorEastAsia"/>
          <w:spacing w:val="3"/>
          <w:szCs w:val="24"/>
        </w:rPr>
      </w:pPr>
      <w:r>
        <w:rPr>
          <w:rFonts w:hint="eastAsia" w:asciiTheme="minorEastAsia" w:hAnsiTheme="minorEastAsia" w:cstheme="minorEastAsia"/>
          <w:spacing w:val="3"/>
          <w:szCs w:val="24"/>
        </w:rPr>
        <w:t>磋商小组依据竞争性磋商文件的规定检查供应商响应文件制作内容的完整度和符合性是否符合竞争性磋商文件的各项要求。</w:t>
      </w:r>
    </w:p>
    <w:p w14:paraId="238F5420">
      <w:pPr>
        <w:spacing w:line="360" w:lineRule="auto"/>
        <w:ind w:firstLine="492" w:firstLineChars="200"/>
        <w:rPr>
          <w:rFonts w:asciiTheme="minorEastAsia" w:hAnsiTheme="minorEastAsia" w:cstheme="minorEastAsia"/>
          <w:spacing w:val="3"/>
          <w:szCs w:val="24"/>
        </w:rPr>
      </w:pPr>
      <w:r>
        <w:rPr>
          <w:rFonts w:hint="eastAsia" w:asciiTheme="minorEastAsia" w:hAnsiTheme="minorEastAsia" w:cstheme="minorEastAsia"/>
          <w:spacing w:val="3"/>
          <w:szCs w:val="24"/>
        </w:rPr>
        <w:t>只有通过以上审查的供应商的响应文件，方可进入商务和技术评估，综合比较与评价。</w:t>
      </w:r>
    </w:p>
    <w:p w14:paraId="1678D08C">
      <w:pPr>
        <w:spacing w:line="360" w:lineRule="auto"/>
        <w:ind w:firstLine="492" w:firstLineChars="200"/>
        <w:rPr>
          <w:rFonts w:asciiTheme="minorEastAsia" w:hAnsiTheme="minorEastAsia" w:cstheme="minorEastAsia"/>
          <w:spacing w:val="3"/>
          <w:szCs w:val="24"/>
        </w:rPr>
      </w:pPr>
      <w:r>
        <w:rPr>
          <w:rFonts w:hint="eastAsia" w:asciiTheme="minorEastAsia" w:hAnsiTheme="minorEastAsia" w:cstheme="minorEastAsia"/>
          <w:spacing w:val="3"/>
          <w:szCs w:val="24"/>
        </w:rPr>
        <w:t>3、技术（服务）审查。磋商小组依据竞争性磋商文件的规定审查各供应商所响应设备的技术指标、技术性能、产品技术说明或项目方案、人员配备等是否符合最低要求。</w:t>
      </w:r>
    </w:p>
    <w:p w14:paraId="62D54F2B">
      <w:pPr>
        <w:spacing w:line="360" w:lineRule="auto"/>
        <w:ind w:firstLine="492" w:firstLineChars="200"/>
        <w:rPr>
          <w:rFonts w:asciiTheme="minorEastAsia" w:hAnsiTheme="minorEastAsia" w:cstheme="minorEastAsia"/>
          <w:spacing w:val="3"/>
          <w:szCs w:val="24"/>
        </w:rPr>
      </w:pPr>
      <w:r>
        <w:rPr>
          <w:rFonts w:hint="eastAsia" w:asciiTheme="minorEastAsia" w:hAnsiTheme="minorEastAsia" w:cstheme="minorEastAsia"/>
          <w:spacing w:val="3"/>
          <w:szCs w:val="24"/>
        </w:rPr>
        <w:t>4、综合比较与评价。对各供应商对磋商文件的符合性和技术响应程度、项目方案或技术响应程度、综合实力、售后服务以及报价等因素，进行综合评比。</w:t>
      </w:r>
    </w:p>
    <w:p w14:paraId="1956C327">
      <w:pPr>
        <w:spacing w:line="360" w:lineRule="auto"/>
        <w:ind w:firstLine="492" w:firstLineChars="200"/>
        <w:rPr>
          <w:rFonts w:asciiTheme="minorEastAsia" w:hAnsiTheme="minorEastAsia" w:cstheme="minorEastAsia"/>
          <w:spacing w:val="3"/>
          <w:szCs w:val="24"/>
        </w:rPr>
      </w:pPr>
      <w:r>
        <w:rPr>
          <w:rFonts w:hint="eastAsia" w:asciiTheme="minorEastAsia" w:hAnsiTheme="minorEastAsia" w:cstheme="minorEastAsia"/>
          <w:spacing w:val="3"/>
          <w:szCs w:val="24"/>
        </w:rPr>
        <w:t>5、未实质性响应磋商文件的响应文件按无效响应处理，磋商小组应当告知提交响应文件的供应商。</w:t>
      </w:r>
    </w:p>
    <w:p w14:paraId="5454CD25">
      <w:pPr>
        <w:spacing w:line="360" w:lineRule="auto"/>
        <w:ind w:firstLine="494" w:firstLineChars="200"/>
        <w:rPr>
          <w:rFonts w:asciiTheme="minorEastAsia" w:hAnsiTheme="minorEastAsia" w:cstheme="minorEastAsia"/>
          <w:b/>
          <w:bCs/>
          <w:spacing w:val="3"/>
          <w:szCs w:val="24"/>
        </w:rPr>
      </w:pPr>
      <w:r>
        <w:rPr>
          <w:rFonts w:hint="eastAsia" w:asciiTheme="minorEastAsia" w:hAnsiTheme="minorEastAsia" w:cstheme="minorEastAsia"/>
          <w:b/>
          <w:bCs/>
          <w:spacing w:val="3"/>
          <w:szCs w:val="24"/>
        </w:rPr>
        <w:t>响应文件无效的情形：</w:t>
      </w:r>
    </w:p>
    <w:p w14:paraId="26D82B05">
      <w:pPr>
        <w:spacing w:line="360" w:lineRule="auto"/>
        <w:ind w:firstLine="494" w:firstLineChars="200"/>
        <w:rPr>
          <w:rFonts w:asciiTheme="minorEastAsia" w:hAnsiTheme="minorEastAsia" w:cstheme="minorEastAsia"/>
          <w:b/>
          <w:bCs/>
          <w:spacing w:val="3"/>
          <w:szCs w:val="24"/>
        </w:rPr>
      </w:pPr>
      <w:r>
        <w:rPr>
          <w:rFonts w:hint="eastAsia" w:asciiTheme="minorEastAsia" w:hAnsiTheme="minorEastAsia" w:cstheme="minorEastAsia"/>
          <w:b/>
          <w:bCs/>
          <w:spacing w:val="3"/>
          <w:szCs w:val="24"/>
        </w:rPr>
        <w:t>5.1在资格性和符合性审查时，如发现下列情形之一的，响应文件将被视为无效：</w:t>
      </w:r>
    </w:p>
    <w:p w14:paraId="35BDF544">
      <w:pPr>
        <w:spacing w:line="360" w:lineRule="auto"/>
        <w:ind w:firstLine="494" w:firstLineChars="200"/>
        <w:rPr>
          <w:rFonts w:asciiTheme="minorEastAsia" w:hAnsiTheme="minorEastAsia" w:cstheme="minorEastAsia"/>
          <w:b/>
          <w:bCs/>
          <w:spacing w:val="3"/>
          <w:szCs w:val="24"/>
        </w:rPr>
      </w:pPr>
      <w:r>
        <w:rPr>
          <w:rFonts w:hint="eastAsia" w:asciiTheme="minorEastAsia" w:hAnsiTheme="minorEastAsia" w:cstheme="minorEastAsia"/>
          <w:b/>
          <w:bCs/>
          <w:spacing w:val="3"/>
          <w:szCs w:val="24"/>
        </w:rPr>
        <w:t>5.1.1资格证明文件不全的，或者不符合竞争性磋商文件标明的资格要求的；</w:t>
      </w:r>
    </w:p>
    <w:p w14:paraId="1523068F">
      <w:pPr>
        <w:spacing w:line="360" w:lineRule="auto"/>
        <w:ind w:firstLine="494" w:firstLineChars="200"/>
        <w:rPr>
          <w:rFonts w:asciiTheme="minorEastAsia" w:hAnsiTheme="minorEastAsia" w:cstheme="minorEastAsia"/>
          <w:b/>
          <w:bCs/>
          <w:spacing w:val="3"/>
          <w:szCs w:val="24"/>
        </w:rPr>
      </w:pPr>
      <w:r>
        <w:rPr>
          <w:rFonts w:hint="eastAsia" w:asciiTheme="minorEastAsia" w:hAnsiTheme="minorEastAsia" w:cstheme="minorEastAsia"/>
          <w:b/>
          <w:bCs/>
          <w:spacing w:val="3"/>
          <w:szCs w:val="24"/>
        </w:rPr>
        <w:t>5.1.2响应文件无法定代表人或负责人签字,或未提供法定代表人或负责人授权委托书、承诺书或者填写项目不齐全的；</w:t>
      </w:r>
    </w:p>
    <w:p w14:paraId="77D3A129">
      <w:pPr>
        <w:spacing w:line="360" w:lineRule="auto"/>
        <w:ind w:firstLine="494" w:firstLineChars="200"/>
        <w:rPr>
          <w:rFonts w:asciiTheme="minorEastAsia" w:hAnsiTheme="minorEastAsia" w:cstheme="minorEastAsia"/>
          <w:b/>
          <w:bCs/>
          <w:spacing w:val="3"/>
          <w:szCs w:val="24"/>
        </w:rPr>
      </w:pPr>
      <w:r>
        <w:rPr>
          <w:rFonts w:hint="eastAsia" w:asciiTheme="minorEastAsia" w:hAnsiTheme="minorEastAsia" w:cstheme="minorEastAsia"/>
          <w:b/>
          <w:bCs/>
          <w:spacing w:val="3"/>
          <w:szCs w:val="24"/>
        </w:rPr>
        <w:t>5.1.3授权代表人未能出具身份证明或与法定代表人或负责人授权委托人身份不符的；</w:t>
      </w:r>
    </w:p>
    <w:p w14:paraId="5F7AA77F">
      <w:pPr>
        <w:spacing w:line="360" w:lineRule="auto"/>
        <w:ind w:firstLine="494" w:firstLineChars="200"/>
        <w:rPr>
          <w:rFonts w:asciiTheme="minorEastAsia" w:hAnsiTheme="minorEastAsia" w:cstheme="minorEastAsia"/>
          <w:b/>
          <w:bCs/>
          <w:spacing w:val="3"/>
          <w:szCs w:val="24"/>
        </w:rPr>
      </w:pPr>
      <w:r>
        <w:rPr>
          <w:rFonts w:hint="eastAsia" w:asciiTheme="minorEastAsia" w:hAnsiTheme="minorEastAsia" w:cstheme="minorEastAsia"/>
          <w:b/>
          <w:bCs/>
          <w:spacing w:val="3"/>
          <w:szCs w:val="24"/>
        </w:rPr>
        <w:t>5.1.4电子响应文件未使用CA认证并加密的；</w:t>
      </w:r>
    </w:p>
    <w:p w14:paraId="44327079">
      <w:pPr>
        <w:spacing w:line="360" w:lineRule="auto"/>
        <w:ind w:firstLine="494" w:firstLineChars="200"/>
        <w:rPr>
          <w:rFonts w:asciiTheme="minorEastAsia" w:hAnsiTheme="minorEastAsia" w:cstheme="minorEastAsia"/>
          <w:b/>
          <w:bCs/>
          <w:spacing w:val="3"/>
          <w:szCs w:val="24"/>
        </w:rPr>
      </w:pPr>
      <w:r>
        <w:rPr>
          <w:rFonts w:hint="eastAsia" w:asciiTheme="minorEastAsia" w:hAnsiTheme="minorEastAsia" w:cstheme="minorEastAsia"/>
          <w:b/>
          <w:bCs/>
          <w:spacing w:val="3"/>
          <w:szCs w:val="24"/>
        </w:rPr>
        <w:t>5.1.5其他不符合磋商文件实质性要求的。</w:t>
      </w:r>
    </w:p>
    <w:p w14:paraId="519D3C80">
      <w:pPr>
        <w:spacing w:line="360" w:lineRule="auto"/>
        <w:ind w:firstLine="494" w:firstLineChars="200"/>
        <w:rPr>
          <w:rFonts w:asciiTheme="minorEastAsia" w:hAnsiTheme="minorEastAsia" w:cstheme="minorEastAsia"/>
          <w:b/>
          <w:bCs/>
          <w:spacing w:val="3"/>
          <w:szCs w:val="24"/>
        </w:rPr>
      </w:pPr>
      <w:r>
        <w:rPr>
          <w:rFonts w:hint="eastAsia" w:asciiTheme="minorEastAsia" w:hAnsiTheme="minorEastAsia" w:cstheme="minorEastAsia"/>
          <w:b/>
          <w:bCs/>
          <w:spacing w:val="3"/>
          <w:szCs w:val="24"/>
        </w:rPr>
        <w:t>5.2在报价评审时，如发现下列情形之一的，响应文件将被视为无效：</w:t>
      </w:r>
    </w:p>
    <w:p w14:paraId="26C74A50">
      <w:pPr>
        <w:spacing w:line="360" w:lineRule="auto"/>
        <w:ind w:firstLine="494" w:firstLineChars="200"/>
        <w:rPr>
          <w:rFonts w:asciiTheme="minorEastAsia" w:hAnsiTheme="minorEastAsia" w:cstheme="minorEastAsia"/>
          <w:b/>
          <w:bCs/>
          <w:spacing w:val="3"/>
          <w:szCs w:val="24"/>
        </w:rPr>
      </w:pPr>
      <w:r>
        <w:rPr>
          <w:rFonts w:hint="eastAsia" w:asciiTheme="minorEastAsia" w:hAnsiTheme="minorEastAsia" w:cstheme="minorEastAsia"/>
          <w:b/>
          <w:bCs/>
          <w:spacing w:val="3"/>
          <w:szCs w:val="24"/>
        </w:rPr>
        <w:t>5.2.1未采用人民币报价的；</w:t>
      </w:r>
    </w:p>
    <w:p w14:paraId="18459044">
      <w:pPr>
        <w:spacing w:line="360" w:lineRule="auto"/>
        <w:ind w:firstLine="494" w:firstLineChars="200"/>
        <w:rPr>
          <w:rFonts w:asciiTheme="minorEastAsia" w:hAnsiTheme="minorEastAsia" w:cstheme="minorEastAsia"/>
          <w:b/>
          <w:bCs/>
          <w:spacing w:val="3"/>
          <w:szCs w:val="24"/>
        </w:rPr>
      </w:pPr>
      <w:r>
        <w:rPr>
          <w:rFonts w:hint="eastAsia" w:asciiTheme="minorEastAsia" w:hAnsiTheme="minorEastAsia" w:cstheme="minorEastAsia"/>
          <w:b/>
          <w:bCs/>
          <w:spacing w:val="3"/>
          <w:szCs w:val="24"/>
        </w:rPr>
        <w:t xml:space="preserve">5.2.2报价具有选择性； </w:t>
      </w:r>
    </w:p>
    <w:p w14:paraId="0D91244E">
      <w:pPr>
        <w:spacing w:line="360" w:lineRule="auto"/>
        <w:ind w:firstLine="494" w:firstLineChars="200"/>
        <w:rPr>
          <w:rFonts w:asciiTheme="minorEastAsia" w:hAnsiTheme="minorEastAsia" w:cstheme="minorEastAsia"/>
          <w:b/>
          <w:bCs/>
          <w:spacing w:val="3"/>
          <w:szCs w:val="24"/>
        </w:rPr>
      </w:pPr>
      <w:r>
        <w:rPr>
          <w:rFonts w:hint="eastAsia" w:asciiTheme="minorEastAsia" w:hAnsiTheme="minorEastAsia" w:cstheme="minorEastAsia"/>
          <w:b/>
          <w:bCs/>
          <w:spacing w:val="3"/>
          <w:szCs w:val="24"/>
        </w:rPr>
        <w:t>5.2.3未进行最后报价或最后报价高于采购人预算的。</w:t>
      </w:r>
    </w:p>
    <w:p w14:paraId="59EE6FC4">
      <w:pPr>
        <w:pStyle w:val="13"/>
        <w:spacing w:line="360" w:lineRule="auto"/>
        <w:ind w:firstLine="480" w:firstLineChars="200"/>
        <w:rPr>
          <w:sz w:val="24"/>
          <w:szCs w:val="24"/>
          <w:lang w:eastAsia="zh-CN"/>
        </w:rPr>
      </w:pPr>
      <w:r>
        <w:rPr>
          <w:rFonts w:hint="eastAsia"/>
          <w:sz w:val="24"/>
          <w:szCs w:val="24"/>
          <w:lang w:eastAsia="zh-CN"/>
        </w:rPr>
        <w:t>6.</w:t>
      </w:r>
      <w:r>
        <w:rPr>
          <w:sz w:val="24"/>
          <w:szCs w:val="24"/>
          <w:lang w:eastAsia="zh-CN"/>
        </w:rPr>
        <w:t>磋商、响应文件有关事项的澄清、说明或者更正和最后报价</w:t>
      </w:r>
    </w:p>
    <w:p w14:paraId="00482CDF">
      <w:pPr>
        <w:pStyle w:val="13"/>
        <w:spacing w:line="360" w:lineRule="auto"/>
        <w:ind w:firstLine="480" w:firstLineChars="200"/>
        <w:rPr>
          <w:sz w:val="24"/>
          <w:szCs w:val="24"/>
          <w:lang w:eastAsia="zh-CN"/>
        </w:rPr>
      </w:pPr>
      <w:r>
        <w:rPr>
          <w:rFonts w:hint="eastAsia"/>
          <w:sz w:val="24"/>
          <w:szCs w:val="24"/>
          <w:lang w:eastAsia="zh-CN"/>
        </w:rPr>
        <w:t>6</w:t>
      </w:r>
      <w:r>
        <w:rPr>
          <w:sz w:val="24"/>
          <w:szCs w:val="24"/>
          <w:lang w:eastAsia="zh-CN"/>
        </w:rPr>
        <w:t>.1 磋商小组所有成员将集中与单一供应商分别进行磋商，并给予所有参加磋商的供应商平等的磋商机会。</w:t>
      </w:r>
    </w:p>
    <w:p w14:paraId="2A6B63B4">
      <w:pPr>
        <w:pStyle w:val="13"/>
        <w:spacing w:line="360" w:lineRule="auto"/>
        <w:ind w:firstLine="480" w:firstLineChars="200"/>
        <w:rPr>
          <w:sz w:val="24"/>
          <w:szCs w:val="24"/>
          <w:lang w:eastAsia="zh-CN"/>
        </w:rPr>
      </w:pPr>
      <w:r>
        <w:rPr>
          <w:rFonts w:hint="eastAsia"/>
          <w:sz w:val="24"/>
          <w:szCs w:val="24"/>
          <w:lang w:eastAsia="zh-CN"/>
        </w:rPr>
        <w:t>6</w:t>
      </w:r>
      <w:r>
        <w:rPr>
          <w:sz w:val="24"/>
          <w:szCs w:val="24"/>
          <w:lang w:eastAsia="zh-CN"/>
        </w:rPr>
        <w:t>.2在磋商过程中，磋商小组可以根据磋商文件和磋商情况实质性变动采购需求中的技术、服务要求以及合同草案条款，但不得变动磋商文件中的其他内容。实质性变动的内容，须经采购人代表确认。</w:t>
      </w:r>
    </w:p>
    <w:p w14:paraId="1CE0EC55">
      <w:pPr>
        <w:pStyle w:val="13"/>
        <w:spacing w:line="360" w:lineRule="auto"/>
        <w:ind w:firstLine="480" w:firstLineChars="200"/>
        <w:rPr>
          <w:sz w:val="24"/>
          <w:szCs w:val="24"/>
          <w:lang w:eastAsia="zh-CN"/>
        </w:rPr>
      </w:pPr>
      <w:r>
        <w:rPr>
          <w:rFonts w:hint="eastAsia"/>
          <w:sz w:val="24"/>
          <w:szCs w:val="24"/>
          <w:lang w:eastAsia="zh-CN"/>
        </w:rPr>
        <w:t>6</w:t>
      </w:r>
      <w:r>
        <w:rPr>
          <w:sz w:val="24"/>
          <w:szCs w:val="24"/>
          <w:lang w:eastAsia="zh-CN"/>
        </w:rPr>
        <w:t>.3对磋商文件作出的实质性变动是磋商文件的有效组成部分，磋商小组应当及时</w:t>
      </w:r>
      <w:r>
        <w:rPr>
          <w:rFonts w:hint="eastAsia"/>
          <w:sz w:val="24"/>
          <w:szCs w:val="24"/>
          <w:lang w:eastAsia="zh-CN"/>
        </w:rPr>
        <w:t>通过评标系统通知</w:t>
      </w:r>
      <w:r>
        <w:rPr>
          <w:sz w:val="24"/>
          <w:szCs w:val="24"/>
          <w:lang w:eastAsia="zh-CN"/>
        </w:rPr>
        <w:t>所有参加磋商的供应商。</w:t>
      </w:r>
      <w:r>
        <w:rPr>
          <w:rFonts w:hint="eastAsia"/>
          <w:sz w:val="24"/>
          <w:szCs w:val="24"/>
          <w:lang w:eastAsia="zh-CN"/>
        </w:rPr>
        <w:t>具体磋商内容由磋商小组根据磋商实际情况确定。</w:t>
      </w:r>
    </w:p>
    <w:p w14:paraId="1136B1E3">
      <w:pPr>
        <w:spacing w:line="360" w:lineRule="auto"/>
        <w:ind w:firstLine="480" w:firstLineChars="200"/>
        <w:rPr>
          <w:rFonts w:ascii="宋体" w:hAnsi="宋体" w:eastAsia="宋体" w:cs="宋体"/>
          <w:szCs w:val="24"/>
        </w:rPr>
      </w:pPr>
      <w:r>
        <w:rPr>
          <w:rFonts w:hint="eastAsia" w:ascii="宋体" w:hAnsi="宋体" w:eastAsia="宋体" w:cs="宋体"/>
          <w:szCs w:val="24"/>
        </w:rPr>
        <w:t>6</w:t>
      </w:r>
      <w:r>
        <w:rPr>
          <w:rFonts w:ascii="宋体" w:hAnsi="宋体" w:eastAsia="宋体" w:cs="宋体"/>
          <w:szCs w:val="24"/>
        </w:rPr>
        <w:t>.4</w:t>
      </w:r>
      <w:r>
        <w:rPr>
          <w:rFonts w:hint="eastAsia" w:ascii="宋体" w:hAnsi="宋体" w:eastAsia="宋体" w:cs="宋体"/>
          <w:szCs w:val="24"/>
        </w:rPr>
        <w:t>供应商应当按照竞争性磋商文件的变动情况和磋商小组的要求，通过评标系统以在线形式提交承诺，并用CA签章。</w:t>
      </w:r>
    </w:p>
    <w:p w14:paraId="16558EB6">
      <w:pPr>
        <w:pStyle w:val="13"/>
        <w:spacing w:line="360" w:lineRule="auto"/>
        <w:ind w:firstLine="480" w:firstLineChars="200"/>
        <w:rPr>
          <w:sz w:val="24"/>
          <w:szCs w:val="24"/>
          <w:lang w:eastAsia="zh-CN"/>
        </w:rPr>
      </w:pPr>
      <w:r>
        <w:rPr>
          <w:rFonts w:hint="eastAsia"/>
          <w:sz w:val="24"/>
          <w:szCs w:val="24"/>
          <w:lang w:eastAsia="zh-CN"/>
        </w:rPr>
        <w:t>6</w:t>
      </w:r>
      <w:r>
        <w:rPr>
          <w:sz w:val="24"/>
          <w:szCs w:val="24"/>
          <w:lang w:eastAsia="zh-CN"/>
        </w:rPr>
        <w:t>.5响应文件的澄清、说明或者更正：</w:t>
      </w:r>
    </w:p>
    <w:p w14:paraId="2CB410A8">
      <w:pPr>
        <w:pStyle w:val="13"/>
        <w:spacing w:line="360" w:lineRule="auto"/>
        <w:ind w:firstLine="480" w:firstLineChars="200"/>
        <w:rPr>
          <w:sz w:val="24"/>
          <w:szCs w:val="24"/>
          <w:lang w:eastAsia="zh-CN"/>
        </w:rPr>
      </w:pPr>
      <w:r>
        <w:rPr>
          <w:rFonts w:hint="eastAsia"/>
          <w:sz w:val="24"/>
          <w:szCs w:val="24"/>
          <w:lang w:eastAsia="zh-CN"/>
        </w:rPr>
        <w:t>6.5.1磋商小组在对响应文件的有效性、完整性和响应程度进行审查时，可以要求供应商对响应文件中含义不明确、同类问题表述不一致或者有明显文字和计算错误的内容等作出必要的澄清、说明或者更正。</w:t>
      </w:r>
    </w:p>
    <w:p w14:paraId="01AEA165">
      <w:pPr>
        <w:pStyle w:val="13"/>
        <w:spacing w:line="360" w:lineRule="auto"/>
        <w:ind w:firstLine="480" w:firstLineChars="200"/>
        <w:rPr>
          <w:sz w:val="24"/>
          <w:szCs w:val="24"/>
          <w:lang w:eastAsia="zh-CN"/>
        </w:rPr>
      </w:pPr>
      <w:r>
        <w:rPr>
          <w:rFonts w:hint="eastAsia"/>
          <w:sz w:val="24"/>
          <w:szCs w:val="24"/>
          <w:lang w:eastAsia="zh-CN"/>
        </w:rPr>
        <w:t>6.5.2供应商的澄清、说明或者更正不得超出响应文件的范围或者改变响应文件的实质性内容。供应商的澄清、说明或者更正应当由法定代表人（若供应商为事业单位或其他组织或分支机构，可为单位负责人）或其授权代表签字、加盖公章。供应商为自然人的，应当由本人签字并附身份证明。澄清、说明或者更正文件将作为响应文件内容的一部分。</w:t>
      </w:r>
    </w:p>
    <w:p w14:paraId="459A2457">
      <w:pPr>
        <w:spacing w:line="360" w:lineRule="auto"/>
        <w:ind w:firstLine="480" w:firstLineChars="200"/>
        <w:rPr>
          <w:rFonts w:ascii="宋体" w:hAnsi="宋体" w:eastAsia="宋体" w:cs="宋体"/>
          <w:szCs w:val="24"/>
        </w:rPr>
      </w:pPr>
      <w:r>
        <w:rPr>
          <w:rFonts w:hint="eastAsia" w:ascii="宋体" w:hAnsi="宋体" w:eastAsia="宋体" w:cs="宋体"/>
          <w:szCs w:val="24"/>
        </w:rPr>
        <w:t>6.6磋商结束后，磋商小组通过电子评标系统向所有实质性响应的供应商发出要求最后报价要求，各供应商在会员系统中收到有关信息后，必须在规定时间内给出答复，并在签章后提交。提交最后报价的供应商不得少于3家。《</w:t>
      </w:r>
      <w:r>
        <w:rPr>
          <w:rFonts w:hint="eastAsia" w:asciiTheme="minorEastAsia" w:hAnsiTheme="minorEastAsia" w:cstheme="minorEastAsia"/>
          <w:spacing w:val="-2"/>
          <w:szCs w:val="24"/>
        </w:rPr>
        <w:t>政府采购竞争性磋商采购方式管理暂行办法</w:t>
      </w:r>
      <w:r>
        <w:rPr>
          <w:rFonts w:hint="eastAsia" w:ascii="宋体" w:hAnsi="宋体" w:eastAsia="宋体" w:cs="宋体"/>
          <w:szCs w:val="24"/>
        </w:rPr>
        <w:t>》第三条第四项规定的情形除外。最后报价是响应文件的有效组成部分。</w:t>
      </w:r>
    </w:p>
    <w:p w14:paraId="231FF014">
      <w:pPr>
        <w:spacing w:line="360" w:lineRule="auto"/>
        <w:ind w:firstLine="480" w:firstLineChars="200"/>
        <w:rPr>
          <w:szCs w:val="24"/>
        </w:rPr>
      </w:pPr>
      <w:r>
        <w:rPr>
          <w:rFonts w:hint="eastAsia" w:ascii="宋体" w:hAnsi="宋体" w:eastAsia="宋体" w:cs="宋体"/>
          <w:szCs w:val="24"/>
        </w:rPr>
        <w:t>6.7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市场竞争不充分的科研项目，以及需要扶持的科技成果转化项目，提交最后报价的供应商可以为2家；政府购买服务项目（含政府和社会资本合作项目），在采购过程中符合要求的供应商（社会资本）只有2家的，竞争性磋商采购活动可以继续进行。</w:t>
      </w:r>
    </w:p>
    <w:p w14:paraId="05A2360A">
      <w:pPr>
        <w:pStyle w:val="13"/>
        <w:spacing w:line="360" w:lineRule="auto"/>
        <w:ind w:firstLine="480" w:firstLineChars="200"/>
        <w:rPr>
          <w:sz w:val="24"/>
          <w:szCs w:val="24"/>
          <w:lang w:eastAsia="zh-CN"/>
        </w:rPr>
      </w:pPr>
      <w:r>
        <w:rPr>
          <w:rFonts w:hint="eastAsia"/>
          <w:sz w:val="24"/>
          <w:szCs w:val="24"/>
          <w:lang w:eastAsia="zh-CN"/>
        </w:rPr>
        <w:t>6.8已提交响应文件的供应商，在提交最后报价之前，可以根据磋商情况退出磋商。</w:t>
      </w:r>
    </w:p>
    <w:p w14:paraId="7BD40AFA">
      <w:pPr>
        <w:pStyle w:val="13"/>
        <w:spacing w:line="360" w:lineRule="auto"/>
        <w:ind w:firstLine="480" w:firstLineChars="200"/>
        <w:rPr>
          <w:sz w:val="24"/>
          <w:szCs w:val="24"/>
          <w:lang w:eastAsia="zh-CN"/>
        </w:rPr>
      </w:pPr>
      <w:r>
        <w:rPr>
          <w:rFonts w:hint="eastAsia"/>
          <w:sz w:val="24"/>
          <w:szCs w:val="24"/>
          <w:lang w:eastAsia="zh-CN"/>
        </w:rPr>
        <w:t>7.最后报价的算术修正及政策调整</w:t>
      </w:r>
    </w:p>
    <w:p w14:paraId="50F34621">
      <w:pPr>
        <w:pStyle w:val="13"/>
        <w:spacing w:line="360" w:lineRule="auto"/>
        <w:ind w:firstLine="480" w:firstLineChars="200"/>
        <w:rPr>
          <w:sz w:val="24"/>
          <w:szCs w:val="24"/>
          <w:lang w:eastAsia="zh-CN"/>
        </w:rPr>
      </w:pPr>
      <w:r>
        <w:rPr>
          <w:rFonts w:hint="eastAsia"/>
          <w:sz w:val="24"/>
          <w:szCs w:val="24"/>
          <w:lang w:eastAsia="zh-CN"/>
        </w:rPr>
        <w:t>7.1最后报价须包含竞争性磋商文件全部内容，最后报价出现大写金额和小写金额不一致的，以大写金额为准。</w:t>
      </w:r>
    </w:p>
    <w:p w14:paraId="5FB72589">
      <w:pPr>
        <w:pStyle w:val="13"/>
        <w:spacing w:line="360" w:lineRule="auto"/>
        <w:ind w:firstLine="480" w:firstLineChars="200"/>
        <w:rPr>
          <w:sz w:val="24"/>
          <w:szCs w:val="24"/>
          <w:lang w:eastAsia="zh-CN"/>
        </w:rPr>
      </w:pPr>
      <w:r>
        <w:rPr>
          <w:rFonts w:hint="eastAsia"/>
          <w:sz w:val="24"/>
          <w:szCs w:val="24"/>
          <w:lang w:eastAsia="zh-CN"/>
        </w:rPr>
        <w:t>8.评审方法和评审标准</w:t>
      </w:r>
    </w:p>
    <w:p w14:paraId="7EB4CC4D">
      <w:pPr>
        <w:pStyle w:val="13"/>
        <w:spacing w:line="360" w:lineRule="auto"/>
        <w:ind w:firstLine="480" w:firstLineChars="200"/>
        <w:rPr>
          <w:sz w:val="24"/>
          <w:szCs w:val="24"/>
          <w:lang w:eastAsia="zh-CN"/>
        </w:rPr>
      </w:pPr>
      <w:r>
        <w:rPr>
          <w:rFonts w:hint="eastAsia"/>
          <w:sz w:val="24"/>
          <w:szCs w:val="24"/>
          <w:lang w:eastAsia="zh-CN"/>
        </w:rPr>
        <w:t>8.1本项目采用的评审方法为：综合评分法。综合评分法，是指响应文件满足磋商文件全部实质性要求且按评审因素的量化指标评审得分最高的供应商为成交候选供应商的评审方法。</w:t>
      </w:r>
    </w:p>
    <w:p w14:paraId="5447C7D4">
      <w:pPr>
        <w:pStyle w:val="13"/>
        <w:spacing w:line="360" w:lineRule="auto"/>
        <w:ind w:firstLine="480" w:firstLineChars="200"/>
        <w:rPr>
          <w:sz w:val="24"/>
          <w:szCs w:val="24"/>
          <w:lang w:eastAsia="zh-CN"/>
        </w:rPr>
      </w:pPr>
      <w:r>
        <w:rPr>
          <w:rFonts w:hint="eastAsia"/>
          <w:sz w:val="24"/>
          <w:szCs w:val="24"/>
          <w:lang w:eastAsia="zh-CN"/>
        </w:rPr>
        <w:t>8.2竞争性磋商文件中没有规定的评审标准不得作为评审依据。</w:t>
      </w:r>
    </w:p>
    <w:p w14:paraId="33FFA7A5">
      <w:pPr>
        <w:pStyle w:val="13"/>
        <w:spacing w:line="360" w:lineRule="auto"/>
        <w:ind w:firstLine="480" w:firstLineChars="200"/>
        <w:rPr>
          <w:sz w:val="24"/>
          <w:szCs w:val="24"/>
          <w:lang w:eastAsia="zh-CN"/>
        </w:rPr>
      </w:pPr>
      <w:r>
        <w:rPr>
          <w:rFonts w:hint="eastAsia"/>
          <w:sz w:val="24"/>
          <w:szCs w:val="24"/>
          <w:lang w:eastAsia="zh-CN"/>
        </w:rPr>
        <w:t>8.3非政府强制采购的节能产品或环境标志产品，依据品目清单和认证证书实施政府优先采购。优先采购的具体规定（如涉及</w:t>
      </w:r>
      <w:r>
        <w:rPr>
          <w:rFonts w:hint="eastAsia"/>
          <w:sz w:val="24"/>
          <w:szCs w:val="24"/>
          <w:u w:val="single"/>
          <w:lang w:eastAsia="zh-CN"/>
        </w:rPr>
        <w:t xml:space="preserve">）    </w:t>
      </w:r>
      <w:r>
        <w:rPr>
          <w:sz w:val="24"/>
          <w:szCs w:val="24"/>
          <w:u w:val="single"/>
          <w:lang w:eastAsia="zh-CN"/>
        </w:rPr>
        <w:t>/</w:t>
      </w:r>
      <w:r>
        <w:rPr>
          <w:rFonts w:hint="eastAsia"/>
          <w:sz w:val="24"/>
          <w:szCs w:val="24"/>
          <w:u w:val="single"/>
          <w:lang w:eastAsia="zh-CN"/>
        </w:rPr>
        <w:t xml:space="preserve">   </w:t>
      </w:r>
      <w:r>
        <w:rPr>
          <w:rFonts w:hint="eastAsia"/>
          <w:sz w:val="24"/>
          <w:szCs w:val="24"/>
          <w:lang w:eastAsia="zh-CN"/>
        </w:rPr>
        <w:t>。</w:t>
      </w:r>
    </w:p>
    <w:p w14:paraId="2E606115">
      <w:pPr>
        <w:pStyle w:val="13"/>
        <w:spacing w:line="360" w:lineRule="auto"/>
        <w:ind w:firstLine="480" w:firstLineChars="200"/>
        <w:rPr>
          <w:sz w:val="24"/>
          <w:szCs w:val="24"/>
          <w:lang w:eastAsia="zh-CN"/>
        </w:rPr>
      </w:pPr>
      <w:r>
        <w:rPr>
          <w:rFonts w:hint="eastAsia"/>
          <w:sz w:val="24"/>
          <w:szCs w:val="24"/>
          <w:lang w:eastAsia="zh-CN"/>
        </w:rPr>
        <w:t>8.4 关于无线局域网认证产品政府采购清单中的产品， 优先采购的具体规定 （如 涉及）</w:t>
      </w:r>
      <w:r>
        <w:rPr>
          <w:rFonts w:hint="eastAsia"/>
          <w:sz w:val="24"/>
          <w:szCs w:val="24"/>
          <w:u w:val="single"/>
          <w:lang w:eastAsia="zh-CN"/>
        </w:rPr>
        <w:t xml:space="preserve"> </w:t>
      </w:r>
      <w:r>
        <w:rPr>
          <w:sz w:val="24"/>
          <w:szCs w:val="24"/>
          <w:u w:val="single"/>
          <w:lang w:eastAsia="zh-CN"/>
        </w:rPr>
        <w:t xml:space="preserve">     /      </w:t>
      </w:r>
      <w:r>
        <w:rPr>
          <w:sz w:val="24"/>
          <w:szCs w:val="24"/>
          <w:lang w:eastAsia="zh-CN"/>
        </w:rPr>
        <w:t xml:space="preserve">  </w:t>
      </w:r>
      <w:r>
        <w:rPr>
          <w:rFonts w:hint="eastAsia"/>
          <w:sz w:val="24"/>
          <w:szCs w:val="24"/>
          <w:lang w:eastAsia="zh-CN"/>
        </w:rPr>
        <w:t>。</w:t>
      </w:r>
    </w:p>
    <w:p w14:paraId="1B313C53">
      <w:pPr>
        <w:pStyle w:val="13"/>
        <w:spacing w:line="360" w:lineRule="auto"/>
        <w:ind w:firstLine="480" w:firstLineChars="200"/>
        <w:rPr>
          <w:sz w:val="24"/>
          <w:szCs w:val="24"/>
          <w:lang w:eastAsia="zh-CN"/>
        </w:rPr>
      </w:pPr>
      <w:r>
        <w:rPr>
          <w:rFonts w:hint="eastAsia"/>
          <w:sz w:val="24"/>
          <w:szCs w:val="24"/>
          <w:lang w:eastAsia="zh-CN"/>
        </w:rPr>
        <w:t>9.确定成交候选人名单</w:t>
      </w:r>
    </w:p>
    <w:p w14:paraId="67A16A2F">
      <w:pPr>
        <w:pStyle w:val="13"/>
        <w:spacing w:line="360" w:lineRule="auto"/>
        <w:ind w:firstLine="480" w:firstLineChars="200"/>
        <w:rPr>
          <w:sz w:val="24"/>
          <w:szCs w:val="24"/>
          <w:lang w:eastAsia="zh-CN"/>
        </w:rPr>
      </w:pPr>
      <w:r>
        <w:rPr>
          <w:rFonts w:hint="eastAsia"/>
          <w:sz w:val="24"/>
          <w:szCs w:val="24"/>
          <w:lang w:eastAsia="zh-CN"/>
        </w:rPr>
        <w:t>9.1磋商小组将根据各供应商的评审排序以及磋商文件中关于成交候选人的相关规定，确定本项目成交候选人名单，按照评审得分由高到低顺序推荐成交候选人的排名顺序。评审得分相同的，按照最后报价由低到高的顺序推荐。评审得分且最后报价相同的，按照技术指标优劣顺序推荐。响应文件满足竞争性磋商文件全部实质性要求，且按照评审因素的量化指标评审得分最高的供应商为排名第一的成交候选人。评分分值计算保留小数点后两位。</w:t>
      </w:r>
    </w:p>
    <w:p w14:paraId="443BF6D4">
      <w:pPr>
        <w:pStyle w:val="13"/>
        <w:spacing w:line="360" w:lineRule="auto"/>
        <w:ind w:firstLine="482" w:firstLineChars="200"/>
        <w:rPr>
          <w:b/>
          <w:bCs/>
          <w:sz w:val="24"/>
          <w:szCs w:val="24"/>
          <w:lang w:eastAsia="zh-CN"/>
        </w:rPr>
      </w:pPr>
      <w:r>
        <w:rPr>
          <w:rFonts w:hint="eastAsia"/>
          <w:b/>
          <w:bCs/>
          <w:sz w:val="24"/>
          <w:szCs w:val="24"/>
          <w:lang w:eastAsia="zh-CN"/>
        </w:rPr>
        <w:t>9.2磋商小组要对评分汇总情况进行复核，特别是对排名第一的、报价最低的、响应文件被认定为无效的情形进行重点复核。</w:t>
      </w:r>
    </w:p>
    <w:p w14:paraId="3389C189">
      <w:pPr>
        <w:pStyle w:val="13"/>
        <w:spacing w:line="360" w:lineRule="auto"/>
        <w:ind w:firstLine="480" w:firstLineChars="200"/>
        <w:rPr>
          <w:sz w:val="24"/>
          <w:szCs w:val="24"/>
          <w:lang w:eastAsia="zh-CN"/>
        </w:rPr>
      </w:pPr>
      <w:r>
        <w:rPr>
          <w:rFonts w:hint="eastAsia"/>
          <w:sz w:val="24"/>
          <w:szCs w:val="24"/>
          <w:lang w:eastAsia="zh-CN"/>
        </w:rPr>
        <w:t>9.3</w:t>
      </w:r>
      <w:r>
        <w:rPr>
          <w:lang w:eastAsia="zh-CN"/>
        </w:rPr>
        <w:t xml:space="preserve"> </w:t>
      </w:r>
      <w:r>
        <w:rPr>
          <w:rFonts w:ascii="Segoe UI Symbol" w:hAnsi="Segoe UI Symbol" w:cs="Segoe UI Symbol"/>
          <w:sz w:val="24"/>
          <w:szCs w:val="24"/>
          <w:lang w:eastAsia="zh-CN"/>
        </w:rPr>
        <w:t>☑</w:t>
      </w:r>
      <w:r>
        <w:rPr>
          <w:rFonts w:hint="eastAsia"/>
          <w:sz w:val="24"/>
          <w:szCs w:val="24"/>
          <w:lang w:eastAsia="zh-CN"/>
        </w:rPr>
        <w:t>磋商小组根据上述供应商排序，依次推荐排序前3名的供应商为成交候选供应商。采购人应当自收到评审报告之日起5个工作日内在评审报告推荐的成交候选人中按顺序确定成交供应商。</w:t>
      </w:r>
    </w:p>
    <w:p w14:paraId="2D0E62DC">
      <w:pPr>
        <w:pStyle w:val="13"/>
        <w:spacing w:line="360" w:lineRule="auto"/>
        <w:ind w:firstLine="480" w:firstLineChars="200"/>
        <w:rPr>
          <w:sz w:val="24"/>
          <w:szCs w:val="24"/>
          <w:lang w:eastAsia="zh-CN"/>
        </w:rPr>
      </w:pPr>
      <w:r>
        <w:rPr>
          <w:rFonts w:hint="eastAsia"/>
          <w:sz w:val="24"/>
          <w:szCs w:val="24"/>
          <w:lang w:eastAsia="zh-CN"/>
        </w:rPr>
        <w:t>□采购人书面授权磋商小组直接确定成交供应商。</w:t>
      </w:r>
    </w:p>
    <w:p w14:paraId="08FA11C0">
      <w:pPr>
        <w:pStyle w:val="13"/>
        <w:spacing w:line="360" w:lineRule="auto"/>
        <w:ind w:firstLine="480" w:firstLineChars="200"/>
        <w:rPr>
          <w:sz w:val="24"/>
          <w:szCs w:val="24"/>
          <w:lang w:eastAsia="zh-CN"/>
        </w:rPr>
      </w:pPr>
      <w:r>
        <w:rPr>
          <w:rFonts w:hint="eastAsia"/>
          <w:sz w:val="24"/>
          <w:szCs w:val="24"/>
          <w:lang w:eastAsia="zh-CN"/>
        </w:rPr>
        <w:t>10.报告违法行为</w:t>
      </w:r>
    </w:p>
    <w:p w14:paraId="6F8618D5">
      <w:pPr>
        <w:pStyle w:val="13"/>
        <w:spacing w:line="360" w:lineRule="auto"/>
        <w:ind w:firstLine="480" w:firstLineChars="200"/>
        <w:rPr>
          <w:rFonts w:ascii="Arial"/>
          <w:sz w:val="21"/>
          <w:lang w:eastAsia="zh-CN"/>
        </w:rPr>
      </w:pPr>
      <w:r>
        <w:rPr>
          <w:rFonts w:hint="eastAsia"/>
          <w:sz w:val="24"/>
          <w:szCs w:val="24"/>
          <w:lang w:eastAsia="zh-CN"/>
        </w:rPr>
        <w:t>10.1磋商小组在评审过程中发现供应商有行贿、提供虚假材料或者串通等违法行为时，有向采购人、采购代理机构或者有关部门报告的职责。</w:t>
      </w:r>
    </w:p>
    <w:p w14:paraId="4470C990">
      <w:pPr>
        <w:jc w:val="center"/>
        <w:rPr>
          <w:rFonts w:hint="eastAsia" w:ascii="宋体" w:hAnsi="宋体" w:eastAsia="宋体" w:cs="宋体"/>
          <w:b/>
          <w:snapToGrid w:val="0"/>
          <w:color w:val="000000"/>
          <w:kern w:val="0"/>
          <w:sz w:val="28"/>
          <w:szCs w:val="24"/>
        </w:rPr>
      </w:pPr>
      <w:r>
        <w:rPr>
          <w:rFonts w:hint="eastAsia" w:ascii="宋体" w:hAnsi="宋体" w:eastAsia="宋体" w:cs="宋体"/>
          <w:b/>
          <w:snapToGrid w:val="0"/>
          <w:color w:val="000000"/>
          <w:kern w:val="0"/>
          <w:sz w:val="28"/>
          <w:szCs w:val="24"/>
        </w:rPr>
        <w:t>评审办法</w:t>
      </w:r>
    </w:p>
    <w:tbl>
      <w:tblPr>
        <w:tblStyle w:val="31"/>
        <w:tblW w:w="104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494"/>
        <w:gridCol w:w="1488"/>
        <w:gridCol w:w="6392"/>
      </w:tblGrid>
      <w:tr w14:paraId="715C8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6" w:type="dxa"/>
            <w:noWrap w:val="0"/>
            <w:vAlign w:val="center"/>
          </w:tcPr>
          <w:p w14:paraId="3D37BEAD">
            <w:pPr>
              <w:widowControl/>
              <w:spacing w:line="360" w:lineRule="exact"/>
              <w:jc w:val="center"/>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color w:val="000000"/>
                <w:sz w:val="21"/>
                <w:szCs w:val="21"/>
                <w:lang w:bidi="ar"/>
              </w:rPr>
              <w:t>条款号</w:t>
            </w:r>
          </w:p>
        </w:tc>
        <w:tc>
          <w:tcPr>
            <w:tcW w:w="1494" w:type="dxa"/>
            <w:noWrap w:val="0"/>
            <w:vAlign w:val="center"/>
          </w:tcPr>
          <w:p w14:paraId="6BA1A0B7">
            <w:pPr>
              <w:widowControl/>
              <w:spacing w:line="360" w:lineRule="exact"/>
              <w:jc w:val="center"/>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color w:val="000000"/>
                <w:sz w:val="21"/>
                <w:szCs w:val="21"/>
                <w:lang w:bidi="ar"/>
              </w:rPr>
              <w:t>综合因素</w:t>
            </w:r>
          </w:p>
          <w:p w14:paraId="5A8F1A4B">
            <w:pPr>
              <w:widowControl/>
              <w:spacing w:line="360" w:lineRule="exact"/>
              <w:jc w:val="center"/>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color w:val="000000"/>
                <w:sz w:val="21"/>
                <w:szCs w:val="21"/>
                <w:lang w:bidi="ar"/>
              </w:rPr>
              <w:t>条款内容</w:t>
            </w:r>
          </w:p>
        </w:tc>
        <w:tc>
          <w:tcPr>
            <w:tcW w:w="7880" w:type="dxa"/>
            <w:gridSpan w:val="2"/>
            <w:noWrap w:val="0"/>
            <w:vAlign w:val="center"/>
          </w:tcPr>
          <w:p w14:paraId="697285CA">
            <w:pPr>
              <w:widowControl/>
              <w:spacing w:line="360" w:lineRule="exact"/>
              <w:jc w:val="center"/>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color w:val="000000"/>
                <w:sz w:val="21"/>
                <w:szCs w:val="21"/>
                <w:lang w:bidi="ar"/>
              </w:rPr>
              <w:t>综合因素编列内容</w:t>
            </w:r>
          </w:p>
        </w:tc>
      </w:tr>
      <w:tr w14:paraId="1A698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90" w:type="dxa"/>
            <w:gridSpan w:val="4"/>
            <w:noWrap w:val="0"/>
            <w:vAlign w:val="top"/>
          </w:tcPr>
          <w:p w14:paraId="569DDC94">
            <w:pPr>
              <w:widowControl/>
              <w:spacing w:line="360" w:lineRule="exact"/>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color w:val="000000"/>
                <w:sz w:val="21"/>
                <w:szCs w:val="21"/>
                <w:lang w:bidi="ar"/>
              </w:rPr>
              <w:t xml:space="preserve">2.2 详细评审（综合计分法分值构成与评分标准）： </w:t>
            </w:r>
          </w:p>
        </w:tc>
      </w:tr>
      <w:tr w14:paraId="3C918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5" w:hRule="atLeast"/>
        </w:trPr>
        <w:tc>
          <w:tcPr>
            <w:tcW w:w="1116" w:type="dxa"/>
            <w:noWrap w:val="0"/>
            <w:vAlign w:val="center"/>
          </w:tcPr>
          <w:p w14:paraId="49D8DDB5">
            <w:pPr>
              <w:widowControl/>
              <w:spacing w:line="3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lang w:bidi="ar"/>
              </w:rPr>
              <w:t>2.2.1</w:t>
            </w:r>
          </w:p>
        </w:tc>
        <w:tc>
          <w:tcPr>
            <w:tcW w:w="1494" w:type="dxa"/>
            <w:noWrap w:val="0"/>
            <w:vAlign w:val="center"/>
          </w:tcPr>
          <w:p w14:paraId="1E1C3A64">
            <w:pPr>
              <w:widowControl/>
              <w:spacing w:line="3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lang w:bidi="ar"/>
              </w:rPr>
              <w:t>分值构成</w:t>
            </w:r>
          </w:p>
          <w:p w14:paraId="19D7185E">
            <w:pPr>
              <w:widowControl/>
              <w:spacing w:line="3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lang w:bidi="ar"/>
              </w:rPr>
              <w:t>(总分100分)</w:t>
            </w:r>
          </w:p>
        </w:tc>
        <w:tc>
          <w:tcPr>
            <w:tcW w:w="7880" w:type="dxa"/>
            <w:gridSpan w:val="2"/>
            <w:noWrap w:val="0"/>
            <w:vAlign w:val="top"/>
          </w:tcPr>
          <w:p w14:paraId="0EABE5D4">
            <w:pPr>
              <w:widowControl/>
              <w:spacing w:line="360" w:lineRule="exact"/>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lang w:bidi="ar"/>
              </w:rPr>
              <w:t>（1）磋商报价：</w:t>
            </w:r>
            <w:r>
              <w:rPr>
                <w:rFonts w:hint="eastAsia" w:asciiTheme="minorEastAsia" w:hAnsiTheme="minorEastAsia" w:eastAsiaTheme="minorEastAsia" w:cstheme="minorEastAsia"/>
                <w:color w:val="000000"/>
                <w:sz w:val="21"/>
                <w:szCs w:val="21"/>
                <w:lang w:val="en-US" w:eastAsia="zh-CN" w:bidi="ar"/>
              </w:rPr>
              <w:t>10</w:t>
            </w:r>
            <w:r>
              <w:rPr>
                <w:rFonts w:hint="eastAsia" w:asciiTheme="minorEastAsia" w:hAnsiTheme="minorEastAsia" w:eastAsiaTheme="minorEastAsia" w:cstheme="minorEastAsia"/>
                <w:color w:val="000000"/>
                <w:sz w:val="21"/>
                <w:szCs w:val="21"/>
                <w:lang w:bidi="ar"/>
              </w:rPr>
              <w:t xml:space="preserve"> 分 </w:t>
            </w:r>
          </w:p>
          <w:p w14:paraId="36CB3813">
            <w:pPr>
              <w:widowControl/>
              <w:spacing w:line="360" w:lineRule="exact"/>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lang w:bidi="ar"/>
              </w:rPr>
              <w:t>（2）商务标部分：</w:t>
            </w:r>
            <w:r>
              <w:rPr>
                <w:rFonts w:hint="eastAsia" w:asciiTheme="minorEastAsia" w:hAnsiTheme="minorEastAsia" w:eastAsiaTheme="minorEastAsia" w:cstheme="minorEastAsia"/>
                <w:color w:val="000000"/>
                <w:sz w:val="21"/>
                <w:szCs w:val="21"/>
                <w:lang w:val="en-US" w:eastAsia="zh-CN" w:bidi="ar"/>
              </w:rPr>
              <w:t>35</w:t>
            </w:r>
            <w:r>
              <w:rPr>
                <w:rFonts w:hint="eastAsia" w:asciiTheme="minorEastAsia" w:hAnsiTheme="minorEastAsia" w:eastAsiaTheme="minorEastAsia" w:cstheme="minorEastAsia"/>
                <w:color w:val="000000"/>
                <w:sz w:val="21"/>
                <w:szCs w:val="21"/>
                <w:lang w:bidi="ar"/>
              </w:rPr>
              <w:t xml:space="preserve">分 </w:t>
            </w:r>
          </w:p>
          <w:p w14:paraId="2DA039C2">
            <w:pPr>
              <w:widowControl/>
              <w:spacing w:line="360" w:lineRule="exact"/>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lang w:bidi="ar"/>
              </w:rPr>
              <w:t>（3）技术标部分：</w:t>
            </w:r>
            <w:r>
              <w:rPr>
                <w:rFonts w:hint="eastAsia" w:asciiTheme="minorEastAsia" w:hAnsiTheme="minorEastAsia" w:eastAsiaTheme="minorEastAsia" w:cstheme="minorEastAsia"/>
                <w:color w:val="000000"/>
                <w:sz w:val="21"/>
                <w:szCs w:val="21"/>
                <w:lang w:val="en-US" w:eastAsia="zh-CN" w:bidi="ar"/>
              </w:rPr>
              <w:t>55</w:t>
            </w:r>
            <w:r>
              <w:rPr>
                <w:rFonts w:hint="eastAsia" w:asciiTheme="minorEastAsia" w:hAnsiTheme="minorEastAsia" w:eastAsiaTheme="minorEastAsia" w:cstheme="minorEastAsia"/>
                <w:color w:val="000000"/>
                <w:sz w:val="21"/>
                <w:szCs w:val="21"/>
                <w:lang w:bidi="ar"/>
              </w:rPr>
              <w:t xml:space="preserve">分 </w:t>
            </w:r>
          </w:p>
        </w:tc>
      </w:tr>
      <w:tr w14:paraId="07595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6" w:type="dxa"/>
            <w:noWrap w:val="0"/>
            <w:vAlign w:val="center"/>
          </w:tcPr>
          <w:p w14:paraId="3C185D1E">
            <w:pPr>
              <w:widowControl/>
              <w:spacing w:line="3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lang w:bidi="ar"/>
              </w:rPr>
              <w:t>2.2.2</w:t>
            </w:r>
          </w:p>
        </w:tc>
        <w:tc>
          <w:tcPr>
            <w:tcW w:w="1494" w:type="dxa"/>
            <w:noWrap w:val="0"/>
            <w:vAlign w:val="center"/>
          </w:tcPr>
          <w:p w14:paraId="51BBD5CC">
            <w:pPr>
              <w:widowControl/>
              <w:spacing w:line="3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lang w:bidi="ar"/>
              </w:rPr>
              <w:t>磋商基准价</w:t>
            </w:r>
          </w:p>
        </w:tc>
        <w:tc>
          <w:tcPr>
            <w:tcW w:w="7880" w:type="dxa"/>
            <w:gridSpan w:val="2"/>
            <w:noWrap w:val="0"/>
            <w:vAlign w:val="top"/>
          </w:tcPr>
          <w:p w14:paraId="33E5880C">
            <w:pPr>
              <w:widowControl/>
              <w:spacing w:line="360" w:lineRule="exact"/>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lang w:bidi="ar"/>
              </w:rPr>
              <w:t>满足竞争性磋商文件要求且最终磋商报价最低的竞争性磋商响应人的最终磋商报价</w:t>
            </w:r>
          </w:p>
        </w:tc>
      </w:tr>
      <w:tr w14:paraId="0C81B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6" w:type="dxa"/>
            <w:noWrap w:val="0"/>
            <w:vAlign w:val="center"/>
          </w:tcPr>
          <w:p w14:paraId="54F78F00">
            <w:pPr>
              <w:widowControl/>
              <w:spacing w:line="3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lang w:bidi="ar"/>
              </w:rPr>
              <w:t>2.2.3</w:t>
            </w:r>
          </w:p>
        </w:tc>
        <w:tc>
          <w:tcPr>
            <w:tcW w:w="1494" w:type="dxa"/>
            <w:noWrap w:val="0"/>
            <w:vAlign w:val="center"/>
          </w:tcPr>
          <w:p w14:paraId="12FB3526">
            <w:pPr>
              <w:widowControl/>
              <w:spacing w:line="3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lang w:bidi="ar"/>
              </w:rPr>
              <w:t>磋商报价</w:t>
            </w:r>
          </w:p>
          <w:p w14:paraId="08B11290">
            <w:pPr>
              <w:widowControl/>
              <w:spacing w:line="3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lang w:bidi="ar"/>
              </w:rPr>
              <w:t>（</w:t>
            </w:r>
            <w:r>
              <w:rPr>
                <w:rFonts w:hint="eastAsia" w:asciiTheme="minorEastAsia" w:hAnsiTheme="minorEastAsia" w:eastAsiaTheme="minorEastAsia" w:cstheme="minorEastAsia"/>
                <w:color w:val="000000"/>
                <w:sz w:val="21"/>
                <w:szCs w:val="21"/>
                <w:lang w:val="en-US" w:eastAsia="zh-CN" w:bidi="ar"/>
              </w:rPr>
              <w:t>10</w:t>
            </w:r>
            <w:r>
              <w:rPr>
                <w:rFonts w:hint="eastAsia" w:asciiTheme="minorEastAsia" w:hAnsiTheme="minorEastAsia" w:eastAsiaTheme="minorEastAsia" w:cstheme="minorEastAsia"/>
                <w:color w:val="000000"/>
                <w:sz w:val="21"/>
                <w:szCs w:val="21"/>
                <w:lang w:bidi="ar"/>
              </w:rPr>
              <w:t>分）</w:t>
            </w:r>
          </w:p>
        </w:tc>
        <w:tc>
          <w:tcPr>
            <w:tcW w:w="7880" w:type="dxa"/>
            <w:gridSpan w:val="2"/>
            <w:noWrap w:val="0"/>
            <w:vAlign w:val="top"/>
          </w:tcPr>
          <w:p w14:paraId="23FC0D07">
            <w:pPr>
              <w:widowControl/>
              <w:spacing w:line="360" w:lineRule="exact"/>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采用低价优先法计算，即满足招标文件要求且投标价格最低的投标报价为评标基准价，其价格分为满分。其他供应商的价格分统一按照下列公式计算： </w:t>
            </w:r>
          </w:p>
          <w:p w14:paraId="712724F1">
            <w:pPr>
              <w:widowControl/>
              <w:spacing w:line="360" w:lineRule="exact"/>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投标报价得分=（评标基准价/投标报价）×</w:t>
            </w:r>
            <w:r>
              <w:rPr>
                <w:rFonts w:hint="eastAsia" w:asciiTheme="minorEastAsia" w:hAnsiTheme="minorEastAsia" w:eastAsiaTheme="minorEastAsia" w:cstheme="minorEastAsia"/>
                <w:sz w:val="21"/>
                <w:szCs w:val="21"/>
                <w:lang w:val="en-US" w:eastAsia="zh-CN"/>
              </w:rPr>
              <w:t>10</w:t>
            </w:r>
            <w:r>
              <w:rPr>
                <w:rFonts w:hint="eastAsia" w:asciiTheme="minorEastAsia" w:hAnsiTheme="minorEastAsia" w:eastAsiaTheme="minorEastAsia" w:cstheme="minorEastAsia"/>
                <w:sz w:val="21"/>
                <w:szCs w:val="21"/>
              </w:rPr>
              <w:t xml:space="preserve"> </w:t>
            </w:r>
          </w:p>
          <w:p w14:paraId="1B5DA2C1">
            <w:pPr>
              <w:widowControl/>
              <w:spacing w:line="360" w:lineRule="exact"/>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价格优惠说明：</w:t>
            </w:r>
          </w:p>
          <w:p w14:paraId="446274BA">
            <w:pPr>
              <w:widowControl/>
              <w:spacing w:line="360" w:lineRule="exact"/>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sz w:val="21"/>
                <w:szCs w:val="21"/>
                <w:lang w:val="en-US" w:eastAsia="zh-CN"/>
              </w:rPr>
              <w:t>备注：因本项目专门面向中小企业，并执行扶持中小企业、监狱企业和残疾人福利性单位发展的政策，故磋商报价不再享受价格优惠。</w:t>
            </w:r>
          </w:p>
        </w:tc>
      </w:tr>
      <w:tr w14:paraId="1C50B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trPr>
        <w:tc>
          <w:tcPr>
            <w:tcW w:w="1116" w:type="dxa"/>
            <w:vMerge w:val="restart"/>
            <w:noWrap w:val="0"/>
            <w:vAlign w:val="center"/>
          </w:tcPr>
          <w:p w14:paraId="4824BDFB">
            <w:pPr>
              <w:widowControl/>
              <w:spacing w:line="3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lang w:bidi="ar"/>
              </w:rPr>
              <w:t>2.2.4</w:t>
            </w:r>
          </w:p>
        </w:tc>
        <w:tc>
          <w:tcPr>
            <w:tcW w:w="1494" w:type="dxa"/>
            <w:vMerge w:val="restart"/>
            <w:noWrap w:val="0"/>
            <w:vAlign w:val="center"/>
          </w:tcPr>
          <w:p w14:paraId="0A68A89B">
            <w:pPr>
              <w:widowControl/>
              <w:spacing w:line="3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lang w:bidi="ar"/>
              </w:rPr>
              <w:t>商务标部分</w:t>
            </w:r>
          </w:p>
          <w:p w14:paraId="0597276C">
            <w:pPr>
              <w:widowControl/>
              <w:spacing w:line="3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lang w:bidi="ar"/>
              </w:rPr>
              <w:t>（</w:t>
            </w:r>
            <w:r>
              <w:rPr>
                <w:rFonts w:hint="eastAsia" w:asciiTheme="minorEastAsia" w:hAnsiTheme="minorEastAsia" w:eastAsiaTheme="minorEastAsia" w:cstheme="minorEastAsia"/>
                <w:color w:val="000000"/>
                <w:sz w:val="21"/>
                <w:szCs w:val="21"/>
                <w:lang w:val="en-US" w:eastAsia="zh-CN" w:bidi="ar"/>
              </w:rPr>
              <w:t>35</w:t>
            </w:r>
            <w:r>
              <w:rPr>
                <w:rFonts w:hint="eastAsia" w:asciiTheme="minorEastAsia" w:hAnsiTheme="minorEastAsia" w:eastAsiaTheme="minorEastAsia" w:cstheme="minorEastAsia"/>
                <w:color w:val="000000"/>
                <w:sz w:val="21"/>
                <w:szCs w:val="21"/>
                <w:lang w:bidi="ar"/>
              </w:rPr>
              <w:t>分）</w:t>
            </w:r>
          </w:p>
        </w:tc>
        <w:tc>
          <w:tcPr>
            <w:tcW w:w="1488" w:type="dxa"/>
            <w:shd w:val="clear" w:color="auto" w:fill="auto"/>
            <w:noWrap w:val="0"/>
            <w:vAlign w:val="center"/>
          </w:tcPr>
          <w:p w14:paraId="7B5D29A0">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auto"/>
              <w:rPr>
                <w:rFonts w:hint="eastAsia" w:asciiTheme="minorEastAsia" w:hAnsiTheme="minorEastAsia" w:eastAsiaTheme="minorEastAsia" w:cstheme="minorEastAsia"/>
                <w:color w:val="000000"/>
                <w:kern w:val="0"/>
                <w:sz w:val="21"/>
                <w:szCs w:val="21"/>
                <w:lang w:val="en-US" w:eastAsia="zh-CN" w:bidi="ar"/>
              </w:rPr>
            </w:pPr>
            <w:r>
              <w:rPr>
                <w:rFonts w:hint="eastAsia" w:asciiTheme="minorEastAsia" w:hAnsiTheme="minorEastAsia" w:eastAsiaTheme="minorEastAsia" w:cstheme="minorEastAsia"/>
                <w:color w:val="000000"/>
                <w:kern w:val="0"/>
                <w:sz w:val="21"/>
                <w:szCs w:val="21"/>
                <w:lang w:val="en-US" w:eastAsia="zh-CN" w:bidi="ar"/>
              </w:rPr>
              <w:t>企业业绩</w:t>
            </w:r>
          </w:p>
          <w:p w14:paraId="419FDD2B">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color w:val="000000"/>
                <w:kern w:val="0"/>
                <w:sz w:val="21"/>
                <w:szCs w:val="21"/>
                <w:lang w:val="en-US" w:eastAsia="zh-CN" w:bidi="ar"/>
              </w:rPr>
              <w:t>（4分）</w:t>
            </w:r>
          </w:p>
        </w:tc>
        <w:tc>
          <w:tcPr>
            <w:tcW w:w="6392" w:type="dxa"/>
            <w:shd w:val="clear" w:color="auto" w:fill="auto"/>
            <w:noWrap w:val="0"/>
            <w:vAlign w:val="center"/>
          </w:tcPr>
          <w:p w14:paraId="1DD48A79">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left"/>
              <w:textAlignment w:val="auto"/>
              <w:rPr>
                <w:rFonts w:hint="eastAsia" w:asciiTheme="minorEastAsia" w:hAnsiTheme="minorEastAsia" w:eastAsiaTheme="minorEastAsia" w:cstheme="minorEastAsia"/>
                <w:color w:val="000000"/>
                <w:kern w:val="0"/>
                <w:sz w:val="21"/>
                <w:szCs w:val="21"/>
                <w:lang w:val="en-US" w:eastAsia="zh-CN" w:bidi="ar"/>
              </w:rPr>
            </w:pPr>
            <w:r>
              <w:rPr>
                <w:rFonts w:hint="eastAsia" w:asciiTheme="minorEastAsia" w:hAnsiTheme="minorEastAsia" w:eastAsiaTheme="minorEastAsia" w:cstheme="minorEastAsia"/>
                <w:color w:val="000000"/>
                <w:kern w:val="0"/>
                <w:sz w:val="21"/>
                <w:szCs w:val="21"/>
                <w:lang w:val="en-US" w:eastAsia="zh-CN" w:bidi="ar"/>
              </w:rPr>
              <w:t>投标人近三年具有</w:t>
            </w:r>
            <w:r>
              <w:rPr>
                <w:rFonts w:hint="eastAsia" w:asciiTheme="minorEastAsia" w:hAnsiTheme="minorEastAsia" w:cstheme="minorEastAsia"/>
                <w:color w:val="000000"/>
                <w:kern w:val="0"/>
                <w:sz w:val="21"/>
                <w:szCs w:val="21"/>
                <w:lang w:val="en-US" w:eastAsia="zh-CN" w:bidi="ar"/>
              </w:rPr>
              <w:t>类似</w:t>
            </w:r>
            <w:r>
              <w:rPr>
                <w:rFonts w:hint="eastAsia" w:asciiTheme="minorEastAsia" w:hAnsiTheme="minorEastAsia" w:eastAsiaTheme="minorEastAsia" w:cstheme="minorEastAsia"/>
                <w:color w:val="000000"/>
                <w:kern w:val="0"/>
                <w:sz w:val="21"/>
                <w:szCs w:val="21"/>
                <w:lang w:val="en-US" w:eastAsia="zh-CN" w:bidi="ar"/>
              </w:rPr>
              <w:t>项目业绩的，每有一个得 2 分，本项最高得4分。(提供中标通知书、合同，以签订时间为准，同一年度同一单位合同只计算一次）。)</w:t>
            </w:r>
          </w:p>
        </w:tc>
      </w:tr>
      <w:tr w14:paraId="6FA6D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trPr>
        <w:tc>
          <w:tcPr>
            <w:tcW w:w="1116" w:type="dxa"/>
            <w:vMerge w:val="continue"/>
            <w:noWrap w:val="0"/>
            <w:vAlign w:val="center"/>
          </w:tcPr>
          <w:p w14:paraId="2A7DFC59">
            <w:pPr>
              <w:pStyle w:val="13"/>
              <w:widowControl w:val="0"/>
              <w:spacing w:line="360" w:lineRule="exact"/>
              <w:jc w:val="center"/>
              <w:rPr>
                <w:rFonts w:hint="eastAsia" w:asciiTheme="minorEastAsia" w:hAnsiTheme="minorEastAsia" w:eastAsiaTheme="minorEastAsia" w:cstheme="minorEastAsia"/>
                <w:sz w:val="21"/>
                <w:szCs w:val="21"/>
              </w:rPr>
            </w:pPr>
          </w:p>
        </w:tc>
        <w:tc>
          <w:tcPr>
            <w:tcW w:w="1494" w:type="dxa"/>
            <w:vMerge w:val="continue"/>
            <w:noWrap w:val="0"/>
            <w:vAlign w:val="center"/>
          </w:tcPr>
          <w:p w14:paraId="4EEF4958">
            <w:pPr>
              <w:pStyle w:val="13"/>
              <w:widowControl w:val="0"/>
              <w:spacing w:line="360" w:lineRule="exact"/>
              <w:jc w:val="center"/>
              <w:rPr>
                <w:rFonts w:hint="eastAsia" w:asciiTheme="minorEastAsia" w:hAnsiTheme="minorEastAsia" w:eastAsiaTheme="minorEastAsia" w:cstheme="minorEastAsia"/>
                <w:sz w:val="21"/>
                <w:szCs w:val="21"/>
              </w:rPr>
            </w:pPr>
          </w:p>
        </w:tc>
        <w:tc>
          <w:tcPr>
            <w:tcW w:w="1488" w:type="dxa"/>
            <w:shd w:val="clear" w:color="auto" w:fill="auto"/>
            <w:noWrap w:val="0"/>
            <w:vAlign w:val="center"/>
          </w:tcPr>
          <w:p w14:paraId="01D413FB">
            <w:pPr>
              <w:widowControl w:val="0"/>
              <w:spacing w:line="360" w:lineRule="auto"/>
              <w:jc w:val="cente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人员配备情况</w:t>
            </w:r>
          </w:p>
          <w:p w14:paraId="7A72A5AE">
            <w:pPr>
              <w:widowControl w:val="0"/>
              <w:spacing w:line="360" w:lineRule="auto"/>
              <w:jc w:val="center"/>
              <w:rPr>
                <w:rFonts w:hint="eastAsia" w:asciiTheme="minorEastAsia" w:hAnsiTheme="minorEastAsia" w:eastAsiaTheme="minorEastAsia" w:cstheme="minorEastAsia"/>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(10分）</w:t>
            </w:r>
          </w:p>
        </w:tc>
        <w:tc>
          <w:tcPr>
            <w:tcW w:w="6392" w:type="dxa"/>
            <w:shd w:val="clear" w:color="auto" w:fill="auto"/>
            <w:noWrap w:val="0"/>
            <w:vAlign w:val="center"/>
          </w:tcPr>
          <w:p w14:paraId="1D8C687F">
            <w:pPr>
              <w:widowControl w:val="0"/>
              <w:spacing w:line="360" w:lineRule="auto"/>
              <w:rPr>
                <w:rFonts w:hint="eastAsia" w:asciiTheme="minorEastAsia" w:hAnsiTheme="minorEastAsia" w:eastAsiaTheme="minorEastAsia" w:cstheme="minorEastAsia"/>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具有满足食品、粮食、化学、检验、环保、卫生及相关专业的专业检测队伍和专业的食品安全采样队伍，检测人员中每提供1名教授级高级职称者得</w:t>
            </w:r>
            <w:r>
              <w:rPr>
                <w:rFonts w:hint="eastAsia" w:asciiTheme="minorEastAsia" w:hAnsiTheme="minorEastAsia" w:eastAsiaTheme="minorEastAsia" w:cstheme="minorEastAsia"/>
                <w:color w:val="000000" w:themeColor="text1"/>
                <w:sz w:val="21"/>
                <w:szCs w:val="21"/>
                <w:highlight w:val="none"/>
                <w:lang w:val="en-US" w:eastAsia="zh-CN"/>
                <w14:textFill>
                  <w14:solidFill>
                    <w14:schemeClr w14:val="tx1"/>
                  </w14:solidFill>
                </w14:textFill>
              </w:rPr>
              <w:t>1</w:t>
            </w: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分，最多得2分，每提供1名高级职称者得1分，最多得2分，每提供1名中级职称者得</w:t>
            </w:r>
            <w:r>
              <w:rPr>
                <w:rFonts w:hint="eastAsia" w:asciiTheme="minorEastAsia" w:hAnsiTheme="minorEastAsia" w:eastAsiaTheme="minorEastAsia" w:cstheme="minorEastAsia"/>
                <w:color w:val="000000" w:themeColor="text1"/>
                <w:sz w:val="21"/>
                <w:szCs w:val="21"/>
                <w:highlight w:val="none"/>
                <w:lang w:val="en-US" w:eastAsia="zh-CN"/>
                <w14:textFill>
                  <w14:solidFill>
                    <w14:schemeClr w14:val="tx1"/>
                  </w14:solidFill>
                </w14:textFill>
              </w:rPr>
              <w:t>1</w:t>
            </w: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分，最多得3分；每提供1名食品、粮食、化学、生物、农业及相关专业硕士学位及以上学历者得</w:t>
            </w:r>
            <w:r>
              <w:rPr>
                <w:rFonts w:hint="eastAsia" w:asciiTheme="minorEastAsia" w:hAnsiTheme="minorEastAsia" w:cstheme="minorEastAsia"/>
                <w:color w:val="000000" w:themeColor="text1"/>
                <w:sz w:val="21"/>
                <w:szCs w:val="21"/>
                <w:highlight w:val="none"/>
                <w:lang w:val="en-US" w:eastAsia="zh-CN"/>
                <w14:textFill>
                  <w14:solidFill>
                    <w14:schemeClr w14:val="tx1"/>
                  </w14:solidFill>
                </w14:textFill>
              </w:rPr>
              <w:t>1</w:t>
            </w: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分，最多得3分。本项最多得10分（中级和高级职称人员不得重复，需提供以上人员的职称证原件扫描件，近3个月（任意一个月）社保缴纳证明，退休人员需提供退休返聘证书，需提供相关原件扫描件，否则不得分。）</w:t>
            </w:r>
          </w:p>
        </w:tc>
      </w:tr>
      <w:tr w14:paraId="78DA3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trPr>
        <w:tc>
          <w:tcPr>
            <w:tcW w:w="1116" w:type="dxa"/>
            <w:vMerge w:val="continue"/>
            <w:noWrap w:val="0"/>
            <w:vAlign w:val="center"/>
          </w:tcPr>
          <w:p w14:paraId="01FAFBE0">
            <w:pPr>
              <w:pStyle w:val="13"/>
              <w:widowControl w:val="0"/>
              <w:spacing w:line="360" w:lineRule="exact"/>
              <w:jc w:val="center"/>
              <w:rPr>
                <w:rFonts w:hint="eastAsia" w:asciiTheme="minorEastAsia" w:hAnsiTheme="minorEastAsia" w:eastAsiaTheme="minorEastAsia" w:cstheme="minorEastAsia"/>
                <w:sz w:val="21"/>
                <w:szCs w:val="21"/>
              </w:rPr>
            </w:pPr>
          </w:p>
        </w:tc>
        <w:tc>
          <w:tcPr>
            <w:tcW w:w="1494" w:type="dxa"/>
            <w:vMerge w:val="continue"/>
            <w:noWrap w:val="0"/>
            <w:vAlign w:val="center"/>
          </w:tcPr>
          <w:p w14:paraId="6A3625A8">
            <w:pPr>
              <w:pStyle w:val="13"/>
              <w:widowControl w:val="0"/>
              <w:spacing w:line="360" w:lineRule="exact"/>
              <w:jc w:val="center"/>
              <w:rPr>
                <w:rFonts w:hint="eastAsia" w:asciiTheme="minorEastAsia" w:hAnsiTheme="minorEastAsia" w:eastAsiaTheme="minorEastAsia" w:cstheme="minorEastAsia"/>
                <w:sz w:val="21"/>
                <w:szCs w:val="21"/>
              </w:rPr>
            </w:pPr>
          </w:p>
        </w:tc>
        <w:tc>
          <w:tcPr>
            <w:tcW w:w="1488" w:type="dxa"/>
            <w:shd w:val="clear" w:color="auto" w:fill="auto"/>
            <w:noWrap w:val="0"/>
            <w:vAlign w:val="center"/>
          </w:tcPr>
          <w:p w14:paraId="2B68B3C8">
            <w:pPr>
              <w:widowControl w:val="0"/>
              <w:spacing w:line="360" w:lineRule="auto"/>
              <w:jc w:val="center"/>
              <w:rPr>
                <w:rFonts w:hint="eastAsia" w:asciiTheme="minorEastAsia" w:hAnsiTheme="minorEastAsia" w:eastAsiaTheme="minorEastAsia" w:cstheme="minorEastAsia"/>
                <w:snapToGrid w:val="0"/>
                <w:color w:val="000000"/>
                <w:kern w:val="0"/>
                <w:sz w:val="21"/>
                <w:szCs w:val="21"/>
                <w:highlight w:val="none"/>
                <w:lang w:val="en-US" w:eastAsia="zh-CN"/>
              </w:rPr>
            </w:pPr>
            <w:r>
              <w:rPr>
                <w:rFonts w:hint="eastAsia" w:asciiTheme="minorEastAsia" w:hAnsiTheme="minorEastAsia" w:eastAsiaTheme="minorEastAsia" w:cstheme="minorEastAsia"/>
                <w:sz w:val="21"/>
                <w:szCs w:val="21"/>
                <w:highlight w:val="none"/>
              </w:rPr>
              <w:t>车辆及抽样设备（</w:t>
            </w:r>
            <w:r>
              <w:rPr>
                <w:rFonts w:hint="eastAsia" w:asciiTheme="minorEastAsia" w:hAnsiTheme="minorEastAsia" w:eastAsiaTheme="minorEastAsia" w:cstheme="minorEastAsia"/>
                <w:sz w:val="21"/>
                <w:szCs w:val="21"/>
                <w:highlight w:val="none"/>
                <w:lang w:val="en-US" w:eastAsia="zh-CN"/>
              </w:rPr>
              <w:t>5</w:t>
            </w:r>
            <w:r>
              <w:rPr>
                <w:rFonts w:hint="eastAsia" w:asciiTheme="minorEastAsia" w:hAnsiTheme="minorEastAsia" w:eastAsiaTheme="minorEastAsia" w:cstheme="minorEastAsia"/>
                <w:sz w:val="21"/>
                <w:szCs w:val="21"/>
                <w:highlight w:val="none"/>
              </w:rPr>
              <w:t>分）</w:t>
            </w:r>
          </w:p>
        </w:tc>
        <w:tc>
          <w:tcPr>
            <w:tcW w:w="6392" w:type="dxa"/>
            <w:shd w:val="clear" w:color="auto" w:fill="auto"/>
            <w:noWrap w:val="0"/>
            <w:vAlign w:val="center"/>
          </w:tcPr>
          <w:p w14:paraId="7920E1A8">
            <w:pPr>
              <w:widowControl w:val="0"/>
              <w:spacing w:line="360" w:lineRule="auto"/>
              <w:rPr>
                <w:rFonts w:hint="eastAsia" w:asciiTheme="minorEastAsia" w:hAnsiTheme="minorEastAsia" w:eastAsiaTheme="minorEastAsia" w:cstheme="minorEastAsia"/>
                <w:snapToGrid w:val="0"/>
                <w:color w:val="000000"/>
                <w:kern w:val="0"/>
                <w:sz w:val="21"/>
                <w:szCs w:val="21"/>
                <w:highlight w:val="none"/>
                <w:lang w:val="en-US" w:eastAsia="zh-CN"/>
              </w:rPr>
            </w:pPr>
            <w:r>
              <w:rPr>
                <w:rFonts w:hint="eastAsia" w:asciiTheme="minorEastAsia" w:hAnsiTheme="minorEastAsia" w:eastAsiaTheme="minorEastAsia" w:cstheme="minorEastAsia"/>
                <w:sz w:val="21"/>
                <w:szCs w:val="21"/>
                <w:highlight w:val="none"/>
              </w:rPr>
              <w:t>供应商具有自有专用抽检用车5辆（含5辆）以上得</w:t>
            </w:r>
            <w:r>
              <w:rPr>
                <w:rFonts w:hint="eastAsia" w:asciiTheme="minorEastAsia" w:hAnsiTheme="minorEastAsia" w:eastAsiaTheme="minorEastAsia" w:cstheme="minorEastAsia"/>
                <w:sz w:val="21"/>
                <w:szCs w:val="21"/>
                <w:highlight w:val="none"/>
                <w:lang w:val="en-US" w:eastAsia="zh-CN"/>
              </w:rPr>
              <w:t>5</w:t>
            </w:r>
            <w:r>
              <w:rPr>
                <w:rFonts w:hint="eastAsia" w:asciiTheme="minorEastAsia" w:hAnsiTheme="minorEastAsia" w:eastAsiaTheme="minorEastAsia" w:cstheme="minorEastAsia"/>
                <w:sz w:val="21"/>
                <w:szCs w:val="21"/>
                <w:highlight w:val="none"/>
              </w:rPr>
              <w:t>分，其中至少包含自有专用冷</w:t>
            </w:r>
            <w:r>
              <w:rPr>
                <w:rFonts w:hint="eastAsia" w:asciiTheme="minorEastAsia" w:hAnsiTheme="minorEastAsia" w:cstheme="minorEastAsia"/>
                <w:sz w:val="21"/>
                <w:szCs w:val="21"/>
                <w:highlight w:val="none"/>
                <w:lang w:val="en-US" w:eastAsia="zh-CN"/>
              </w:rPr>
              <w:t>藏</w:t>
            </w:r>
            <w:r>
              <w:rPr>
                <w:rFonts w:hint="eastAsia" w:asciiTheme="minorEastAsia" w:hAnsiTheme="minorEastAsia" w:eastAsiaTheme="minorEastAsia" w:cstheme="minorEastAsia"/>
                <w:sz w:val="21"/>
                <w:szCs w:val="21"/>
                <w:highlight w:val="none"/>
              </w:rPr>
              <w:t>车1辆，否则不得分。（投标文件中附购车发票、行驶证和车辆登记证扫描件，否则不得分）；</w:t>
            </w:r>
          </w:p>
        </w:tc>
      </w:tr>
      <w:tr w14:paraId="02FC2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trPr>
        <w:tc>
          <w:tcPr>
            <w:tcW w:w="1116" w:type="dxa"/>
            <w:vMerge w:val="continue"/>
            <w:noWrap w:val="0"/>
            <w:vAlign w:val="center"/>
          </w:tcPr>
          <w:p w14:paraId="67B51401">
            <w:pPr>
              <w:pStyle w:val="13"/>
              <w:widowControl w:val="0"/>
              <w:spacing w:line="360" w:lineRule="exact"/>
              <w:jc w:val="center"/>
              <w:rPr>
                <w:rFonts w:hint="eastAsia" w:asciiTheme="minorEastAsia" w:hAnsiTheme="minorEastAsia" w:eastAsiaTheme="minorEastAsia" w:cstheme="minorEastAsia"/>
                <w:sz w:val="21"/>
                <w:szCs w:val="21"/>
              </w:rPr>
            </w:pPr>
          </w:p>
        </w:tc>
        <w:tc>
          <w:tcPr>
            <w:tcW w:w="1494" w:type="dxa"/>
            <w:vMerge w:val="continue"/>
            <w:noWrap w:val="0"/>
            <w:vAlign w:val="center"/>
          </w:tcPr>
          <w:p w14:paraId="7F30D34E">
            <w:pPr>
              <w:pStyle w:val="13"/>
              <w:widowControl w:val="0"/>
              <w:spacing w:line="360" w:lineRule="exact"/>
              <w:jc w:val="center"/>
              <w:rPr>
                <w:rFonts w:hint="eastAsia" w:asciiTheme="minorEastAsia" w:hAnsiTheme="minorEastAsia" w:eastAsiaTheme="minorEastAsia" w:cstheme="minorEastAsia"/>
                <w:sz w:val="21"/>
                <w:szCs w:val="21"/>
              </w:rPr>
            </w:pPr>
          </w:p>
        </w:tc>
        <w:tc>
          <w:tcPr>
            <w:tcW w:w="1488" w:type="dxa"/>
            <w:shd w:val="clear" w:color="auto" w:fill="auto"/>
            <w:noWrap w:val="0"/>
            <w:vAlign w:val="top"/>
          </w:tcPr>
          <w:p w14:paraId="5FBEA4D4">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auto"/>
              <w:rPr>
                <w:rFonts w:hint="eastAsia" w:asciiTheme="minorEastAsia" w:hAnsiTheme="minorEastAsia" w:eastAsiaTheme="minorEastAsia" w:cstheme="minorEastAsia"/>
                <w:color w:val="000000"/>
                <w:kern w:val="0"/>
                <w:sz w:val="21"/>
                <w:szCs w:val="21"/>
                <w:lang w:val="en-US" w:eastAsia="zh-CN" w:bidi="ar"/>
              </w:rPr>
            </w:pPr>
          </w:p>
          <w:p w14:paraId="6E25E78A">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auto"/>
              <w:rPr>
                <w:rFonts w:hint="eastAsia" w:asciiTheme="minorEastAsia" w:hAnsiTheme="minorEastAsia" w:eastAsiaTheme="minorEastAsia" w:cstheme="minorEastAsia"/>
                <w:color w:val="000000"/>
                <w:kern w:val="0"/>
                <w:sz w:val="21"/>
                <w:szCs w:val="21"/>
                <w:lang w:val="en-US" w:eastAsia="zh-CN" w:bidi="ar"/>
              </w:rPr>
            </w:pPr>
          </w:p>
          <w:p w14:paraId="6835AC64">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auto"/>
              <w:rPr>
                <w:rFonts w:hint="eastAsia" w:asciiTheme="minorEastAsia" w:hAnsiTheme="minorEastAsia" w:eastAsiaTheme="minorEastAsia" w:cstheme="minorEastAsia"/>
                <w:color w:val="000000"/>
                <w:kern w:val="0"/>
                <w:sz w:val="21"/>
                <w:szCs w:val="21"/>
                <w:lang w:val="en-US" w:eastAsia="zh-CN" w:bidi="ar"/>
              </w:rPr>
            </w:pPr>
          </w:p>
          <w:p w14:paraId="00730ACC">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auto"/>
              <w:rPr>
                <w:rFonts w:hint="eastAsia" w:asciiTheme="minorEastAsia" w:hAnsiTheme="minorEastAsia" w:eastAsiaTheme="minorEastAsia" w:cstheme="minorEastAsia"/>
                <w:color w:val="000000"/>
                <w:kern w:val="0"/>
                <w:sz w:val="21"/>
                <w:szCs w:val="21"/>
                <w:lang w:val="en-US" w:eastAsia="zh-CN" w:bidi="ar"/>
              </w:rPr>
            </w:pPr>
            <w:r>
              <w:rPr>
                <w:rFonts w:hint="eastAsia" w:asciiTheme="minorEastAsia" w:hAnsiTheme="minorEastAsia" w:eastAsiaTheme="minorEastAsia" w:cstheme="minorEastAsia"/>
                <w:color w:val="000000"/>
                <w:kern w:val="0"/>
                <w:sz w:val="21"/>
                <w:szCs w:val="21"/>
                <w:lang w:val="en-US" w:eastAsia="zh-CN" w:bidi="ar"/>
              </w:rPr>
              <w:t>服务承诺</w:t>
            </w:r>
          </w:p>
          <w:p w14:paraId="6E6BA6AB">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auto"/>
              <w:rPr>
                <w:rFonts w:hint="eastAsia" w:asciiTheme="minorEastAsia" w:hAnsiTheme="minorEastAsia" w:eastAsiaTheme="minorEastAsia" w:cstheme="minorEastAsia"/>
                <w:kern w:val="2"/>
                <w:sz w:val="21"/>
                <w:szCs w:val="21"/>
                <w:lang w:val="en-US" w:eastAsia="zh-CN" w:bidi="zh-CN"/>
              </w:rPr>
            </w:pPr>
            <w:r>
              <w:rPr>
                <w:rFonts w:hint="eastAsia" w:asciiTheme="minorEastAsia" w:hAnsiTheme="minorEastAsia" w:eastAsiaTheme="minorEastAsia" w:cstheme="minorEastAsia"/>
                <w:color w:val="000000"/>
                <w:kern w:val="0"/>
                <w:sz w:val="21"/>
                <w:szCs w:val="21"/>
                <w:lang w:val="en-US" w:eastAsia="zh-CN" w:bidi="ar"/>
              </w:rPr>
              <w:t>(1</w:t>
            </w:r>
            <w:r>
              <w:rPr>
                <w:rFonts w:hint="eastAsia" w:asciiTheme="minorEastAsia" w:hAnsiTheme="minorEastAsia" w:cstheme="minorEastAsia"/>
                <w:color w:val="000000"/>
                <w:kern w:val="0"/>
                <w:sz w:val="21"/>
                <w:szCs w:val="21"/>
                <w:lang w:val="en-US" w:eastAsia="zh-CN" w:bidi="ar"/>
              </w:rPr>
              <w:t>4</w:t>
            </w:r>
            <w:r>
              <w:rPr>
                <w:rFonts w:hint="eastAsia" w:asciiTheme="minorEastAsia" w:hAnsiTheme="minorEastAsia" w:eastAsiaTheme="minorEastAsia" w:cstheme="minorEastAsia"/>
                <w:color w:val="000000"/>
                <w:kern w:val="0"/>
                <w:sz w:val="21"/>
                <w:szCs w:val="21"/>
                <w:lang w:val="en-US" w:eastAsia="zh-CN" w:bidi="ar"/>
              </w:rPr>
              <w:t>分)</w:t>
            </w:r>
          </w:p>
        </w:tc>
        <w:tc>
          <w:tcPr>
            <w:tcW w:w="6392" w:type="dxa"/>
            <w:shd w:val="clear" w:color="auto" w:fill="auto"/>
            <w:noWrap w:val="0"/>
            <w:vAlign w:val="top"/>
          </w:tcPr>
          <w:p w14:paraId="00F8F1BD">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left"/>
              <w:textAlignment w:val="auto"/>
              <w:rPr>
                <w:rFonts w:hint="eastAsia" w:asciiTheme="minorEastAsia" w:hAnsiTheme="minorEastAsia" w:eastAsiaTheme="minorEastAsia" w:cstheme="minorEastAsia"/>
                <w:color w:val="000000"/>
                <w:kern w:val="0"/>
                <w:sz w:val="21"/>
                <w:szCs w:val="21"/>
                <w:lang w:val="en-US" w:eastAsia="zh-CN" w:bidi="ar"/>
              </w:rPr>
            </w:pPr>
            <w:r>
              <w:rPr>
                <w:rFonts w:hint="eastAsia" w:asciiTheme="minorEastAsia" w:hAnsiTheme="minorEastAsia" w:eastAsiaTheme="minorEastAsia" w:cstheme="minorEastAsia"/>
                <w:color w:val="000000"/>
                <w:kern w:val="0"/>
                <w:sz w:val="21"/>
                <w:szCs w:val="21"/>
                <w:lang w:val="en-US" w:eastAsia="zh-CN" w:bidi="ar"/>
              </w:rPr>
              <w:t>（1）供应商承诺为采购人提供检验技术咨询、报送检验公示信息、配合处理异议复检、食品安全质量分析、食品安全风险评估相关服务。承诺服务内容清晰，措施得当，得6分；承诺服务内容覆盖要求，但因对措施不清晰得3分；部分覆盖承诺要求，无有效服务措施 1 分，未提供不得分。</w:t>
            </w:r>
          </w:p>
          <w:p w14:paraId="13E2C2B8">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left"/>
              <w:textAlignment w:val="auto"/>
              <w:rPr>
                <w:rFonts w:hint="eastAsia" w:asciiTheme="minorEastAsia" w:hAnsiTheme="minorEastAsia" w:eastAsiaTheme="minorEastAsia" w:cstheme="minorEastAsia"/>
                <w:color w:val="000000"/>
                <w:kern w:val="0"/>
                <w:sz w:val="21"/>
                <w:szCs w:val="21"/>
                <w:lang w:val="en-US" w:eastAsia="zh-CN" w:bidi="ar"/>
              </w:rPr>
            </w:pPr>
            <w:r>
              <w:rPr>
                <w:rFonts w:hint="eastAsia" w:asciiTheme="minorEastAsia" w:hAnsiTheme="minorEastAsia" w:eastAsiaTheme="minorEastAsia" w:cstheme="minorEastAsia"/>
                <w:color w:val="000000"/>
                <w:kern w:val="0"/>
                <w:sz w:val="21"/>
                <w:szCs w:val="21"/>
                <w:lang w:val="en-US" w:eastAsia="zh-CN" w:bidi="ar"/>
              </w:rPr>
              <w:t>（2）供应商承诺与采购人及相关单位建立定期或不定期的沟通机制。沟通机制合理有效，保障措施得力得 5分；有沟通机制，措施不当得2分，未提供不得分。</w:t>
            </w:r>
          </w:p>
          <w:p w14:paraId="2088CC70">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left"/>
              <w:textAlignment w:val="auto"/>
              <w:rPr>
                <w:rFonts w:hint="eastAsia" w:asciiTheme="minorEastAsia" w:hAnsiTheme="minorEastAsia" w:eastAsiaTheme="minorEastAsia" w:cstheme="minorEastAsia"/>
                <w:color w:val="000000"/>
                <w:kern w:val="0"/>
                <w:sz w:val="21"/>
                <w:szCs w:val="21"/>
                <w:lang w:val="en-US" w:eastAsia="zh-CN" w:bidi="ar"/>
              </w:rPr>
            </w:pPr>
            <w:r>
              <w:rPr>
                <w:rFonts w:hint="eastAsia" w:asciiTheme="minorEastAsia" w:hAnsiTheme="minorEastAsia" w:eastAsiaTheme="minorEastAsia" w:cstheme="minorEastAsia"/>
                <w:color w:val="000000"/>
                <w:kern w:val="0"/>
                <w:sz w:val="21"/>
                <w:szCs w:val="21"/>
                <w:lang w:val="en-US" w:eastAsia="zh-CN" w:bidi="ar"/>
              </w:rPr>
              <w:t>（3）供应商为采购人提供抽检培训和结果分析等相关服务。提供的制度服务完善得</w:t>
            </w:r>
            <w:r>
              <w:rPr>
                <w:rFonts w:hint="eastAsia" w:asciiTheme="minorEastAsia" w:hAnsiTheme="minorEastAsia" w:cstheme="minorEastAsia"/>
                <w:color w:val="000000"/>
                <w:kern w:val="0"/>
                <w:sz w:val="21"/>
                <w:szCs w:val="21"/>
                <w:lang w:val="en-US" w:eastAsia="zh-CN" w:bidi="ar"/>
              </w:rPr>
              <w:t>3</w:t>
            </w:r>
            <w:r>
              <w:rPr>
                <w:rFonts w:hint="eastAsia" w:asciiTheme="minorEastAsia" w:hAnsiTheme="minorEastAsia" w:eastAsiaTheme="minorEastAsia" w:cstheme="minorEastAsia"/>
                <w:color w:val="000000"/>
                <w:kern w:val="0"/>
                <w:sz w:val="21"/>
                <w:szCs w:val="21"/>
                <w:lang w:val="en-US" w:eastAsia="zh-CN" w:bidi="ar"/>
              </w:rPr>
              <w:t>分，较为完善得</w:t>
            </w:r>
            <w:r>
              <w:rPr>
                <w:rFonts w:hint="eastAsia" w:asciiTheme="minorEastAsia" w:hAnsiTheme="minorEastAsia" w:cstheme="minorEastAsia"/>
                <w:color w:val="000000"/>
                <w:kern w:val="0"/>
                <w:sz w:val="21"/>
                <w:szCs w:val="21"/>
                <w:lang w:val="en-US" w:eastAsia="zh-CN" w:bidi="ar"/>
              </w:rPr>
              <w:t>2</w:t>
            </w:r>
            <w:r>
              <w:rPr>
                <w:rFonts w:hint="eastAsia" w:asciiTheme="minorEastAsia" w:hAnsiTheme="minorEastAsia" w:eastAsiaTheme="minorEastAsia" w:cstheme="minorEastAsia"/>
                <w:color w:val="000000"/>
                <w:kern w:val="0"/>
                <w:sz w:val="21"/>
                <w:szCs w:val="21"/>
                <w:lang w:val="en-US" w:eastAsia="zh-CN" w:bidi="ar"/>
              </w:rPr>
              <w:t>分，未提供不得分。</w:t>
            </w:r>
          </w:p>
        </w:tc>
      </w:tr>
      <w:tr w14:paraId="2A7D2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116" w:type="dxa"/>
            <w:vMerge w:val="continue"/>
            <w:noWrap w:val="0"/>
            <w:vAlign w:val="center"/>
          </w:tcPr>
          <w:p w14:paraId="1CB44069">
            <w:pPr>
              <w:pStyle w:val="13"/>
              <w:widowControl w:val="0"/>
              <w:spacing w:line="360" w:lineRule="exact"/>
              <w:jc w:val="center"/>
              <w:rPr>
                <w:rFonts w:hint="eastAsia" w:asciiTheme="minorEastAsia" w:hAnsiTheme="minorEastAsia" w:eastAsiaTheme="minorEastAsia" w:cstheme="minorEastAsia"/>
                <w:sz w:val="21"/>
                <w:szCs w:val="21"/>
              </w:rPr>
            </w:pPr>
          </w:p>
        </w:tc>
        <w:tc>
          <w:tcPr>
            <w:tcW w:w="1494" w:type="dxa"/>
            <w:vMerge w:val="continue"/>
            <w:noWrap w:val="0"/>
            <w:vAlign w:val="center"/>
          </w:tcPr>
          <w:p w14:paraId="5F678760">
            <w:pPr>
              <w:pStyle w:val="13"/>
              <w:widowControl w:val="0"/>
              <w:spacing w:line="360" w:lineRule="exact"/>
              <w:jc w:val="center"/>
              <w:rPr>
                <w:rFonts w:hint="eastAsia" w:asciiTheme="minorEastAsia" w:hAnsiTheme="minorEastAsia" w:eastAsiaTheme="minorEastAsia" w:cstheme="minorEastAsia"/>
                <w:sz w:val="21"/>
                <w:szCs w:val="21"/>
              </w:rPr>
            </w:pPr>
          </w:p>
        </w:tc>
        <w:tc>
          <w:tcPr>
            <w:tcW w:w="1488" w:type="dxa"/>
            <w:noWrap w:val="0"/>
            <w:vAlign w:val="top"/>
          </w:tcPr>
          <w:p w14:paraId="267E32AF">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left"/>
              <w:textAlignment w:val="auto"/>
              <w:rPr>
                <w:rFonts w:hint="eastAsia" w:asciiTheme="minorEastAsia" w:hAnsiTheme="minorEastAsia" w:eastAsiaTheme="minorEastAsia" w:cstheme="minorEastAsia"/>
                <w:color w:val="000000"/>
                <w:kern w:val="0"/>
                <w:sz w:val="21"/>
                <w:szCs w:val="21"/>
                <w:lang w:val="en-US" w:eastAsia="zh-CN" w:bidi="ar"/>
              </w:rPr>
            </w:pPr>
          </w:p>
          <w:p w14:paraId="2601E5D8">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left"/>
              <w:textAlignment w:val="auto"/>
              <w:rPr>
                <w:rFonts w:hint="eastAsia" w:asciiTheme="minorEastAsia" w:hAnsiTheme="minorEastAsia" w:eastAsiaTheme="minorEastAsia" w:cstheme="minorEastAsia"/>
                <w:color w:val="000000"/>
                <w:kern w:val="0"/>
                <w:sz w:val="21"/>
                <w:szCs w:val="21"/>
                <w:lang w:val="en-US" w:eastAsia="zh-CN" w:bidi="ar"/>
              </w:rPr>
            </w:pPr>
          </w:p>
          <w:p w14:paraId="0EB4AC17">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left"/>
              <w:textAlignment w:val="auto"/>
              <w:rPr>
                <w:rFonts w:hint="eastAsia" w:asciiTheme="minorEastAsia" w:hAnsiTheme="minorEastAsia" w:eastAsiaTheme="minorEastAsia" w:cstheme="minorEastAsia"/>
                <w:color w:val="000000"/>
                <w:kern w:val="0"/>
                <w:sz w:val="21"/>
                <w:szCs w:val="21"/>
                <w:lang w:val="en-US" w:eastAsia="zh-CN" w:bidi="ar"/>
              </w:rPr>
            </w:pPr>
          </w:p>
          <w:p w14:paraId="6574BC87">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left"/>
              <w:textAlignment w:val="auto"/>
              <w:rPr>
                <w:rFonts w:hint="eastAsia" w:asciiTheme="minorEastAsia" w:hAnsiTheme="minorEastAsia" w:eastAsiaTheme="minorEastAsia" w:cstheme="minorEastAsia"/>
                <w:color w:val="000000"/>
                <w:kern w:val="0"/>
                <w:sz w:val="21"/>
                <w:szCs w:val="21"/>
                <w:lang w:val="en-US" w:eastAsia="zh-CN" w:bidi="ar"/>
              </w:rPr>
            </w:pPr>
          </w:p>
          <w:p w14:paraId="1D9BFCD2">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left"/>
              <w:textAlignment w:val="auto"/>
              <w:rPr>
                <w:rFonts w:hint="eastAsia" w:asciiTheme="minorEastAsia" w:hAnsiTheme="minorEastAsia" w:eastAsiaTheme="minorEastAsia" w:cstheme="minorEastAsia"/>
                <w:color w:val="000000"/>
                <w:kern w:val="0"/>
                <w:sz w:val="21"/>
                <w:szCs w:val="21"/>
                <w:lang w:val="en-US" w:eastAsia="zh-CN" w:bidi="ar"/>
              </w:rPr>
            </w:pPr>
          </w:p>
          <w:p w14:paraId="6C9101BE">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210" w:firstLineChars="100"/>
              <w:jc w:val="center"/>
              <w:textAlignment w:val="auto"/>
              <w:rPr>
                <w:rFonts w:hint="eastAsia" w:asciiTheme="minorEastAsia" w:hAnsiTheme="minorEastAsia" w:eastAsiaTheme="minorEastAsia" w:cstheme="minorEastAsia"/>
                <w:color w:val="000000"/>
                <w:kern w:val="0"/>
                <w:sz w:val="21"/>
                <w:szCs w:val="21"/>
                <w:lang w:val="en-US" w:eastAsia="zh-CN" w:bidi="ar"/>
              </w:rPr>
            </w:pPr>
            <w:r>
              <w:rPr>
                <w:rFonts w:hint="eastAsia" w:asciiTheme="minorEastAsia" w:hAnsiTheme="minorEastAsia" w:eastAsiaTheme="minorEastAsia" w:cstheme="minorEastAsia"/>
                <w:color w:val="000000"/>
                <w:kern w:val="0"/>
                <w:sz w:val="21"/>
                <w:szCs w:val="21"/>
                <w:lang w:val="en-US" w:eastAsia="zh-CN" w:bidi="ar"/>
              </w:rPr>
              <w:t>信用评级</w:t>
            </w:r>
          </w:p>
          <w:p w14:paraId="568D3C78">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420" w:firstLineChars="200"/>
              <w:jc w:val="center"/>
              <w:textAlignment w:val="auto"/>
              <w:rPr>
                <w:rFonts w:hint="default" w:asciiTheme="minorEastAsia" w:hAnsiTheme="minorEastAsia" w:eastAsiaTheme="minorEastAsia" w:cstheme="minorEastAsia"/>
                <w:color w:val="000000"/>
                <w:kern w:val="0"/>
                <w:sz w:val="21"/>
                <w:szCs w:val="21"/>
                <w:lang w:val="en-US" w:eastAsia="zh-CN" w:bidi="ar"/>
              </w:rPr>
            </w:pPr>
            <w:r>
              <w:rPr>
                <w:rFonts w:hint="eastAsia" w:asciiTheme="minorEastAsia" w:hAnsiTheme="minorEastAsia" w:cstheme="minorEastAsia"/>
                <w:color w:val="000000"/>
                <w:kern w:val="0"/>
                <w:sz w:val="21"/>
                <w:szCs w:val="21"/>
                <w:lang w:val="en-US" w:eastAsia="zh-CN" w:bidi="ar"/>
              </w:rPr>
              <w:t>(2分）</w:t>
            </w:r>
          </w:p>
        </w:tc>
        <w:tc>
          <w:tcPr>
            <w:tcW w:w="6392" w:type="dxa"/>
            <w:noWrap w:val="0"/>
            <w:vAlign w:val="top"/>
          </w:tcPr>
          <w:p w14:paraId="5559D535">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eastAsia" w:asciiTheme="minorEastAsia" w:hAnsiTheme="minorEastAsia" w:eastAsiaTheme="minorEastAsia" w:cstheme="minorEastAsia"/>
                <w:color w:val="000000"/>
                <w:kern w:val="0"/>
                <w:sz w:val="21"/>
                <w:szCs w:val="21"/>
                <w:lang w:val="en-US" w:eastAsia="zh-CN" w:bidi="ar"/>
              </w:rPr>
            </w:pPr>
            <w:r>
              <w:rPr>
                <w:rFonts w:hint="eastAsia" w:asciiTheme="minorEastAsia" w:hAnsiTheme="minorEastAsia" w:eastAsiaTheme="minorEastAsia" w:cstheme="minorEastAsia"/>
                <w:color w:val="000000"/>
                <w:kern w:val="0"/>
                <w:sz w:val="21"/>
                <w:szCs w:val="21"/>
                <w:lang w:val="en-US" w:eastAsia="zh-CN" w:bidi="ar"/>
              </w:rPr>
              <w:t>根据唐河县政府采购信用评价实施办法，诚信指数高的供应商，在参加唐河县的政府采购活动时，享受政策支持。在采用综合评分法的项目中，三星级的加1分，四星级的加2分；供应商可在投标(响应)文件递交截止前三个工作日，登录“唐河县政府采购信用管理系统”tangheweb.zcxy.caizj.nanyang.gov.cn:8008在27线打印《唐河县政府采购供应商信用记录表》，作为投标(响应)文件的组成部分提交，评审时作为享受政策支持的依据。(备注:诚信指数在90-100点的为4 星级,诚信指数在80-90点(含90点)的为3星级,诚信指数在70-80点(含80点)的为2星级，诚信指数在60-70点(含70点)的为1星级，诚信指数在60点(含60点)以下的不计星级，只计分值。）</w:t>
            </w:r>
          </w:p>
        </w:tc>
      </w:tr>
      <w:tr w14:paraId="51723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1116" w:type="dxa"/>
            <w:vMerge w:val="restart"/>
            <w:noWrap w:val="0"/>
            <w:vAlign w:val="center"/>
          </w:tcPr>
          <w:p w14:paraId="26AEA625">
            <w:pPr>
              <w:pStyle w:val="13"/>
              <w:widowControl w:val="0"/>
              <w:spacing w:line="3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napToGrid w:val="0"/>
                <w:color w:val="000000"/>
                <w:kern w:val="0"/>
                <w:sz w:val="21"/>
                <w:szCs w:val="21"/>
                <w:lang w:bidi="ar"/>
              </w:rPr>
              <w:t>2.2.5</w:t>
            </w:r>
          </w:p>
        </w:tc>
        <w:tc>
          <w:tcPr>
            <w:tcW w:w="1494" w:type="dxa"/>
            <w:vMerge w:val="restart"/>
            <w:noWrap w:val="0"/>
            <w:vAlign w:val="center"/>
          </w:tcPr>
          <w:p w14:paraId="6B029B3B">
            <w:pPr>
              <w:widowControl/>
              <w:spacing w:line="3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lang w:bidi="ar"/>
              </w:rPr>
              <w:t>技术标部分</w:t>
            </w:r>
          </w:p>
          <w:p w14:paraId="5F1897D2">
            <w:pPr>
              <w:widowControl/>
              <w:spacing w:line="3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lang w:bidi="ar"/>
              </w:rPr>
              <w:t>（</w:t>
            </w:r>
            <w:r>
              <w:rPr>
                <w:rFonts w:hint="eastAsia" w:asciiTheme="minorEastAsia" w:hAnsiTheme="minorEastAsia" w:eastAsiaTheme="minorEastAsia" w:cstheme="minorEastAsia"/>
                <w:color w:val="000000"/>
                <w:sz w:val="21"/>
                <w:szCs w:val="21"/>
                <w:lang w:val="en-US" w:eastAsia="zh-CN" w:bidi="ar"/>
              </w:rPr>
              <w:t>55</w:t>
            </w:r>
            <w:r>
              <w:rPr>
                <w:rFonts w:hint="eastAsia" w:asciiTheme="minorEastAsia" w:hAnsiTheme="minorEastAsia" w:eastAsiaTheme="minorEastAsia" w:cstheme="minorEastAsia"/>
                <w:color w:val="000000"/>
                <w:sz w:val="21"/>
                <w:szCs w:val="21"/>
                <w:lang w:bidi="ar"/>
              </w:rPr>
              <w:t>分）</w:t>
            </w:r>
          </w:p>
        </w:tc>
        <w:tc>
          <w:tcPr>
            <w:tcW w:w="1488" w:type="dxa"/>
            <w:noWrap w:val="0"/>
            <w:vAlign w:val="top"/>
          </w:tcPr>
          <w:p w14:paraId="5B236672">
            <w:pPr>
              <w:widowControl w:val="0"/>
              <w:spacing w:before="65" w:beforeLines="0" w:afterLines="0" w:line="307" w:lineRule="auto"/>
              <w:ind w:right="202" w:rightChars="0"/>
              <w:jc w:val="center"/>
              <w:rPr>
                <w:rFonts w:hint="eastAsia" w:asciiTheme="minorEastAsia" w:hAnsiTheme="minorEastAsia" w:eastAsiaTheme="minorEastAsia" w:cstheme="minorEastAsia"/>
                <w:sz w:val="21"/>
                <w:szCs w:val="21"/>
                <w:lang w:bidi="zh-CN"/>
              </w:rPr>
            </w:pPr>
          </w:p>
          <w:p w14:paraId="364E810F">
            <w:pPr>
              <w:widowControl w:val="0"/>
              <w:spacing w:before="65" w:beforeLines="0" w:afterLines="0" w:line="307" w:lineRule="auto"/>
              <w:ind w:right="202" w:rightChars="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bidi="zh-CN"/>
              </w:rPr>
              <w:t xml:space="preserve"> </w:t>
            </w:r>
            <w:r>
              <w:rPr>
                <w:rFonts w:hint="eastAsia" w:asciiTheme="minorEastAsia" w:hAnsiTheme="minorEastAsia" w:eastAsiaTheme="minorEastAsia" w:cstheme="minorEastAsia"/>
                <w:sz w:val="21"/>
                <w:szCs w:val="21"/>
                <w:lang w:bidi="zh-CN"/>
              </w:rPr>
              <w:t>管理制度(</w:t>
            </w:r>
            <w:r>
              <w:rPr>
                <w:rFonts w:hint="eastAsia" w:asciiTheme="minorEastAsia" w:hAnsiTheme="minorEastAsia" w:eastAsiaTheme="minorEastAsia" w:cstheme="minorEastAsia"/>
                <w:sz w:val="21"/>
                <w:szCs w:val="21"/>
                <w:lang w:val="en-US" w:bidi="zh-CN"/>
              </w:rPr>
              <w:t>8</w:t>
            </w:r>
            <w:r>
              <w:rPr>
                <w:rFonts w:hint="eastAsia" w:asciiTheme="minorEastAsia" w:hAnsiTheme="minorEastAsia" w:eastAsiaTheme="minorEastAsia" w:cstheme="minorEastAsia"/>
                <w:sz w:val="21"/>
                <w:szCs w:val="21"/>
                <w:lang w:bidi="zh-CN"/>
              </w:rPr>
              <w:t>分)</w:t>
            </w:r>
          </w:p>
        </w:tc>
        <w:tc>
          <w:tcPr>
            <w:tcW w:w="6392" w:type="dxa"/>
            <w:noWrap w:val="0"/>
            <w:vAlign w:val="top"/>
          </w:tcPr>
          <w:p w14:paraId="2FC2F443">
            <w:pPr>
              <w:pStyle w:val="73"/>
              <w:widowControl w:val="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napToGrid w:val="0"/>
                <w:color w:val="000000"/>
                <w:kern w:val="0"/>
                <w:sz w:val="21"/>
                <w:szCs w:val="21"/>
                <w:lang w:bidi="zh-CN"/>
              </w:rPr>
              <w:t xml:space="preserve">有完善的食品安全检测制度、抽样管理制度、责任追究制度、检验档案管理制度等管理制度，管理制度内容描述完整可行、符合实验室实际情况得 </w:t>
            </w:r>
            <w:r>
              <w:rPr>
                <w:rFonts w:hint="eastAsia" w:asciiTheme="minorEastAsia" w:hAnsiTheme="minorEastAsia" w:eastAsiaTheme="minorEastAsia" w:cstheme="minorEastAsia"/>
                <w:snapToGrid w:val="0"/>
                <w:color w:val="000000"/>
                <w:kern w:val="0"/>
                <w:sz w:val="21"/>
                <w:szCs w:val="21"/>
                <w:lang w:val="en-US" w:bidi="zh-CN"/>
              </w:rPr>
              <w:t>8</w:t>
            </w:r>
            <w:r>
              <w:rPr>
                <w:rFonts w:hint="eastAsia" w:asciiTheme="minorEastAsia" w:hAnsiTheme="minorEastAsia" w:eastAsiaTheme="minorEastAsia" w:cstheme="minorEastAsia"/>
                <w:snapToGrid w:val="0"/>
                <w:color w:val="000000"/>
                <w:kern w:val="0"/>
                <w:sz w:val="21"/>
                <w:szCs w:val="21"/>
                <w:lang w:bidi="zh-CN"/>
              </w:rPr>
              <w:t>分，内容基本完整符合实际情况得</w:t>
            </w:r>
            <w:r>
              <w:rPr>
                <w:rFonts w:hint="eastAsia" w:asciiTheme="minorEastAsia" w:hAnsiTheme="minorEastAsia" w:eastAsiaTheme="minorEastAsia" w:cstheme="minorEastAsia"/>
                <w:snapToGrid w:val="0"/>
                <w:color w:val="000000"/>
                <w:kern w:val="0"/>
                <w:sz w:val="21"/>
                <w:szCs w:val="21"/>
                <w:lang w:val="en-US" w:bidi="zh-CN"/>
              </w:rPr>
              <w:t>5</w:t>
            </w:r>
            <w:r>
              <w:rPr>
                <w:rFonts w:hint="eastAsia" w:asciiTheme="minorEastAsia" w:hAnsiTheme="minorEastAsia" w:eastAsiaTheme="minorEastAsia" w:cstheme="minorEastAsia"/>
                <w:snapToGrid w:val="0"/>
                <w:color w:val="000000"/>
                <w:kern w:val="0"/>
                <w:sz w:val="21"/>
                <w:szCs w:val="21"/>
                <w:lang w:bidi="zh-CN"/>
              </w:rPr>
              <w:t xml:space="preserve"> 分，其他或未提供不得分</w:t>
            </w:r>
          </w:p>
        </w:tc>
      </w:tr>
      <w:tr w14:paraId="40F7B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1116" w:type="dxa"/>
            <w:vMerge w:val="continue"/>
            <w:noWrap w:val="0"/>
            <w:vAlign w:val="center"/>
          </w:tcPr>
          <w:p w14:paraId="64EF16B7">
            <w:pPr>
              <w:pStyle w:val="13"/>
              <w:widowControl w:val="0"/>
              <w:spacing w:line="360" w:lineRule="exact"/>
              <w:jc w:val="both"/>
              <w:rPr>
                <w:rFonts w:hint="eastAsia" w:asciiTheme="minorEastAsia" w:hAnsiTheme="minorEastAsia" w:eastAsiaTheme="minorEastAsia" w:cstheme="minorEastAsia"/>
                <w:sz w:val="21"/>
                <w:szCs w:val="21"/>
              </w:rPr>
            </w:pPr>
          </w:p>
        </w:tc>
        <w:tc>
          <w:tcPr>
            <w:tcW w:w="1494" w:type="dxa"/>
            <w:vMerge w:val="continue"/>
            <w:noWrap w:val="0"/>
            <w:vAlign w:val="center"/>
          </w:tcPr>
          <w:p w14:paraId="304AD97D">
            <w:pPr>
              <w:pStyle w:val="13"/>
              <w:widowControl w:val="0"/>
              <w:spacing w:line="360" w:lineRule="exact"/>
              <w:jc w:val="both"/>
              <w:rPr>
                <w:rFonts w:hint="eastAsia" w:asciiTheme="minorEastAsia" w:hAnsiTheme="minorEastAsia" w:eastAsiaTheme="minorEastAsia" w:cstheme="minorEastAsia"/>
                <w:sz w:val="21"/>
                <w:szCs w:val="21"/>
              </w:rPr>
            </w:pPr>
          </w:p>
        </w:tc>
        <w:tc>
          <w:tcPr>
            <w:tcW w:w="1488" w:type="dxa"/>
            <w:noWrap w:val="0"/>
            <w:vAlign w:val="center"/>
          </w:tcPr>
          <w:p w14:paraId="775B92C2">
            <w:pPr>
              <w:keepNext w:val="0"/>
              <w:keepLines w:val="0"/>
              <w:pageBreakBefore w:val="0"/>
              <w:widowControl/>
              <w:suppressLineNumbers w:val="0"/>
              <w:kinsoku/>
              <w:wordWrap/>
              <w:overflowPunct/>
              <w:topLinePunct w:val="0"/>
              <w:autoSpaceDE/>
              <w:autoSpaceDN/>
              <w:bidi w:val="0"/>
              <w:adjustRightInd/>
              <w:snapToGrid/>
              <w:spacing w:line="360" w:lineRule="exact"/>
              <w:ind w:left="210" w:leftChars="0" w:right="0" w:rightChars="0" w:hanging="210" w:hangingChars="100"/>
              <w:jc w:val="left"/>
              <w:textAlignment w:val="auto"/>
              <w:rPr>
                <w:rFonts w:hint="eastAsia" w:asciiTheme="minorEastAsia" w:hAnsiTheme="minorEastAsia" w:eastAsiaTheme="minorEastAsia" w:cstheme="minorEastAsia"/>
                <w:color w:val="000000"/>
                <w:kern w:val="0"/>
                <w:sz w:val="21"/>
                <w:szCs w:val="21"/>
                <w:lang w:val="en-US" w:eastAsia="zh-CN" w:bidi="ar"/>
              </w:rPr>
            </w:pPr>
            <w:r>
              <w:rPr>
                <w:rFonts w:hint="eastAsia" w:asciiTheme="minorEastAsia" w:hAnsiTheme="minorEastAsia" w:eastAsiaTheme="minorEastAsia" w:cstheme="minorEastAsia"/>
                <w:color w:val="000000"/>
                <w:kern w:val="0"/>
                <w:sz w:val="21"/>
                <w:szCs w:val="21"/>
                <w:lang w:val="en-US" w:eastAsia="zh-CN" w:bidi="ar"/>
              </w:rPr>
              <w:t>检测设备和能力情况</w:t>
            </w:r>
          </w:p>
          <w:p w14:paraId="53C4C50B">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left"/>
              <w:textAlignment w:val="auto"/>
              <w:rPr>
                <w:rFonts w:hint="eastAsia" w:asciiTheme="minorEastAsia" w:hAnsiTheme="minorEastAsia" w:eastAsiaTheme="minorEastAsia" w:cstheme="minorEastAsia"/>
                <w:color w:val="000000"/>
                <w:kern w:val="0"/>
                <w:sz w:val="21"/>
                <w:szCs w:val="21"/>
                <w:lang w:val="en-US" w:eastAsia="zh-CN" w:bidi="ar"/>
              </w:rPr>
            </w:pPr>
            <w:r>
              <w:rPr>
                <w:rFonts w:hint="eastAsia" w:asciiTheme="minorEastAsia" w:hAnsiTheme="minorEastAsia" w:eastAsiaTheme="minorEastAsia" w:cstheme="minorEastAsia"/>
                <w:color w:val="000000"/>
                <w:kern w:val="0"/>
                <w:sz w:val="21"/>
                <w:szCs w:val="21"/>
                <w:lang w:val="en-US" w:eastAsia="zh-CN" w:bidi="ar"/>
              </w:rPr>
              <w:t>（17分）</w:t>
            </w:r>
          </w:p>
        </w:tc>
        <w:tc>
          <w:tcPr>
            <w:tcW w:w="6392" w:type="dxa"/>
            <w:noWrap w:val="0"/>
            <w:vAlign w:val="top"/>
          </w:tcPr>
          <w:p w14:paraId="65F97449">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left"/>
              <w:textAlignment w:val="auto"/>
              <w:rPr>
                <w:rFonts w:hint="eastAsia" w:asciiTheme="minorEastAsia" w:hAnsiTheme="minorEastAsia" w:eastAsiaTheme="minorEastAsia" w:cstheme="minorEastAsia"/>
                <w:color w:val="000000"/>
                <w:kern w:val="0"/>
                <w:sz w:val="21"/>
                <w:szCs w:val="21"/>
                <w:lang w:val="en-US" w:eastAsia="zh-CN" w:bidi="ar"/>
              </w:rPr>
            </w:pPr>
            <w:r>
              <w:rPr>
                <w:rFonts w:hint="eastAsia" w:asciiTheme="minorEastAsia" w:hAnsiTheme="minorEastAsia" w:eastAsiaTheme="minorEastAsia" w:cstheme="minorEastAsia"/>
                <w:color w:val="000000"/>
                <w:kern w:val="0"/>
                <w:sz w:val="21"/>
                <w:szCs w:val="21"/>
                <w:lang w:val="en-US" w:eastAsia="zh-CN" w:bidi="ar"/>
              </w:rPr>
              <w:t>1、实验室具备承担大宗食品安全检验所必需的检测设备，包括：</w:t>
            </w:r>
          </w:p>
          <w:p w14:paraId="2EF5ACBE">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left"/>
              <w:textAlignment w:val="auto"/>
              <w:rPr>
                <w:rFonts w:hint="eastAsia" w:asciiTheme="minorEastAsia" w:hAnsiTheme="minorEastAsia" w:eastAsiaTheme="minorEastAsia" w:cstheme="minorEastAsia"/>
                <w:color w:val="000000"/>
                <w:kern w:val="0"/>
                <w:sz w:val="21"/>
                <w:szCs w:val="21"/>
                <w:lang w:val="en-US" w:eastAsia="zh-CN" w:bidi="ar"/>
              </w:rPr>
            </w:pPr>
            <w:r>
              <w:rPr>
                <w:rFonts w:hint="eastAsia" w:asciiTheme="minorEastAsia" w:hAnsiTheme="minorEastAsia" w:eastAsiaTheme="minorEastAsia" w:cstheme="minorEastAsia"/>
                <w:color w:val="000000"/>
                <w:kern w:val="0"/>
                <w:sz w:val="21"/>
                <w:szCs w:val="21"/>
                <w:lang w:val="en-US" w:eastAsia="zh-CN" w:bidi="ar"/>
              </w:rPr>
              <w:t>气相色谱—质谱联用仪、液相色谱—质谱联用仪、高效液相色谱仪、气相色谱仪、原子吸收分光光度计、原子荧光光度计</w:t>
            </w:r>
          </w:p>
          <w:p w14:paraId="720A21B9">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left"/>
              <w:textAlignment w:val="auto"/>
              <w:rPr>
                <w:rFonts w:hint="eastAsia" w:asciiTheme="minorEastAsia" w:hAnsiTheme="minorEastAsia" w:eastAsiaTheme="minorEastAsia" w:cstheme="minorEastAsia"/>
                <w:color w:val="000000"/>
                <w:kern w:val="0"/>
                <w:sz w:val="21"/>
                <w:szCs w:val="21"/>
                <w:lang w:val="en-US" w:eastAsia="zh-CN" w:bidi="ar"/>
              </w:rPr>
            </w:pPr>
            <w:r>
              <w:rPr>
                <w:rFonts w:hint="eastAsia" w:asciiTheme="minorEastAsia" w:hAnsiTheme="minorEastAsia" w:eastAsiaTheme="minorEastAsia" w:cstheme="minorEastAsia"/>
                <w:color w:val="000000"/>
                <w:kern w:val="0"/>
                <w:sz w:val="21"/>
                <w:szCs w:val="21"/>
                <w:lang w:val="en-US" w:eastAsia="zh-CN" w:bidi="ar"/>
              </w:rPr>
              <w:t>以上每种须提供相关设备名称、实物照片、品牌型号、功能、序列号、购进票据（响应文件须提供发票复印件）、来源渠道、投入使用日期，未提供或提供不全的，不能作为有效设备参与计分。上述设备全部满足得 12 分，少一项扣2分，扣完为止。</w:t>
            </w:r>
          </w:p>
          <w:p w14:paraId="76EE107A">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left"/>
              <w:textAlignment w:val="auto"/>
              <w:rPr>
                <w:rFonts w:hint="eastAsia" w:asciiTheme="minorEastAsia" w:hAnsiTheme="minorEastAsia" w:eastAsiaTheme="minorEastAsia" w:cstheme="minorEastAsia"/>
                <w:color w:val="000000"/>
                <w:kern w:val="0"/>
                <w:sz w:val="21"/>
                <w:szCs w:val="21"/>
                <w:lang w:val="en-US" w:eastAsia="zh-CN" w:bidi="ar"/>
              </w:rPr>
            </w:pPr>
            <w:r>
              <w:rPr>
                <w:rFonts w:hint="eastAsia" w:asciiTheme="minorEastAsia" w:hAnsiTheme="minorEastAsia" w:eastAsiaTheme="minorEastAsia" w:cstheme="minorEastAsia"/>
                <w:color w:val="000000"/>
                <w:kern w:val="0"/>
                <w:sz w:val="21"/>
                <w:szCs w:val="21"/>
                <w:lang w:val="en-US" w:eastAsia="zh-CN" w:bidi="ar"/>
              </w:rPr>
              <w:t>2、具有抽样终端设备，供应商可提供便携式电子设备平板或笔记本电脑及打印机（5套）满足在抽样检验现场出具电子抽样单的得5分。（需提供发票原件扫描件，否则不得分）</w:t>
            </w:r>
          </w:p>
        </w:tc>
      </w:tr>
      <w:tr w14:paraId="65B01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1116" w:type="dxa"/>
            <w:vMerge w:val="continue"/>
            <w:noWrap w:val="0"/>
            <w:vAlign w:val="center"/>
          </w:tcPr>
          <w:p w14:paraId="4D86B3CB">
            <w:pPr>
              <w:pStyle w:val="13"/>
              <w:widowControl w:val="0"/>
              <w:spacing w:line="360" w:lineRule="exact"/>
              <w:jc w:val="both"/>
              <w:rPr>
                <w:rFonts w:hint="eastAsia" w:asciiTheme="minorEastAsia" w:hAnsiTheme="minorEastAsia" w:eastAsiaTheme="minorEastAsia" w:cstheme="minorEastAsia"/>
                <w:sz w:val="21"/>
                <w:szCs w:val="21"/>
              </w:rPr>
            </w:pPr>
          </w:p>
        </w:tc>
        <w:tc>
          <w:tcPr>
            <w:tcW w:w="1494" w:type="dxa"/>
            <w:vMerge w:val="continue"/>
            <w:noWrap w:val="0"/>
            <w:vAlign w:val="center"/>
          </w:tcPr>
          <w:p w14:paraId="32F6A321">
            <w:pPr>
              <w:pStyle w:val="13"/>
              <w:widowControl w:val="0"/>
              <w:spacing w:line="360" w:lineRule="exact"/>
              <w:jc w:val="both"/>
              <w:rPr>
                <w:rFonts w:hint="eastAsia" w:asciiTheme="minorEastAsia" w:hAnsiTheme="minorEastAsia" w:eastAsiaTheme="minorEastAsia" w:cstheme="minorEastAsia"/>
                <w:sz w:val="21"/>
                <w:szCs w:val="21"/>
              </w:rPr>
            </w:pPr>
          </w:p>
        </w:tc>
        <w:tc>
          <w:tcPr>
            <w:tcW w:w="1488" w:type="dxa"/>
            <w:noWrap w:val="0"/>
            <w:vAlign w:val="top"/>
          </w:tcPr>
          <w:p w14:paraId="7D7B4E04">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left"/>
              <w:textAlignment w:val="auto"/>
              <w:rPr>
                <w:rFonts w:hint="eastAsia" w:asciiTheme="minorEastAsia" w:hAnsiTheme="minorEastAsia" w:eastAsiaTheme="minorEastAsia" w:cstheme="minorEastAsia"/>
                <w:color w:val="000000"/>
                <w:kern w:val="0"/>
                <w:sz w:val="21"/>
                <w:szCs w:val="21"/>
                <w:lang w:val="en-US" w:eastAsia="zh-CN" w:bidi="ar"/>
              </w:rPr>
            </w:pPr>
          </w:p>
          <w:p w14:paraId="184C4F1F">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left"/>
              <w:textAlignment w:val="auto"/>
              <w:rPr>
                <w:rFonts w:hint="eastAsia" w:asciiTheme="minorEastAsia" w:hAnsiTheme="minorEastAsia" w:eastAsiaTheme="minorEastAsia" w:cstheme="minorEastAsia"/>
                <w:color w:val="000000"/>
                <w:kern w:val="0"/>
                <w:sz w:val="21"/>
                <w:szCs w:val="21"/>
                <w:lang w:val="en-US" w:eastAsia="zh-CN" w:bidi="ar"/>
              </w:rPr>
            </w:pPr>
          </w:p>
          <w:p w14:paraId="784A1E10">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left"/>
              <w:textAlignment w:val="auto"/>
              <w:rPr>
                <w:rFonts w:hint="eastAsia" w:asciiTheme="minorEastAsia" w:hAnsiTheme="minorEastAsia" w:eastAsiaTheme="minorEastAsia" w:cstheme="minorEastAsia"/>
                <w:color w:val="000000"/>
                <w:kern w:val="0"/>
                <w:sz w:val="21"/>
                <w:szCs w:val="21"/>
                <w:lang w:val="en-US" w:eastAsia="zh-CN" w:bidi="ar"/>
              </w:rPr>
            </w:pPr>
            <w:r>
              <w:rPr>
                <w:rFonts w:hint="eastAsia" w:asciiTheme="minorEastAsia" w:hAnsiTheme="minorEastAsia" w:eastAsiaTheme="minorEastAsia" w:cstheme="minorEastAsia"/>
                <w:color w:val="000000"/>
                <w:kern w:val="0"/>
                <w:sz w:val="21"/>
                <w:szCs w:val="21"/>
                <w:lang w:val="en-US" w:eastAsia="zh-CN" w:bidi="ar"/>
              </w:rPr>
              <w:t>检测技术实施方案(12分)</w:t>
            </w:r>
          </w:p>
        </w:tc>
        <w:tc>
          <w:tcPr>
            <w:tcW w:w="6392" w:type="dxa"/>
            <w:noWrap w:val="0"/>
            <w:vAlign w:val="top"/>
          </w:tcPr>
          <w:p w14:paraId="116ACC8E">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left"/>
              <w:textAlignment w:val="auto"/>
              <w:rPr>
                <w:rFonts w:hint="eastAsia" w:asciiTheme="minorEastAsia" w:hAnsiTheme="minorEastAsia" w:eastAsiaTheme="minorEastAsia" w:cstheme="minorEastAsia"/>
                <w:color w:val="000000"/>
                <w:kern w:val="0"/>
                <w:sz w:val="21"/>
                <w:szCs w:val="21"/>
                <w:lang w:val="en-US" w:eastAsia="zh-CN" w:bidi="ar"/>
              </w:rPr>
            </w:pPr>
            <w:r>
              <w:rPr>
                <w:rFonts w:hint="eastAsia" w:asciiTheme="minorEastAsia" w:hAnsiTheme="minorEastAsia" w:eastAsiaTheme="minorEastAsia" w:cstheme="minorEastAsia"/>
                <w:color w:val="000000"/>
                <w:kern w:val="0"/>
                <w:sz w:val="21"/>
                <w:szCs w:val="21"/>
                <w:lang w:val="en-US" w:eastAsia="zh-CN" w:bidi="ar"/>
              </w:rPr>
              <w:t>供应商针对本项目提供合理的检测技术及实施方案，明确阐述针对本项目的技术服务工作方法和管理制度，方法中明确成立专门项目组、抽样实施管理细则、检验实施细则、结果专报机制、客户回访、档案管理机制及应急处置机制等，方案思路清晰、重点突出、切实可行的得 12 分；提交对应方案、基本能满足服务要求的得 7 分；思路混乱、实施性差得 2 分</w:t>
            </w:r>
            <w:r>
              <w:rPr>
                <w:rFonts w:hint="eastAsia" w:asciiTheme="minorEastAsia" w:hAnsiTheme="minorEastAsia" w:cstheme="minorEastAsia"/>
                <w:color w:val="000000"/>
                <w:kern w:val="0"/>
                <w:sz w:val="21"/>
                <w:szCs w:val="21"/>
                <w:lang w:val="en-US" w:eastAsia="zh-CN" w:bidi="ar"/>
              </w:rPr>
              <w:t>；</w:t>
            </w:r>
            <w:r>
              <w:rPr>
                <w:rFonts w:hint="eastAsia" w:asciiTheme="minorEastAsia" w:hAnsiTheme="minorEastAsia" w:eastAsiaTheme="minorEastAsia" w:cstheme="minorEastAsia"/>
                <w:color w:val="000000"/>
                <w:kern w:val="0"/>
                <w:sz w:val="21"/>
                <w:szCs w:val="21"/>
                <w:lang w:val="en-US" w:eastAsia="zh-CN" w:bidi="ar"/>
              </w:rPr>
              <w:t>未提供</w:t>
            </w:r>
            <w:r>
              <w:rPr>
                <w:rFonts w:hint="eastAsia" w:asciiTheme="minorEastAsia" w:hAnsiTheme="minorEastAsia" w:cstheme="minorEastAsia"/>
                <w:color w:val="000000"/>
                <w:kern w:val="0"/>
                <w:sz w:val="21"/>
                <w:szCs w:val="21"/>
                <w:lang w:val="en-US" w:eastAsia="zh-CN" w:bidi="ar"/>
              </w:rPr>
              <w:t>不得分</w:t>
            </w:r>
            <w:r>
              <w:rPr>
                <w:rFonts w:hint="eastAsia" w:asciiTheme="minorEastAsia" w:hAnsiTheme="minorEastAsia" w:eastAsiaTheme="minorEastAsia" w:cstheme="minorEastAsia"/>
                <w:color w:val="000000"/>
                <w:kern w:val="0"/>
                <w:sz w:val="21"/>
                <w:szCs w:val="21"/>
                <w:lang w:val="en-US" w:eastAsia="zh-CN" w:bidi="ar"/>
              </w:rPr>
              <w:t>。</w:t>
            </w:r>
          </w:p>
        </w:tc>
      </w:tr>
      <w:tr w14:paraId="499FF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trPr>
        <w:tc>
          <w:tcPr>
            <w:tcW w:w="1116" w:type="dxa"/>
            <w:vMerge w:val="continue"/>
            <w:noWrap w:val="0"/>
            <w:vAlign w:val="center"/>
          </w:tcPr>
          <w:p w14:paraId="5F1D6140">
            <w:pPr>
              <w:pStyle w:val="13"/>
              <w:widowControl w:val="0"/>
              <w:spacing w:line="360" w:lineRule="exact"/>
              <w:jc w:val="both"/>
              <w:rPr>
                <w:rFonts w:hint="eastAsia" w:asciiTheme="minorEastAsia" w:hAnsiTheme="minorEastAsia" w:eastAsiaTheme="minorEastAsia" w:cstheme="minorEastAsia"/>
                <w:sz w:val="21"/>
                <w:szCs w:val="21"/>
              </w:rPr>
            </w:pPr>
          </w:p>
        </w:tc>
        <w:tc>
          <w:tcPr>
            <w:tcW w:w="1494" w:type="dxa"/>
            <w:vMerge w:val="continue"/>
            <w:noWrap w:val="0"/>
            <w:vAlign w:val="center"/>
          </w:tcPr>
          <w:p w14:paraId="2D8DD3F1">
            <w:pPr>
              <w:pStyle w:val="13"/>
              <w:widowControl w:val="0"/>
              <w:spacing w:line="360" w:lineRule="exact"/>
              <w:jc w:val="both"/>
              <w:rPr>
                <w:rFonts w:hint="eastAsia" w:asciiTheme="minorEastAsia" w:hAnsiTheme="minorEastAsia" w:eastAsiaTheme="minorEastAsia" w:cstheme="minorEastAsia"/>
                <w:sz w:val="21"/>
                <w:szCs w:val="21"/>
              </w:rPr>
            </w:pPr>
          </w:p>
        </w:tc>
        <w:tc>
          <w:tcPr>
            <w:tcW w:w="1488" w:type="dxa"/>
            <w:noWrap w:val="0"/>
            <w:vAlign w:val="top"/>
          </w:tcPr>
          <w:p w14:paraId="426F3C40">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left"/>
              <w:textAlignment w:val="auto"/>
              <w:rPr>
                <w:rFonts w:hint="eastAsia" w:asciiTheme="minorEastAsia" w:hAnsiTheme="minorEastAsia" w:eastAsiaTheme="minorEastAsia" w:cstheme="minorEastAsia"/>
                <w:color w:val="000000"/>
                <w:kern w:val="0"/>
                <w:sz w:val="21"/>
                <w:szCs w:val="21"/>
                <w:lang w:val="en-US" w:eastAsia="zh-CN" w:bidi="ar"/>
              </w:rPr>
            </w:pPr>
          </w:p>
          <w:p w14:paraId="28CEC96C">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left"/>
              <w:textAlignment w:val="auto"/>
              <w:rPr>
                <w:rFonts w:hint="eastAsia" w:asciiTheme="minorEastAsia" w:hAnsiTheme="minorEastAsia" w:eastAsiaTheme="minorEastAsia" w:cstheme="minorEastAsia"/>
                <w:color w:val="000000"/>
                <w:kern w:val="0"/>
                <w:sz w:val="21"/>
                <w:szCs w:val="21"/>
                <w:lang w:val="en-US" w:eastAsia="zh-CN" w:bidi="ar"/>
              </w:rPr>
            </w:pPr>
            <w:r>
              <w:rPr>
                <w:rFonts w:hint="eastAsia" w:asciiTheme="minorEastAsia" w:hAnsiTheme="minorEastAsia" w:eastAsiaTheme="minorEastAsia" w:cstheme="minorEastAsia"/>
                <w:color w:val="000000"/>
                <w:kern w:val="0"/>
                <w:sz w:val="21"/>
                <w:szCs w:val="21"/>
                <w:lang w:val="en-US" w:eastAsia="zh-CN" w:bidi="ar"/>
              </w:rPr>
              <w:t>技术服务流程（6分）</w:t>
            </w:r>
          </w:p>
        </w:tc>
        <w:tc>
          <w:tcPr>
            <w:tcW w:w="6392" w:type="dxa"/>
            <w:noWrap w:val="0"/>
            <w:vAlign w:val="top"/>
          </w:tcPr>
          <w:p w14:paraId="30642CC4">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left"/>
              <w:textAlignment w:val="auto"/>
              <w:rPr>
                <w:rFonts w:hint="eastAsia" w:asciiTheme="minorEastAsia" w:hAnsiTheme="minorEastAsia" w:eastAsiaTheme="minorEastAsia" w:cstheme="minorEastAsia"/>
                <w:color w:val="000000"/>
                <w:kern w:val="0"/>
                <w:sz w:val="21"/>
                <w:szCs w:val="21"/>
                <w:lang w:val="en-US" w:eastAsia="zh-CN" w:bidi="ar"/>
              </w:rPr>
            </w:pPr>
            <w:r>
              <w:rPr>
                <w:rFonts w:hint="eastAsia" w:asciiTheme="minorEastAsia" w:hAnsiTheme="minorEastAsia" w:eastAsiaTheme="minorEastAsia" w:cstheme="minorEastAsia"/>
                <w:color w:val="000000"/>
                <w:kern w:val="0"/>
                <w:sz w:val="21"/>
                <w:szCs w:val="21"/>
                <w:lang w:val="en-US" w:eastAsia="zh-CN" w:bidi="ar"/>
              </w:rPr>
              <w:t>供应商明确技术服务工作流程，流程设置合理，分工明确，每个工作流程有细致说明及相关责任人员等；供应商明确技术服务工作要点，包括抽样工作要点、检测工作要点等内容，明确工作难点。工作要点和难点分析合理,符合实际等得 6 分，基本合理得 3 分，未提供或不合实际不得分。</w:t>
            </w:r>
          </w:p>
        </w:tc>
      </w:tr>
      <w:tr w14:paraId="369BD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trPr>
        <w:tc>
          <w:tcPr>
            <w:tcW w:w="1116" w:type="dxa"/>
            <w:vMerge w:val="continue"/>
            <w:noWrap w:val="0"/>
            <w:vAlign w:val="center"/>
          </w:tcPr>
          <w:p w14:paraId="7558198A">
            <w:pPr>
              <w:pStyle w:val="13"/>
              <w:widowControl w:val="0"/>
              <w:spacing w:line="360" w:lineRule="exact"/>
              <w:jc w:val="both"/>
              <w:rPr>
                <w:rFonts w:hint="eastAsia" w:asciiTheme="minorEastAsia" w:hAnsiTheme="minorEastAsia" w:eastAsiaTheme="minorEastAsia" w:cstheme="minorEastAsia"/>
                <w:sz w:val="21"/>
                <w:szCs w:val="21"/>
              </w:rPr>
            </w:pPr>
          </w:p>
        </w:tc>
        <w:tc>
          <w:tcPr>
            <w:tcW w:w="1494" w:type="dxa"/>
            <w:vMerge w:val="continue"/>
            <w:noWrap w:val="0"/>
            <w:vAlign w:val="center"/>
          </w:tcPr>
          <w:p w14:paraId="3F1BE132">
            <w:pPr>
              <w:pStyle w:val="13"/>
              <w:widowControl w:val="0"/>
              <w:spacing w:line="360" w:lineRule="exact"/>
              <w:jc w:val="both"/>
              <w:rPr>
                <w:rFonts w:hint="eastAsia" w:asciiTheme="minorEastAsia" w:hAnsiTheme="minorEastAsia" w:eastAsiaTheme="minorEastAsia" w:cstheme="minorEastAsia"/>
                <w:sz w:val="21"/>
                <w:szCs w:val="21"/>
              </w:rPr>
            </w:pPr>
          </w:p>
        </w:tc>
        <w:tc>
          <w:tcPr>
            <w:tcW w:w="1488" w:type="dxa"/>
            <w:noWrap w:val="0"/>
            <w:vAlign w:val="top"/>
          </w:tcPr>
          <w:p w14:paraId="5122DB37">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left"/>
              <w:textAlignment w:val="auto"/>
              <w:rPr>
                <w:rFonts w:hint="eastAsia" w:asciiTheme="minorEastAsia" w:hAnsiTheme="minorEastAsia" w:eastAsiaTheme="minorEastAsia" w:cstheme="minorEastAsia"/>
                <w:color w:val="000000"/>
                <w:kern w:val="0"/>
                <w:sz w:val="21"/>
                <w:szCs w:val="21"/>
                <w:lang w:val="en-US" w:eastAsia="zh-CN" w:bidi="ar"/>
              </w:rPr>
            </w:pPr>
          </w:p>
          <w:p w14:paraId="5F667264">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left"/>
              <w:textAlignment w:val="auto"/>
              <w:rPr>
                <w:rFonts w:hint="eastAsia" w:asciiTheme="minorEastAsia" w:hAnsiTheme="minorEastAsia" w:eastAsiaTheme="minorEastAsia" w:cstheme="minorEastAsia"/>
                <w:color w:val="000000"/>
                <w:kern w:val="0"/>
                <w:sz w:val="21"/>
                <w:szCs w:val="21"/>
                <w:lang w:val="en-US" w:eastAsia="zh-CN" w:bidi="ar"/>
              </w:rPr>
            </w:pPr>
          </w:p>
          <w:p w14:paraId="12CED5B2">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left"/>
              <w:textAlignment w:val="auto"/>
              <w:rPr>
                <w:rFonts w:hint="eastAsia" w:asciiTheme="minorEastAsia" w:hAnsiTheme="minorEastAsia" w:eastAsiaTheme="minorEastAsia" w:cstheme="minorEastAsia"/>
                <w:color w:val="000000"/>
                <w:kern w:val="0"/>
                <w:sz w:val="21"/>
                <w:szCs w:val="21"/>
                <w:lang w:val="en-US" w:eastAsia="zh-CN" w:bidi="ar"/>
              </w:rPr>
            </w:pPr>
            <w:r>
              <w:rPr>
                <w:rFonts w:hint="eastAsia" w:asciiTheme="minorEastAsia" w:hAnsiTheme="minorEastAsia" w:eastAsiaTheme="minorEastAsia" w:cstheme="minorEastAsia"/>
                <w:color w:val="000000"/>
                <w:kern w:val="0"/>
                <w:sz w:val="21"/>
                <w:szCs w:val="21"/>
                <w:lang w:val="en-US" w:eastAsia="zh-CN" w:bidi="ar"/>
              </w:rPr>
              <w:t>专项抽检品控制措施</w:t>
            </w:r>
          </w:p>
          <w:p w14:paraId="3A2634DD">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left"/>
              <w:textAlignment w:val="auto"/>
              <w:rPr>
                <w:rFonts w:hint="eastAsia" w:asciiTheme="minorEastAsia" w:hAnsiTheme="minorEastAsia" w:eastAsiaTheme="minorEastAsia" w:cstheme="minorEastAsia"/>
                <w:color w:val="000000"/>
                <w:kern w:val="0"/>
                <w:sz w:val="21"/>
                <w:szCs w:val="21"/>
                <w:lang w:val="en-US" w:eastAsia="zh-CN" w:bidi="ar"/>
              </w:rPr>
            </w:pPr>
            <w:r>
              <w:rPr>
                <w:rFonts w:hint="eastAsia" w:asciiTheme="minorEastAsia" w:hAnsiTheme="minorEastAsia" w:eastAsiaTheme="minorEastAsia" w:cstheme="minorEastAsia"/>
                <w:color w:val="000000"/>
                <w:kern w:val="0"/>
                <w:sz w:val="21"/>
                <w:szCs w:val="21"/>
                <w:lang w:val="en-US" w:eastAsia="zh-CN" w:bidi="ar"/>
              </w:rPr>
              <w:t>（6 分）</w:t>
            </w:r>
          </w:p>
        </w:tc>
        <w:tc>
          <w:tcPr>
            <w:tcW w:w="6392" w:type="dxa"/>
            <w:noWrap w:val="0"/>
            <w:vAlign w:val="top"/>
          </w:tcPr>
          <w:p w14:paraId="5CF35080">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left"/>
              <w:textAlignment w:val="auto"/>
              <w:rPr>
                <w:rFonts w:hint="eastAsia" w:asciiTheme="minorEastAsia" w:hAnsiTheme="minorEastAsia" w:eastAsiaTheme="minorEastAsia" w:cstheme="minorEastAsia"/>
                <w:color w:val="000000"/>
                <w:kern w:val="0"/>
                <w:sz w:val="21"/>
                <w:szCs w:val="21"/>
                <w:lang w:val="en-US" w:eastAsia="zh-CN" w:bidi="ar"/>
              </w:rPr>
            </w:pPr>
            <w:r>
              <w:rPr>
                <w:rFonts w:hint="eastAsia" w:asciiTheme="minorEastAsia" w:hAnsiTheme="minorEastAsia" w:eastAsiaTheme="minorEastAsia" w:cstheme="minorEastAsia"/>
                <w:color w:val="000000"/>
                <w:kern w:val="0"/>
                <w:sz w:val="21"/>
                <w:szCs w:val="21"/>
                <w:lang w:val="en-US" w:eastAsia="zh-CN" w:bidi="ar"/>
              </w:rPr>
              <w:t>针对餐饮环节的抽检工作满足 24 小时抽样并能保证检验样品能在最科学合理的时间内送到实验室的措施和技术力量，确保检验样品在运输过程中不会受到污染的措施和技术力量，确保检测数据真实有效、科学客观的措施和技术力量。品控措施得当，符合实际情况且措施得当得 6 分，品控措施基本符合实际情况得 3 分，品控措施不当、不符合实际或未提供不得分。</w:t>
            </w:r>
          </w:p>
        </w:tc>
      </w:tr>
      <w:tr w14:paraId="6D0B6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9" w:hRule="atLeast"/>
        </w:trPr>
        <w:tc>
          <w:tcPr>
            <w:tcW w:w="1116" w:type="dxa"/>
            <w:vMerge w:val="continue"/>
            <w:noWrap w:val="0"/>
            <w:vAlign w:val="center"/>
          </w:tcPr>
          <w:p w14:paraId="08CCAD3B">
            <w:pPr>
              <w:pStyle w:val="13"/>
              <w:widowControl w:val="0"/>
              <w:spacing w:line="360" w:lineRule="exact"/>
              <w:jc w:val="both"/>
              <w:rPr>
                <w:rFonts w:hint="eastAsia" w:asciiTheme="minorEastAsia" w:hAnsiTheme="minorEastAsia" w:eastAsiaTheme="minorEastAsia" w:cstheme="minorEastAsia"/>
                <w:sz w:val="21"/>
                <w:szCs w:val="21"/>
              </w:rPr>
            </w:pPr>
          </w:p>
        </w:tc>
        <w:tc>
          <w:tcPr>
            <w:tcW w:w="1494" w:type="dxa"/>
            <w:vMerge w:val="continue"/>
            <w:noWrap w:val="0"/>
            <w:vAlign w:val="center"/>
          </w:tcPr>
          <w:p w14:paraId="43F8C3DE">
            <w:pPr>
              <w:pStyle w:val="13"/>
              <w:widowControl w:val="0"/>
              <w:spacing w:line="360" w:lineRule="exact"/>
              <w:jc w:val="both"/>
              <w:rPr>
                <w:rFonts w:hint="eastAsia" w:asciiTheme="minorEastAsia" w:hAnsiTheme="minorEastAsia" w:eastAsiaTheme="minorEastAsia" w:cstheme="minorEastAsia"/>
                <w:sz w:val="21"/>
                <w:szCs w:val="21"/>
              </w:rPr>
            </w:pPr>
          </w:p>
        </w:tc>
        <w:tc>
          <w:tcPr>
            <w:tcW w:w="1488" w:type="dxa"/>
            <w:noWrap w:val="0"/>
            <w:vAlign w:val="top"/>
          </w:tcPr>
          <w:p w14:paraId="39804E6E">
            <w:pPr>
              <w:widowControl w:val="0"/>
              <w:spacing w:before="103" w:beforeLines="0" w:afterLines="0" w:line="273" w:lineRule="auto"/>
              <w:ind w:left="13" w:leftChars="0" w:right="82" w:rightChars="0"/>
              <w:rPr>
                <w:rFonts w:hint="eastAsia" w:asciiTheme="minorEastAsia" w:hAnsiTheme="minorEastAsia" w:eastAsiaTheme="minorEastAsia" w:cstheme="minorEastAsia"/>
                <w:sz w:val="21"/>
                <w:szCs w:val="21"/>
                <w:lang w:bidi="zh-CN"/>
              </w:rPr>
            </w:pPr>
            <w:r>
              <w:rPr>
                <w:rFonts w:hint="eastAsia" w:asciiTheme="minorEastAsia" w:hAnsiTheme="minorEastAsia" w:eastAsiaTheme="minorEastAsia" w:cstheme="minorEastAsia"/>
                <w:sz w:val="21"/>
                <w:szCs w:val="21"/>
                <w:lang w:bidi="zh-CN"/>
              </w:rPr>
              <w:t>质量控制及应急管理</w:t>
            </w:r>
          </w:p>
          <w:p w14:paraId="27BCF62D">
            <w:pPr>
              <w:widowControl w:val="0"/>
              <w:spacing w:before="103" w:beforeLines="0" w:afterLines="0" w:line="273" w:lineRule="auto"/>
              <w:ind w:left="13" w:leftChars="0" w:right="82" w:rightChars="0"/>
              <w:rPr>
                <w:rFonts w:hint="eastAsia" w:asciiTheme="minorEastAsia" w:hAnsiTheme="minorEastAsia" w:eastAsiaTheme="minorEastAsia" w:cstheme="minorEastAsia"/>
                <w:sz w:val="21"/>
                <w:szCs w:val="21"/>
                <w:lang w:bidi="zh-CN"/>
              </w:rPr>
            </w:pPr>
            <w:r>
              <w:rPr>
                <w:rFonts w:hint="eastAsia" w:asciiTheme="minorEastAsia" w:hAnsiTheme="minorEastAsia" w:eastAsiaTheme="minorEastAsia" w:cstheme="minorEastAsia"/>
                <w:sz w:val="21"/>
                <w:szCs w:val="21"/>
                <w:lang w:bidi="zh-CN"/>
              </w:rPr>
              <w:t>（6 分）</w:t>
            </w:r>
          </w:p>
        </w:tc>
        <w:tc>
          <w:tcPr>
            <w:tcW w:w="6392" w:type="dxa"/>
            <w:noWrap w:val="0"/>
            <w:vAlign w:val="top"/>
          </w:tcPr>
          <w:p w14:paraId="5EC77B94">
            <w:pPr>
              <w:widowControl w:val="0"/>
              <w:spacing w:before="103" w:beforeLines="0" w:afterLines="0" w:line="273" w:lineRule="auto"/>
              <w:ind w:left="13" w:leftChars="0" w:right="82" w:rightChars="0"/>
              <w:rPr>
                <w:rFonts w:hint="eastAsia" w:asciiTheme="minorEastAsia" w:hAnsiTheme="minorEastAsia" w:eastAsiaTheme="minorEastAsia" w:cstheme="minorEastAsia"/>
                <w:sz w:val="21"/>
                <w:szCs w:val="21"/>
                <w:lang w:val="en-US" w:eastAsia="zh-CN" w:bidi="zh-CN"/>
              </w:rPr>
            </w:pPr>
            <w:r>
              <w:rPr>
                <w:rFonts w:hint="eastAsia" w:asciiTheme="minorEastAsia" w:hAnsiTheme="minorEastAsia" w:eastAsiaTheme="minorEastAsia" w:cstheme="minorEastAsia"/>
                <w:sz w:val="21"/>
                <w:szCs w:val="21"/>
                <w:lang w:val="en-US" w:eastAsia="zh-CN" w:bidi="zh-CN"/>
              </w:rPr>
              <w:t>具有完善的食品抽样检验质量控制方案及措施，具有切实可行的应急预案措施及方案。方案思路清晰、重点突出、切实可行的得 6 分；较为清晰的、基本能满足服务要求的得 3 分；未提供或思路混乱、实施性差不得分。</w:t>
            </w:r>
          </w:p>
        </w:tc>
      </w:tr>
    </w:tbl>
    <w:p w14:paraId="2C918147">
      <w:pPr>
        <w:spacing w:line="360" w:lineRule="auto"/>
        <w:ind w:firstLine="490" w:firstLineChars="200"/>
        <w:rPr>
          <w:rFonts w:asciiTheme="minorEastAsia" w:hAnsiTheme="minorEastAsia" w:cstheme="minorEastAsia"/>
          <w:b/>
          <w:bCs/>
          <w:spacing w:val="2"/>
          <w:position w:val="17"/>
          <w:szCs w:val="24"/>
        </w:rPr>
      </w:pPr>
      <w:r>
        <w:rPr>
          <w:rFonts w:hint="eastAsia" w:asciiTheme="minorEastAsia" w:hAnsiTheme="minorEastAsia" w:cstheme="minorEastAsia"/>
          <w:b/>
          <w:bCs/>
          <w:snapToGrid w:val="0"/>
          <w:color w:val="000000"/>
          <w:spacing w:val="2"/>
          <w:kern w:val="0"/>
          <w:position w:val="17"/>
          <w:szCs w:val="24"/>
        </w:rPr>
        <w:t>备注：严格执行《南阳市政府采购负面清单》，根据实际项目需要设置科学合理的评分因素及分值。</w:t>
      </w:r>
    </w:p>
    <w:p w14:paraId="2D9B39A2">
      <w:pPr>
        <w:keepNext w:val="0"/>
        <w:keepLines w:val="0"/>
        <w:pageBreakBefore w:val="0"/>
        <w:widowControl/>
        <w:kinsoku/>
        <w:wordWrap w:val="0"/>
        <w:overflowPunct/>
        <w:topLinePunct w:val="0"/>
        <w:autoSpaceDE w:val="0"/>
        <w:autoSpaceDN w:val="0"/>
        <w:bidi w:val="0"/>
        <w:adjustRightInd w:val="0"/>
        <w:snapToGrid w:val="0"/>
        <w:spacing w:after="0" w:line="360" w:lineRule="auto"/>
        <w:ind w:firstLine="480" w:firstLineChars="200"/>
        <w:jc w:val="both"/>
        <w:textAlignment w:val="baseline"/>
        <w:rPr>
          <w:rFonts w:hint="eastAsia" w:ascii="宋体" w:hAnsi="宋体" w:eastAsia="宋体" w:cs="宋体"/>
          <w:snapToGrid w:val="0"/>
          <w:color w:val="000000"/>
          <w:kern w:val="0"/>
          <w:sz w:val="24"/>
          <w:szCs w:val="24"/>
          <w:lang w:val="en-US" w:eastAsia="zh-CN" w:bidi="ar-SA"/>
        </w:rPr>
      </w:pPr>
      <w:bookmarkStart w:id="12" w:name="_Toc4733"/>
      <w:r>
        <w:rPr>
          <w:rFonts w:hint="eastAsia" w:ascii="宋体" w:hAnsi="宋体" w:eastAsia="宋体" w:cs="宋体"/>
          <w:snapToGrid w:val="0"/>
          <w:color w:val="000000"/>
          <w:kern w:val="0"/>
          <w:sz w:val="24"/>
          <w:szCs w:val="24"/>
          <w:lang w:val="en-US" w:eastAsia="zh-CN" w:bidi="ar-SA"/>
        </w:rPr>
        <w:t>11.有下列情况之一的，采购人或采购代理机构宣布本项目终止：</w:t>
      </w:r>
      <w:bookmarkEnd w:id="12"/>
    </w:p>
    <w:p w14:paraId="7681337F">
      <w:pPr>
        <w:keepNext w:val="0"/>
        <w:keepLines w:val="0"/>
        <w:pageBreakBefore w:val="0"/>
        <w:widowControl/>
        <w:kinsoku/>
        <w:wordWrap w:val="0"/>
        <w:overflowPunct/>
        <w:topLinePunct w:val="0"/>
        <w:autoSpaceDE w:val="0"/>
        <w:autoSpaceDN w:val="0"/>
        <w:bidi w:val="0"/>
        <w:adjustRightInd w:val="0"/>
        <w:snapToGrid w:val="0"/>
        <w:spacing w:after="0" w:line="360" w:lineRule="auto"/>
        <w:ind w:firstLine="480" w:firstLineChars="200"/>
        <w:jc w:val="both"/>
        <w:textAlignment w:val="baseline"/>
        <w:rPr>
          <w:rFonts w:hint="eastAsia" w:ascii="宋体" w:hAnsi="宋体" w:eastAsia="宋体" w:cs="宋体"/>
          <w:snapToGrid w:val="0"/>
          <w:color w:val="000000"/>
          <w:kern w:val="0"/>
          <w:sz w:val="24"/>
          <w:szCs w:val="24"/>
          <w:lang w:val="en-US" w:eastAsia="zh-CN" w:bidi="ar-SA"/>
        </w:rPr>
      </w:pPr>
      <w:r>
        <w:rPr>
          <w:rFonts w:hint="eastAsia" w:ascii="宋体" w:hAnsi="宋体" w:eastAsia="宋体" w:cs="宋体"/>
          <w:snapToGrid w:val="0"/>
          <w:color w:val="000000"/>
          <w:kern w:val="0"/>
          <w:sz w:val="24"/>
          <w:szCs w:val="24"/>
          <w:lang w:val="en-US" w:eastAsia="zh-CN" w:bidi="ar-SA"/>
        </w:rPr>
        <w:t>11.1因情况变化，不再符合规定的竞争性磋商采购方式适用情形的；</w:t>
      </w:r>
    </w:p>
    <w:p w14:paraId="4692B7BE">
      <w:pPr>
        <w:keepNext w:val="0"/>
        <w:keepLines w:val="0"/>
        <w:pageBreakBefore w:val="0"/>
        <w:widowControl/>
        <w:kinsoku/>
        <w:wordWrap w:val="0"/>
        <w:overflowPunct/>
        <w:topLinePunct w:val="0"/>
        <w:autoSpaceDE w:val="0"/>
        <w:autoSpaceDN w:val="0"/>
        <w:bidi w:val="0"/>
        <w:adjustRightInd w:val="0"/>
        <w:snapToGrid w:val="0"/>
        <w:spacing w:after="0" w:line="360" w:lineRule="auto"/>
        <w:ind w:firstLine="480" w:firstLineChars="200"/>
        <w:jc w:val="both"/>
        <w:textAlignment w:val="baseline"/>
        <w:rPr>
          <w:rFonts w:hint="eastAsia" w:ascii="宋体" w:hAnsi="宋体" w:eastAsia="宋体" w:cs="宋体"/>
          <w:snapToGrid w:val="0"/>
          <w:color w:val="000000"/>
          <w:kern w:val="0"/>
          <w:sz w:val="24"/>
          <w:szCs w:val="24"/>
          <w:lang w:val="en-US" w:eastAsia="zh-CN" w:bidi="ar-SA"/>
        </w:rPr>
      </w:pPr>
      <w:r>
        <w:rPr>
          <w:rFonts w:hint="eastAsia" w:ascii="宋体" w:hAnsi="宋体" w:eastAsia="宋体" w:cs="宋体"/>
          <w:snapToGrid w:val="0"/>
          <w:color w:val="000000"/>
          <w:kern w:val="0"/>
          <w:sz w:val="24"/>
          <w:szCs w:val="24"/>
          <w:lang w:val="en-US" w:eastAsia="zh-CN" w:bidi="ar-SA"/>
        </w:rPr>
        <w:t>11.2出现影响采购公正的违法、违规行为的；</w:t>
      </w:r>
    </w:p>
    <w:p w14:paraId="12882FC6">
      <w:pPr>
        <w:keepNext w:val="0"/>
        <w:keepLines w:val="0"/>
        <w:pageBreakBefore w:val="0"/>
        <w:widowControl/>
        <w:kinsoku/>
        <w:wordWrap w:val="0"/>
        <w:overflowPunct/>
        <w:topLinePunct w:val="0"/>
        <w:autoSpaceDE w:val="0"/>
        <w:autoSpaceDN w:val="0"/>
        <w:bidi w:val="0"/>
        <w:adjustRightInd w:val="0"/>
        <w:snapToGrid w:val="0"/>
        <w:spacing w:after="0" w:line="360" w:lineRule="auto"/>
        <w:ind w:firstLine="480" w:firstLineChars="200"/>
        <w:jc w:val="both"/>
        <w:textAlignment w:val="baseline"/>
        <w:rPr>
          <w:rFonts w:hint="eastAsia" w:ascii="宋体" w:hAnsi="宋体" w:eastAsia="宋体" w:cs="宋体"/>
          <w:snapToGrid w:val="0"/>
          <w:color w:val="000000"/>
          <w:kern w:val="0"/>
          <w:sz w:val="24"/>
          <w:szCs w:val="24"/>
          <w:lang w:val="en-US" w:eastAsia="zh-CN" w:bidi="ar-SA"/>
        </w:rPr>
      </w:pPr>
      <w:r>
        <w:rPr>
          <w:rFonts w:hint="eastAsia" w:ascii="宋体" w:hAnsi="宋体" w:eastAsia="宋体" w:cs="宋体"/>
          <w:snapToGrid w:val="0"/>
          <w:color w:val="000000"/>
          <w:kern w:val="0"/>
          <w:sz w:val="24"/>
          <w:szCs w:val="24"/>
          <w:lang w:val="en-US" w:eastAsia="zh-CN" w:bidi="ar-SA"/>
        </w:rPr>
        <w:t>11.3法律法规规定的其他情况。</w:t>
      </w:r>
    </w:p>
    <w:p w14:paraId="57F6855D">
      <w:pPr>
        <w:keepNext w:val="0"/>
        <w:keepLines w:val="0"/>
        <w:pageBreakBefore w:val="0"/>
        <w:widowControl/>
        <w:kinsoku/>
        <w:wordWrap w:val="0"/>
        <w:overflowPunct/>
        <w:topLinePunct w:val="0"/>
        <w:autoSpaceDE w:val="0"/>
        <w:autoSpaceDN w:val="0"/>
        <w:bidi w:val="0"/>
        <w:adjustRightInd w:val="0"/>
        <w:snapToGrid w:val="0"/>
        <w:spacing w:after="0" w:line="360" w:lineRule="auto"/>
        <w:ind w:firstLine="480" w:firstLineChars="200"/>
        <w:jc w:val="both"/>
        <w:textAlignment w:val="baseline"/>
        <w:rPr>
          <w:rFonts w:hint="eastAsia" w:ascii="宋体" w:hAnsi="宋体" w:eastAsia="宋体" w:cs="宋体"/>
          <w:snapToGrid w:val="0"/>
          <w:color w:val="000000"/>
          <w:kern w:val="0"/>
          <w:sz w:val="24"/>
          <w:szCs w:val="24"/>
          <w:lang w:val="en-US" w:eastAsia="zh-CN" w:bidi="ar-SA"/>
        </w:rPr>
      </w:pPr>
      <w:r>
        <w:rPr>
          <w:rFonts w:hint="eastAsia" w:ascii="宋体" w:hAnsi="宋体" w:eastAsia="宋体" w:cs="宋体"/>
          <w:snapToGrid w:val="0"/>
          <w:color w:val="000000"/>
          <w:kern w:val="0"/>
          <w:sz w:val="24"/>
          <w:szCs w:val="24"/>
          <w:lang w:val="en-US" w:eastAsia="zh-CN" w:bidi="ar-SA"/>
        </w:rPr>
        <w:t>12.若本项目属于政府购买服务项目，将按照《政府采购竞争性磋商采购方式管理暂行办法》和《财政部关于政府采购竞争性磋商采购方式管理暂行办法有关问题的补充通知》（财库﹝2015﹞124号）等规定执行。</w:t>
      </w:r>
    </w:p>
    <w:p w14:paraId="3E3F402C">
      <w:pPr>
        <w:keepNext w:val="0"/>
        <w:keepLines w:val="0"/>
        <w:pageBreakBefore w:val="0"/>
        <w:widowControl/>
        <w:kinsoku/>
        <w:wordWrap w:val="0"/>
        <w:overflowPunct/>
        <w:topLinePunct w:val="0"/>
        <w:autoSpaceDE w:val="0"/>
        <w:autoSpaceDN w:val="0"/>
        <w:bidi w:val="0"/>
        <w:adjustRightInd w:val="0"/>
        <w:snapToGrid w:val="0"/>
        <w:spacing w:after="0" w:line="360" w:lineRule="auto"/>
        <w:ind w:firstLine="480" w:firstLineChars="200"/>
        <w:jc w:val="both"/>
        <w:textAlignment w:val="baseline"/>
        <w:rPr>
          <w:rFonts w:hint="eastAsia" w:ascii="宋体" w:hAnsi="宋体" w:eastAsia="宋体" w:cs="宋体"/>
          <w:snapToGrid w:val="0"/>
          <w:color w:val="000000"/>
          <w:kern w:val="0"/>
          <w:sz w:val="24"/>
          <w:szCs w:val="24"/>
          <w:lang w:val="en-US" w:eastAsia="zh-CN" w:bidi="ar-SA"/>
        </w:rPr>
      </w:pPr>
      <w:bookmarkStart w:id="13" w:name="_Toc17930"/>
      <w:r>
        <w:rPr>
          <w:rFonts w:hint="eastAsia" w:ascii="宋体" w:hAnsi="宋体" w:eastAsia="宋体" w:cs="宋体"/>
          <w:snapToGrid w:val="0"/>
          <w:color w:val="000000"/>
          <w:kern w:val="0"/>
          <w:sz w:val="24"/>
          <w:szCs w:val="24"/>
          <w:lang w:val="en-US" w:eastAsia="zh-CN" w:bidi="ar-SA"/>
        </w:rPr>
        <w:t>六、成交通知及签订合同</w:t>
      </w:r>
      <w:bookmarkEnd w:id="13"/>
    </w:p>
    <w:p w14:paraId="11C1F1EB">
      <w:pPr>
        <w:keepNext w:val="0"/>
        <w:keepLines w:val="0"/>
        <w:pageBreakBefore w:val="0"/>
        <w:widowControl/>
        <w:kinsoku/>
        <w:wordWrap w:val="0"/>
        <w:overflowPunct/>
        <w:topLinePunct w:val="0"/>
        <w:autoSpaceDE w:val="0"/>
        <w:autoSpaceDN w:val="0"/>
        <w:bidi w:val="0"/>
        <w:adjustRightInd w:val="0"/>
        <w:snapToGrid w:val="0"/>
        <w:spacing w:after="0" w:line="360" w:lineRule="auto"/>
        <w:ind w:firstLine="480" w:firstLineChars="200"/>
        <w:jc w:val="both"/>
        <w:textAlignment w:val="baseline"/>
        <w:rPr>
          <w:rFonts w:hint="eastAsia" w:ascii="宋体" w:hAnsi="宋体" w:eastAsia="宋体" w:cs="宋体"/>
          <w:snapToGrid w:val="0"/>
          <w:color w:val="000000"/>
          <w:kern w:val="0"/>
          <w:sz w:val="24"/>
          <w:szCs w:val="24"/>
          <w:lang w:val="en-US" w:eastAsia="zh-CN" w:bidi="ar-SA"/>
        </w:rPr>
      </w:pPr>
      <w:bookmarkStart w:id="14" w:name="_Toc26871"/>
      <w:r>
        <w:rPr>
          <w:rFonts w:hint="eastAsia" w:ascii="宋体" w:hAnsi="宋体" w:eastAsia="宋体" w:cs="宋体"/>
          <w:snapToGrid w:val="0"/>
          <w:color w:val="000000"/>
          <w:kern w:val="0"/>
          <w:sz w:val="24"/>
          <w:szCs w:val="24"/>
          <w:lang w:val="en-US" w:eastAsia="zh-CN" w:bidi="ar-SA"/>
        </w:rPr>
        <w:t>1.成交结果公布</w:t>
      </w:r>
      <w:bookmarkEnd w:id="14"/>
    </w:p>
    <w:p w14:paraId="694A8D86">
      <w:pPr>
        <w:keepNext w:val="0"/>
        <w:keepLines w:val="0"/>
        <w:pageBreakBefore w:val="0"/>
        <w:widowControl/>
        <w:kinsoku/>
        <w:wordWrap w:val="0"/>
        <w:overflowPunct/>
        <w:topLinePunct w:val="0"/>
        <w:autoSpaceDE w:val="0"/>
        <w:autoSpaceDN w:val="0"/>
        <w:bidi w:val="0"/>
        <w:adjustRightInd w:val="0"/>
        <w:snapToGrid w:val="0"/>
        <w:spacing w:after="0" w:line="360" w:lineRule="auto"/>
        <w:ind w:firstLine="480" w:firstLineChars="200"/>
        <w:jc w:val="both"/>
        <w:textAlignment w:val="baseline"/>
        <w:rPr>
          <w:rFonts w:hint="eastAsia" w:ascii="宋体" w:hAnsi="宋体" w:eastAsia="宋体" w:cs="宋体"/>
          <w:snapToGrid w:val="0"/>
          <w:color w:val="000000"/>
          <w:kern w:val="0"/>
          <w:sz w:val="24"/>
          <w:szCs w:val="24"/>
          <w:lang w:val="en-US" w:eastAsia="zh-CN" w:bidi="ar-SA"/>
        </w:rPr>
      </w:pPr>
      <w:r>
        <w:rPr>
          <w:rFonts w:hint="eastAsia" w:ascii="宋体" w:hAnsi="宋体" w:eastAsia="宋体" w:cs="宋体"/>
          <w:snapToGrid w:val="0"/>
          <w:color w:val="000000"/>
          <w:kern w:val="0"/>
          <w:sz w:val="24"/>
          <w:szCs w:val="24"/>
          <w:lang w:val="en-US" w:eastAsia="zh-CN" w:bidi="ar-SA"/>
        </w:rPr>
        <w:t>1.1成交供应商确定后，采购人或采购代理机构将在“河南省政府采购网”和“唐河县公共资源交易中心网”上发布成交公告。</w:t>
      </w:r>
    </w:p>
    <w:p w14:paraId="372DFEC5">
      <w:pPr>
        <w:keepNext w:val="0"/>
        <w:keepLines w:val="0"/>
        <w:pageBreakBefore w:val="0"/>
        <w:widowControl/>
        <w:kinsoku/>
        <w:wordWrap w:val="0"/>
        <w:overflowPunct/>
        <w:topLinePunct w:val="0"/>
        <w:autoSpaceDE w:val="0"/>
        <w:autoSpaceDN w:val="0"/>
        <w:bidi w:val="0"/>
        <w:adjustRightInd w:val="0"/>
        <w:snapToGrid w:val="0"/>
        <w:spacing w:after="0" w:line="360" w:lineRule="auto"/>
        <w:ind w:firstLine="480" w:firstLineChars="200"/>
        <w:jc w:val="both"/>
        <w:textAlignment w:val="baseline"/>
        <w:rPr>
          <w:rFonts w:hint="eastAsia" w:ascii="宋体" w:hAnsi="宋体" w:eastAsia="宋体" w:cs="宋体"/>
          <w:snapToGrid w:val="0"/>
          <w:color w:val="000000"/>
          <w:kern w:val="0"/>
          <w:sz w:val="24"/>
          <w:szCs w:val="24"/>
          <w:lang w:val="en-US" w:eastAsia="zh-CN" w:bidi="ar-SA"/>
        </w:rPr>
      </w:pPr>
      <w:r>
        <w:rPr>
          <w:rFonts w:hint="eastAsia" w:ascii="宋体" w:hAnsi="宋体" w:eastAsia="宋体" w:cs="宋体"/>
          <w:snapToGrid w:val="0"/>
          <w:color w:val="000000"/>
          <w:kern w:val="0"/>
          <w:sz w:val="24"/>
          <w:szCs w:val="24"/>
          <w:lang w:val="en-US" w:eastAsia="zh-CN" w:bidi="ar-SA"/>
        </w:rPr>
        <w:t>1.2如项目终止，成交结果公告以“河南省政府采购网”发布的为准。</w:t>
      </w:r>
    </w:p>
    <w:p w14:paraId="62F20F2C">
      <w:pPr>
        <w:keepNext w:val="0"/>
        <w:keepLines w:val="0"/>
        <w:pageBreakBefore w:val="0"/>
        <w:widowControl/>
        <w:kinsoku/>
        <w:wordWrap w:val="0"/>
        <w:overflowPunct/>
        <w:topLinePunct w:val="0"/>
        <w:autoSpaceDE w:val="0"/>
        <w:autoSpaceDN w:val="0"/>
        <w:bidi w:val="0"/>
        <w:adjustRightInd w:val="0"/>
        <w:snapToGrid w:val="0"/>
        <w:spacing w:after="0" w:line="360" w:lineRule="auto"/>
        <w:ind w:firstLine="480" w:firstLineChars="200"/>
        <w:jc w:val="both"/>
        <w:textAlignment w:val="baseline"/>
        <w:rPr>
          <w:rFonts w:hint="eastAsia" w:ascii="宋体" w:hAnsi="宋体" w:eastAsia="宋体" w:cs="宋体"/>
          <w:snapToGrid w:val="0"/>
          <w:color w:val="000000"/>
          <w:kern w:val="0"/>
          <w:sz w:val="24"/>
          <w:szCs w:val="24"/>
          <w:lang w:val="en-US" w:eastAsia="zh-CN" w:bidi="ar-SA"/>
        </w:rPr>
      </w:pPr>
      <w:bookmarkStart w:id="15" w:name="_Toc8033"/>
      <w:r>
        <w:rPr>
          <w:rFonts w:hint="eastAsia" w:ascii="宋体" w:hAnsi="宋体" w:eastAsia="宋体" w:cs="宋体"/>
          <w:snapToGrid w:val="0"/>
          <w:color w:val="000000"/>
          <w:kern w:val="0"/>
          <w:sz w:val="24"/>
          <w:szCs w:val="24"/>
          <w:lang w:val="en-US" w:eastAsia="zh-CN" w:bidi="ar-SA"/>
        </w:rPr>
        <w:t>2.发出成交通知书</w:t>
      </w:r>
      <w:bookmarkEnd w:id="15"/>
    </w:p>
    <w:p w14:paraId="3FC1A4B6">
      <w:pPr>
        <w:keepNext w:val="0"/>
        <w:keepLines w:val="0"/>
        <w:pageBreakBefore w:val="0"/>
        <w:widowControl/>
        <w:kinsoku/>
        <w:wordWrap w:val="0"/>
        <w:overflowPunct/>
        <w:topLinePunct w:val="0"/>
        <w:autoSpaceDE w:val="0"/>
        <w:autoSpaceDN w:val="0"/>
        <w:bidi w:val="0"/>
        <w:adjustRightInd w:val="0"/>
        <w:snapToGrid w:val="0"/>
        <w:spacing w:after="0" w:line="360" w:lineRule="auto"/>
        <w:ind w:firstLine="480" w:firstLineChars="200"/>
        <w:jc w:val="both"/>
        <w:textAlignment w:val="baseline"/>
        <w:rPr>
          <w:rFonts w:hint="eastAsia" w:ascii="宋体" w:hAnsi="宋体" w:eastAsia="宋体" w:cs="宋体"/>
          <w:snapToGrid w:val="0"/>
          <w:color w:val="000000"/>
          <w:kern w:val="0"/>
          <w:sz w:val="24"/>
          <w:szCs w:val="24"/>
          <w:lang w:val="en-US" w:eastAsia="zh-CN" w:bidi="ar-SA"/>
        </w:rPr>
      </w:pPr>
      <w:r>
        <w:rPr>
          <w:rFonts w:hint="eastAsia" w:ascii="宋体" w:hAnsi="宋体" w:eastAsia="宋体" w:cs="宋体"/>
          <w:snapToGrid w:val="0"/>
          <w:color w:val="000000"/>
          <w:kern w:val="0"/>
          <w:sz w:val="24"/>
          <w:szCs w:val="24"/>
          <w:lang w:val="en-US" w:eastAsia="zh-CN" w:bidi="ar-SA"/>
        </w:rPr>
        <w:t>2.1根据成交结果，采购代理机构向成交供应商发出电子成交通知书。</w:t>
      </w:r>
    </w:p>
    <w:p w14:paraId="76811994">
      <w:pPr>
        <w:keepNext w:val="0"/>
        <w:keepLines w:val="0"/>
        <w:pageBreakBefore w:val="0"/>
        <w:widowControl/>
        <w:kinsoku/>
        <w:wordWrap w:val="0"/>
        <w:overflowPunct/>
        <w:topLinePunct w:val="0"/>
        <w:autoSpaceDE w:val="0"/>
        <w:autoSpaceDN w:val="0"/>
        <w:bidi w:val="0"/>
        <w:adjustRightInd w:val="0"/>
        <w:snapToGrid w:val="0"/>
        <w:spacing w:after="0" w:line="360" w:lineRule="auto"/>
        <w:ind w:firstLine="480" w:firstLineChars="200"/>
        <w:jc w:val="both"/>
        <w:textAlignment w:val="baseline"/>
        <w:rPr>
          <w:rFonts w:hint="eastAsia" w:ascii="宋体" w:hAnsi="宋体" w:eastAsia="宋体" w:cs="宋体"/>
          <w:snapToGrid w:val="0"/>
          <w:color w:val="000000"/>
          <w:kern w:val="0"/>
          <w:sz w:val="24"/>
          <w:szCs w:val="24"/>
          <w:lang w:val="en-US" w:eastAsia="zh-CN" w:bidi="ar-SA"/>
        </w:rPr>
      </w:pPr>
      <w:r>
        <w:rPr>
          <w:rFonts w:hint="eastAsia" w:ascii="宋体" w:hAnsi="宋体" w:eastAsia="宋体" w:cs="宋体"/>
          <w:snapToGrid w:val="0"/>
          <w:color w:val="000000"/>
          <w:kern w:val="0"/>
          <w:sz w:val="24"/>
          <w:szCs w:val="24"/>
          <w:lang w:val="en-US" w:eastAsia="zh-CN" w:bidi="ar-SA"/>
        </w:rPr>
        <w:t>2.2《成交通知书》是签订政府采购合同的重要依据，对采购人与成交供应商具有法律效力。</w:t>
      </w:r>
    </w:p>
    <w:p w14:paraId="5A2A0E1B">
      <w:pPr>
        <w:keepNext w:val="0"/>
        <w:keepLines w:val="0"/>
        <w:pageBreakBefore w:val="0"/>
        <w:widowControl/>
        <w:kinsoku/>
        <w:wordWrap w:val="0"/>
        <w:overflowPunct/>
        <w:topLinePunct w:val="0"/>
        <w:autoSpaceDE w:val="0"/>
        <w:autoSpaceDN w:val="0"/>
        <w:bidi w:val="0"/>
        <w:adjustRightInd w:val="0"/>
        <w:snapToGrid w:val="0"/>
        <w:spacing w:after="0" w:line="360" w:lineRule="auto"/>
        <w:ind w:firstLine="480" w:firstLineChars="200"/>
        <w:jc w:val="both"/>
        <w:textAlignment w:val="baseline"/>
        <w:rPr>
          <w:rFonts w:hint="eastAsia" w:ascii="宋体" w:hAnsi="宋体" w:eastAsia="宋体" w:cs="宋体"/>
          <w:snapToGrid w:val="0"/>
          <w:color w:val="000000"/>
          <w:kern w:val="0"/>
          <w:sz w:val="24"/>
          <w:szCs w:val="24"/>
          <w:lang w:val="en-US" w:eastAsia="zh-CN" w:bidi="ar-SA"/>
        </w:rPr>
      </w:pPr>
      <w:bookmarkStart w:id="16" w:name="_Toc22209"/>
      <w:r>
        <w:rPr>
          <w:rFonts w:hint="eastAsia" w:ascii="宋体" w:hAnsi="宋体" w:eastAsia="宋体" w:cs="宋体"/>
          <w:snapToGrid w:val="0"/>
          <w:color w:val="000000"/>
          <w:kern w:val="0"/>
          <w:sz w:val="24"/>
          <w:szCs w:val="24"/>
          <w:lang w:val="en-US" w:eastAsia="zh-CN" w:bidi="ar-SA"/>
        </w:rPr>
        <w:t>3.签订合同</w:t>
      </w:r>
      <w:bookmarkEnd w:id="16"/>
    </w:p>
    <w:p w14:paraId="62B56AAD">
      <w:pPr>
        <w:keepNext w:val="0"/>
        <w:keepLines w:val="0"/>
        <w:pageBreakBefore w:val="0"/>
        <w:widowControl/>
        <w:kinsoku/>
        <w:wordWrap w:val="0"/>
        <w:overflowPunct/>
        <w:topLinePunct w:val="0"/>
        <w:autoSpaceDE w:val="0"/>
        <w:autoSpaceDN w:val="0"/>
        <w:bidi w:val="0"/>
        <w:adjustRightInd w:val="0"/>
        <w:snapToGrid w:val="0"/>
        <w:spacing w:after="0" w:line="360" w:lineRule="auto"/>
        <w:ind w:firstLine="480" w:firstLineChars="200"/>
        <w:jc w:val="both"/>
        <w:textAlignment w:val="baseline"/>
        <w:rPr>
          <w:rFonts w:hint="eastAsia" w:ascii="宋体" w:hAnsi="宋体" w:eastAsia="宋体" w:cs="宋体"/>
          <w:snapToGrid w:val="0"/>
          <w:color w:val="000000"/>
          <w:kern w:val="0"/>
          <w:sz w:val="24"/>
          <w:szCs w:val="24"/>
          <w:lang w:val="en-US" w:eastAsia="zh-CN" w:bidi="ar-SA"/>
        </w:rPr>
      </w:pPr>
      <w:r>
        <w:rPr>
          <w:rFonts w:hint="eastAsia" w:ascii="宋体" w:hAnsi="宋体" w:eastAsia="宋体" w:cs="宋体"/>
          <w:snapToGrid w:val="0"/>
          <w:color w:val="000000"/>
          <w:kern w:val="0"/>
          <w:sz w:val="24"/>
          <w:szCs w:val="24"/>
          <w:lang w:val="en-US" w:eastAsia="zh-CN" w:bidi="ar-SA"/>
        </w:rPr>
        <w:t>3.1成交供应商和采购人应在《成交通知书》发出后及时签订政府采购合同，政府采购合同签订之日起1个工作日内，成交供应商应当配合采购人办理合同备案并公示，登录河南省电子化政府采购系统“合同管理”模块，填写合同基本信息，并上传政府采购合同、中标（成交）通知书。政府采购合同公告备案是法定要求，供应商应当配合采购人及时履行备案手续。逾期无故不签订的，按《政府采购竞争性磋商采购方式管理暂行办法》及有关规定处理。</w:t>
      </w:r>
    </w:p>
    <w:p w14:paraId="09FF7EC5">
      <w:pPr>
        <w:keepNext w:val="0"/>
        <w:keepLines w:val="0"/>
        <w:pageBreakBefore w:val="0"/>
        <w:widowControl/>
        <w:kinsoku/>
        <w:wordWrap w:val="0"/>
        <w:overflowPunct/>
        <w:topLinePunct w:val="0"/>
        <w:autoSpaceDE w:val="0"/>
        <w:autoSpaceDN w:val="0"/>
        <w:bidi w:val="0"/>
        <w:adjustRightInd w:val="0"/>
        <w:snapToGrid w:val="0"/>
        <w:spacing w:after="0" w:line="360" w:lineRule="auto"/>
        <w:ind w:firstLine="480" w:firstLineChars="200"/>
        <w:jc w:val="both"/>
        <w:textAlignment w:val="baseline"/>
        <w:rPr>
          <w:rFonts w:hint="eastAsia" w:ascii="宋体" w:hAnsi="宋体" w:eastAsia="宋体" w:cs="宋体"/>
          <w:snapToGrid w:val="0"/>
          <w:color w:val="000000"/>
          <w:kern w:val="0"/>
          <w:sz w:val="24"/>
          <w:szCs w:val="24"/>
          <w:lang w:val="en-US" w:eastAsia="zh-CN" w:bidi="ar-SA"/>
        </w:rPr>
      </w:pPr>
      <w:r>
        <w:rPr>
          <w:rFonts w:hint="eastAsia" w:ascii="宋体" w:hAnsi="宋体" w:eastAsia="宋体" w:cs="宋体"/>
          <w:snapToGrid w:val="0"/>
          <w:color w:val="000000"/>
          <w:kern w:val="0"/>
          <w:sz w:val="24"/>
          <w:szCs w:val="24"/>
          <w:lang w:val="en-US" w:eastAsia="zh-CN" w:bidi="ar-SA"/>
        </w:rPr>
        <w:t>3.2竞争性磋商文件、响应文件、供应商在磋商过程中的承诺以及确认材料，均为合同的有效组成部分。</w:t>
      </w:r>
    </w:p>
    <w:p w14:paraId="124C7B40">
      <w:pPr>
        <w:keepNext w:val="0"/>
        <w:keepLines w:val="0"/>
        <w:pageBreakBefore w:val="0"/>
        <w:widowControl/>
        <w:kinsoku/>
        <w:wordWrap w:val="0"/>
        <w:overflowPunct/>
        <w:topLinePunct w:val="0"/>
        <w:autoSpaceDE w:val="0"/>
        <w:autoSpaceDN w:val="0"/>
        <w:bidi w:val="0"/>
        <w:adjustRightInd w:val="0"/>
        <w:snapToGrid w:val="0"/>
        <w:spacing w:after="0" w:line="360" w:lineRule="auto"/>
        <w:ind w:firstLine="480" w:firstLineChars="200"/>
        <w:jc w:val="both"/>
        <w:textAlignment w:val="baseline"/>
      </w:pPr>
      <w:r>
        <w:rPr>
          <w:rFonts w:hint="eastAsia" w:ascii="宋体" w:hAnsi="宋体" w:eastAsia="宋体" w:cs="宋体"/>
          <w:snapToGrid w:val="0"/>
          <w:color w:val="000000"/>
          <w:kern w:val="0"/>
          <w:sz w:val="24"/>
          <w:szCs w:val="24"/>
          <w:lang w:val="en-US" w:eastAsia="zh-CN" w:bidi="ar-SA"/>
        </w:rPr>
        <w:t>3.3如果成交供应商不按其响应文件承诺和竞争性磋商文件要求签订政府采购合同，采购人将取消其成交资格。</w:t>
      </w:r>
    </w:p>
    <w:p w14:paraId="12AA95E0">
      <w:pPr>
        <w:keepNext w:val="0"/>
        <w:keepLines w:val="0"/>
        <w:pageBreakBefore w:val="0"/>
        <w:kinsoku/>
        <w:overflowPunct/>
        <w:topLinePunct w:val="0"/>
        <w:bidi w:val="0"/>
        <w:spacing w:line="500" w:lineRule="exact"/>
        <w:ind w:firstLine="482" w:firstLineChars="200"/>
        <w:outlineLvl w:val="9"/>
        <w:rPr>
          <w:rFonts w:ascii="宋体" w:hAnsi="宋体" w:eastAsia="宋体" w:cs="宋体"/>
          <w:b/>
          <w:bCs/>
          <w:szCs w:val="24"/>
        </w:rPr>
      </w:pPr>
      <w:bookmarkStart w:id="17" w:name="_Toc14389"/>
      <w:r>
        <w:rPr>
          <w:rFonts w:hint="eastAsia" w:ascii="宋体" w:hAnsi="宋体" w:eastAsia="宋体" w:cs="宋体"/>
          <w:b/>
          <w:bCs/>
          <w:snapToGrid w:val="0"/>
          <w:color w:val="000000"/>
          <w:kern w:val="0"/>
          <w:szCs w:val="24"/>
        </w:rPr>
        <w:t>七、质疑与答复</w:t>
      </w:r>
      <w:bookmarkEnd w:id="17"/>
    </w:p>
    <w:p w14:paraId="635BB264">
      <w:pPr>
        <w:pStyle w:val="12"/>
        <w:keepNext w:val="0"/>
        <w:keepLines w:val="0"/>
        <w:pageBreakBefore w:val="0"/>
        <w:widowControl/>
        <w:kinsoku/>
        <w:wordWrap w:val="0"/>
        <w:overflowPunct/>
        <w:topLinePunct w:val="0"/>
        <w:autoSpaceDE w:val="0"/>
        <w:autoSpaceDN w:val="0"/>
        <w:bidi w:val="0"/>
        <w:adjustRightInd w:val="0"/>
        <w:snapToGrid w:val="0"/>
        <w:spacing w:line="500" w:lineRule="exact"/>
        <w:ind w:firstLine="488" w:firstLineChars="200"/>
        <w:jc w:val="both"/>
        <w:textAlignment w:val="baseline"/>
        <w:rPr>
          <w:rFonts w:hint="eastAsia" w:asciiTheme="minorEastAsia" w:hAnsiTheme="minorEastAsia" w:eastAsiaTheme="minorEastAsia" w:cstheme="minorEastAsia"/>
          <w:snapToGrid w:val="0"/>
          <w:color w:val="000000"/>
          <w:spacing w:val="2"/>
          <w:kern w:val="0"/>
          <w:position w:val="17"/>
          <w:sz w:val="24"/>
          <w:szCs w:val="24"/>
          <w:lang w:val="en-US" w:eastAsia="zh-CN" w:bidi="ar-SA"/>
        </w:rPr>
      </w:pPr>
      <w:r>
        <w:rPr>
          <w:rFonts w:hint="eastAsia" w:asciiTheme="minorEastAsia" w:hAnsiTheme="minorEastAsia" w:eastAsiaTheme="minorEastAsia" w:cstheme="minorEastAsia"/>
          <w:snapToGrid w:val="0"/>
          <w:color w:val="000000"/>
          <w:spacing w:val="2"/>
          <w:kern w:val="0"/>
          <w:position w:val="17"/>
          <w:sz w:val="24"/>
          <w:szCs w:val="24"/>
          <w:lang w:val="en-US" w:eastAsia="zh-CN" w:bidi="ar-SA"/>
        </w:rPr>
        <w:t>1.根据《政府采购质疑和投诉办法》（中华人民共和国财政部第94号令）的有关规定，供应商认为采购文件、采购过程、中标或者成交结果使自己的权益受到损害的，可以在知道或者应知其权益受到损害之日起7个工作日内，以书面形式向采购人、采购代理机构提出质疑。供应商须在法定质疑期内一次性提出针对同一采购程序环节的质疑。</w:t>
      </w:r>
    </w:p>
    <w:p w14:paraId="5352C703">
      <w:pPr>
        <w:pStyle w:val="12"/>
        <w:keepNext w:val="0"/>
        <w:keepLines w:val="0"/>
        <w:pageBreakBefore w:val="0"/>
        <w:widowControl/>
        <w:kinsoku/>
        <w:wordWrap w:val="0"/>
        <w:overflowPunct/>
        <w:topLinePunct w:val="0"/>
        <w:autoSpaceDE w:val="0"/>
        <w:autoSpaceDN w:val="0"/>
        <w:bidi w:val="0"/>
        <w:adjustRightInd w:val="0"/>
        <w:snapToGrid w:val="0"/>
        <w:spacing w:line="500" w:lineRule="exact"/>
        <w:ind w:firstLine="488" w:firstLineChars="200"/>
        <w:jc w:val="both"/>
        <w:textAlignment w:val="baseline"/>
        <w:rPr>
          <w:rFonts w:hint="eastAsia" w:asciiTheme="minorEastAsia" w:hAnsiTheme="minorEastAsia" w:eastAsiaTheme="minorEastAsia" w:cstheme="minorEastAsia"/>
          <w:snapToGrid w:val="0"/>
          <w:color w:val="000000"/>
          <w:spacing w:val="2"/>
          <w:kern w:val="0"/>
          <w:position w:val="17"/>
          <w:sz w:val="24"/>
          <w:szCs w:val="24"/>
          <w:lang w:val="en-US" w:eastAsia="zh-CN" w:bidi="ar-SA"/>
        </w:rPr>
      </w:pPr>
      <w:r>
        <w:rPr>
          <w:rFonts w:hint="eastAsia" w:asciiTheme="minorEastAsia" w:hAnsiTheme="minorEastAsia" w:eastAsiaTheme="minorEastAsia" w:cstheme="minorEastAsia"/>
          <w:snapToGrid w:val="0"/>
          <w:color w:val="000000"/>
          <w:spacing w:val="2"/>
          <w:kern w:val="0"/>
          <w:position w:val="17"/>
          <w:sz w:val="24"/>
          <w:szCs w:val="24"/>
          <w:lang w:val="en-US" w:eastAsia="zh-CN" w:bidi="ar-SA"/>
        </w:rPr>
        <w:t>2.质疑函须按照财政部门发布的质疑函范本格式编制，质疑事项应具体、明确，并有必要的事实依据和法律依据。</w:t>
      </w:r>
    </w:p>
    <w:p w14:paraId="706ED916">
      <w:pPr>
        <w:pStyle w:val="12"/>
        <w:keepNext w:val="0"/>
        <w:keepLines w:val="0"/>
        <w:pageBreakBefore w:val="0"/>
        <w:widowControl/>
        <w:kinsoku/>
        <w:wordWrap w:val="0"/>
        <w:overflowPunct/>
        <w:topLinePunct w:val="0"/>
        <w:autoSpaceDE w:val="0"/>
        <w:autoSpaceDN w:val="0"/>
        <w:bidi w:val="0"/>
        <w:adjustRightInd w:val="0"/>
        <w:snapToGrid w:val="0"/>
        <w:spacing w:line="500" w:lineRule="exact"/>
        <w:ind w:firstLine="488" w:firstLineChars="200"/>
        <w:jc w:val="both"/>
        <w:textAlignment w:val="baseline"/>
        <w:rPr>
          <w:rFonts w:hint="eastAsia" w:asciiTheme="minorEastAsia" w:hAnsiTheme="minorEastAsia" w:eastAsiaTheme="minorEastAsia" w:cstheme="minorEastAsia"/>
          <w:snapToGrid w:val="0"/>
          <w:color w:val="000000"/>
          <w:spacing w:val="2"/>
          <w:kern w:val="0"/>
          <w:position w:val="17"/>
          <w:sz w:val="24"/>
          <w:szCs w:val="24"/>
          <w:lang w:val="en-US" w:eastAsia="zh-CN" w:bidi="ar-SA"/>
        </w:rPr>
      </w:pPr>
      <w:bookmarkStart w:id="18" w:name="_Toc30417"/>
      <w:r>
        <w:rPr>
          <w:rFonts w:hint="eastAsia" w:asciiTheme="minorEastAsia" w:hAnsiTheme="minorEastAsia" w:eastAsiaTheme="minorEastAsia" w:cstheme="minorEastAsia"/>
          <w:snapToGrid w:val="0"/>
          <w:color w:val="000000"/>
          <w:spacing w:val="2"/>
          <w:kern w:val="0"/>
          <w:position w:val="17"/>
          <w:sz w:val="24"/>
          <w:szCs w:val="24"/>
          <w:lang w:val="en-US" w:eastAsia="zh-CN" w:bidi="ar-SA"/>
        </w:rPr>
        <w:t>3.接收质疑的方式：</w:t>
      </w:r>
      <w:bookmarkEnd w:id="18"/>
    </w:p>
    <w:p w14:paraId="533A414A">
      <w:pPr>
        <w:pStyle w:val="12"/>
        <w:keepNext w:val="0"/>
        <w:keepLines w:val="0"/>
        <w:pageBreakBefore w:val="0"/>
        <w:widowControl/>
        <w:kinsoku/>
        <w:wordWrap w:val="0"/>
        <w:overflowPunct/>
        <w:topLinePunct w:val="0"/>
        <w:autoSpaceDE w:val="0"/>
        <w:autoSpaceDN w:val="0"/>
        <w:bidi w:val="0"/>
        <w:adjustRightInd w:val="0"/>
        <w:snapToGrid w:val="0"/>
        <w:spacing w:line="500" w:lineRule="exact"/>
        <w:ind w:firstLine="488" w:firstLineChars="200"/>
        <w:jc w:val="both"/>
        <w:textAlignment w:val="baseline"/>
        <w:rPr>
          <w:rFonts w:hint="eastAsia" w:asciiTheme="minorEastAsia" w:hAnsiTheme="minorEastAsia" w:eastAsiaTheme="minorEastAsia" w:cstheme="minorEastAsia"/>
          <w:snapToGrid w:val="0"/>
          <w:color w:val="000000"/>
          <w:spacing w:val="2"/>
          <w:kern w:val="0"/>
          <w:position w:val="17"/>
          <w:sz w:val="24"/>
          <w:szCs w:val="24"/>
          <w:lang w:val="en-US" w:eastAsia="zh-CN" w:bidi="ar-SA"/>
        </w:rPr>
      </w:pPr>
      <w:r>
        <w:rPr>
          <w:rFonts w:hint="eastAsia" w:asciiTheme="minorEastAsia" w:hAnsiTheme="minorEastAsia" w:eastAsiaTheme="minorEastAsia" w:cstheme="minorEastAsia"/>
          <w:snapToGrid w:val="0"/>
          <w:color w:val="000000"/>
          <w:spacing w:val="2"/>
          <w:kern w:val="0"/>
          <w:position w:val="17"/>
          <w:sz w:val="24"/>
          <w:szCs w:val="24"/>
          <w:lang w:val="en-US" w:eastAsia="zh-CN" w:bidi="ar-SA"/>
        </w:rPr>
        <w:t>3.1在线接收，请质疑人上传质疑函原件扫描件到唐河县公共资源交易系统并电话通知到项目负责人。</w:t>
      </w:r>
    </w:p>
    <w:p w14:paraId="1B5B6AAF">
      <w:pPr>
        <w:pStyle w:val="12"/>
        <w:keepNext w:val="0"/>
        <w:keepLines w:val="0"/>
        <w:pageBreakBefore w:val="0"/>
        <w:widowControl/>
        <w:kinsoku/>
        <w:wordWrap w:val="0"/>
        <w:overflowPunct/>
        <w:topLinePunct w:val="0"/>
        <w:autoSpaceDE w:val="0"/>
        <w:autoSpaceDN w:val="0"/>
        <w:bidi w:val="0"/>
        <w:adjustRightInd w:val="0"/>
        <w:snapToGrid w:val="0"/>
        <w:spacing w:line="500" w:lineRule="exact"/>
        <w:ind w:firstLine="488" w:firstLineChars="200"/>
        <w:jc w:val="both"/>
        <w:textAlignment w:val="baseline"/>
        <w:rPr>
          <w:rFonts w:hint="eastAsia" w:asciiTheme="minorEastAsia" w:hAnsiTheme="minorEastAsia" w:eastAsiaTheme="minorEastAsia" w:cstheme="minorEastAsia"/>
          <w:snapToGrid w:val="0"/>
          <w:color w:val="000000"/>
          <w:spacing w:val="2"/>
          <w:kern w:val="0"/>
          <w:position w:val="17"/>
          <w:sz w:val="24"/>
          <w:szCs w:val="24"/>
          <w:lang w:val="en-US" w:eastAsia="zh-CN" w:bidi="ar-SA"/>
        </w:rPr>
      </w:pPr>
      <w:r>
        <w:rPr>
          <w:rFonts w:hint="eastAsia" w:asciiTheme="minorEastAsia" w:hAnsiTheme="minorEastAsia" w:eastAsiaTheme="minorEastAsia" w:cstheme="minorEastAsia"/>
          <w:snapToGrid w:val="0"/>
          <w:color w:val="000000"/>
          <w:spacing w:val="2"/>
          <w:kern w:val="0"/>
          <w:position w:val="17"/>
          <w:sz w:val="24"/>
          <w:szCs w:val="24"/>
          <w:lang w:val="en-US" w:eastAsia="zh-CN" w:bidi="ar-SA"/>
        </w:rPr>
        <w:t>3.2书面提交，请质疑人将质疑函原件送达或邮寄至采购单位联系人和采购代理机构项目负责人，联系方式及地址详见采购公告。</w:t>
      </w:r>
    </w:p>
    <w:p w14:paraId="547C7E7D">
      <w:pPr>
        <w:pStyle w:val="12"/>
        <w:keepNext w:val="0"/>
        <w:keepLines w:val="0"/>
        <w:pageBreakBefore w:val="0"/>
        <w:widowControl/>
        <w:kinsoku/>
        <w:wordWrap w:val="0"/>
        <w:overflowPunct/>
        <w:topLinePunct w:val="0"/>
        <w:autoSpaceDE w:val="0"/>
        <w:autoSpaceDN w:val="0"/>
        <w:bidi w:val="0"/>
        <w:adjustRightInd w:val="0"/>
        <w:snapToGrid w:val="0"/>
        <w:spacing w:line="500" w:lineRule="exact"/>
        <w:ind w:firstLine="488" w:firstLineChars="200"/>
        <w:jc w:val="both"/>
        <w:textAlignment w:val="baseline"/>
        <w:rPr>
          <w:rFonts w:hint="eastAsia" w:asciiTheme="minorEastAsia" w:hAnsiTheme="minorEastAsia" w:eastAsiaTheme="minorEastAsia" w:cstheme="minorEastAsia"/>
          <w:snapToGrid w:val="0"/>
          <w:color w:val="000000"/>
          <w:spacing w:val="2"/>
          <w:kern w:val="0"/>
          <w:position w:val="17"/>
          <w:sz w:val="24"/>
          <w:szCs w:val="24"/>
          <w:lang w:val="en-US" w:eastAsia="zh-CN" w:bidi="ar-SA"/>
        </w:rPr>
      </w:pPr>
      <w:r>
        <w:rPr>
          <w:rFonts w:hint="eastAsia" w:asciiTheme="minorEastAsia" w:hAnsiTheme="minorEastAsia" w:eastAsiaTheme="minorEastAsia" w:cstheme="minorEastAsia"/>
          <w:snapToGrid w:val="0"/>
          <w:color w:val="000000"/>
          <w:spacing w:val="2"/>
          <w:kern w:val="0"/>
          <w:position w:val="17"/>
          <w:sz w:val="24"/>
          <w:szCs w:val="24"/>
          <w:lang w:val="en-US" w:eastAsia="zh-CN" w:bidi="ar-SA"/>
        </w:rPr>
        <w:t>4.超出法定质疑期的、重复提出的、分次提出的或内容、形式不符合《政府采购质疑和投诉办法》的，采购人和采购代理机构可以拒收，质疑供应商将依法承担不利后果。</w:t>
      </w:r>
    </w:p>
    <w:p w14:paraId="6E1DA1AA">
      <w:pPr>
        <w:pStyle w:val="12"/>
        <w:keepNext w:val="0"/>
        <w:keepLines w:val="0"/>
        <w:pageBreakBefore w:val="0"/>
        <w:widowControl/>
        <w:kinsoku/>
        <w:wordWrap w:val="0"/>
        <w:overflowPunct/>
        <w:topLinePunct w:val="0"/>
        <w:autoSpaceDE w:val="0"/>
        <w:autoSpaceDN w:val="0"/>
        <w:bidi w:val="0"/>
        <w:adjustRightInd w:val="0"/>
        <w:snapToGrid w:val="0"/>
        <w:spacing w:line="500" w:lineRule="exact"/>
        <w:ind w:firstLine="488" w:firstLineChars="200"/>
        <w:jc w:val="both"/>
        <w:textAlignment w:val="baseline"/>
        <w:rPr>
          <w:rFonts w:ascii="宋体" w:hAnsi="宋体" w:eastAsia="宋体" w:cs="宋体"/>
          <w:szCs w:val="24"/>
        </w:rPr>
      </w:pPr>
      <w:r>
        <w:rPr>
          <w:rFonts w:hint="eastAsia" w:asciiTheme="minorEastAsia" w:hAnsiTheme="minorEastAsia" w:eastAsiaTheme="minorEastAsia" w:cstheme="minorEastAsia"/>
          <w:snapToGrid w:val="0"/>
          <w:color w:val="000000"/>
          <w:spacing w:val="2"/>
          <w:kern w:val="0"/>
          <w:position w:val="17"/>
          <w:sz w:val="24"/>
          <w:szCs w:val="24"/>
          <w:lang w:val="en-US" w:eastAsia="zh-CN" w:bidi="ar-SA"/>
        </w:rPr>
        <w:t>5.采购人和采购代理机构在收到质疑函后7个工作日内作出答复，并以书面形式通知质疑供应商和其他有关供应商。</w:t>
      </w:r>
    </w:p>
    <w:p w14:paraId="56373517">
      <w:pPr>
        <w:keepNext w:val="0"/>
        <w:keepLines w:val="0"/>
        <w:pageBreakBefore w:val="0"/>
        <w:kinsoku/>
        <w:overflowPunct/>
        <w:topLinePunct w:val="0"/>
        <w:bidi w:val="0"/>
        <w:spacing w:line="500" w:lineRule="exact"/>
        <w:ind w:firstLine="482" w:firstLineChars="200"/>
        <w:outlineLvl w:val="9"/>
        <w:rPr>
          <w:rFonts w:ascii="宋体" w:hAnsi="宋体" w:eastAsia="宋体" w:cs="宋体"/>
          <w:b/>
          <w:bCs/>
          <w:szCs w:val="24"/>
        </w:rPr>
      </w:pPr>
      <w:bookmarkStart w:id="19" w:name="_Toc25861"/>
      <w:r>
        <w:rPr>
          <w:rFonts w:hint="eastAsia" w:ascii="宋体" w:hAnsi="宋体" w:eastAsia="宋体" w:cs="宋体"/>
          <w:b/>
          <w:bCs/>
          <w:snapToGrid w:val="0"/>
          <w:color w:val="000000"/>
          <w:kern w:val="0"/>
          <w:szCs w:val="24"/>
        </w:rPr>
        <w:t>八、注意事项</w:t>
      </w:r>
      <w:bookmarkEnd w:id="19"/>
    </w:p>
    <w:p w14:paraId="4D814880">
      <w:pPr>
        <w:keepNext w:val="0"/>
        <w:keepLines w:val="0"/>
        <w:pageBreakBefore w:val="0"/>
        <w:kinsoku/>
        <w:overflowPunct/>
        <w:topLinePunct w:val="0"/>
        <w:bidi w:val="0"/>
        <w:spacing w:line="500" w:lineRule="exact"/>
        <w:ind w:firstLine="480" w:firstLineChars="200"/>
        <w:rPr>
          <w:rFonts w:ascii="宋体" w:hAnsi="宋体" w:eastAsia="宋体" w:cs="宋体"/>
          <w:szCs w:val="24"/>
        </w:rPr>
      </w:pPr>
      <w:r>
        <w:rPr>
          <w:rFonts w:hint="eastAsia" w:ascii="宋体" w:hAnsi="宋体" w:eastAsia="宋体" w:cs="宋体"/>
          <w:snapToGrid w:val="0"/>
          <w:color w:val="000000"/>
          <w:kern w:val="0"/>
          <w:szCs w:val="24"/>
        </w:rPr>
        <w:t>1.如对竞争性磋商文件有疑问，应于响应文件递交截止时间前1工作日向采购人或采购代理机构提出。</w:t>
      </w:r>
    </w:p>
    <w:p w14:paraId="67B1010E">
      <w:pPr>
        <w:keepNext w:val="0"/>
        <w:keepLines w:val="0"/>
        <w:pageBreakBefore w:val="0"/>
        <w:kinsoku/>
        <w:overflowPunct/>
        <w:topLinePunct w:val="0"/>
        <w:bidi w:val="0"/>
        <w:spacing w:line="500" w:lineRule="exact"/>
        <w:ind w:firstLine="480" w:firstLineChars="200"/>
        <w:rPr>
          <w:rFonts w:ascii="宋体" w:hAnsi="宋体" w:eastAsia="宋体" w:cs="宋体"/>
          <w:szCs w:val="24"/>
        </w:rPr>
      </w:pPr>
      <w:r>
        <w:rPr>
          <w:rFonts w:hint="eastAsia" w:ascii="宋体" w:hAnsi="宋体" w:eastAsia="宋体" w:cs="宋体"/>
          <w:snapToGrid w:val="0"/>
          <w:color w:val="000000"/>
          <w:kern w:val="0"/>
          <w:szCs w:val="24"/>
        </w:rPr>
        <w:t>2.供应商必须由法定代表人或授权代表参加磋商，随时接受磋商小组的询问、质疑，并按照磋商小组的要求答复。</w:t>
      </w:r>
    </w:p>
    <w:p w14:paraId="01177302">
      <w:pPr>
        <w:keepNext w:val="0"/>
        <w:keepLines w:val="0"/>
        <w:pageBreakBefore w:val="0"/>
        <w:kinsoku/>
        <w:overflowPunct/>
        <w:topLinePunct w:val="0"/>
        <w:bidi w:val="0"/>
        <w:spacing w:line="500" w:lineRule="exact"/>
        <w:ind w:firstLine="480" w:firstLineChars="200"/>
        <w:rPr>
          <w:rFonts w:ascii="宋体" w:hAnsi="宋体" w:eastAsia="宋体" w:cs="宋体"/>
          <w:szCs w:val="24"/>
        </w:rPr>
      </w:pPr>
      <w:r>
        <w:rPr>
          <w:rFonts w:hint="eastAsia" w:ascii="宋体" w:hAnsi="宋体" w:eastAsia="宋体" w:cs="宋体"/>
          <w:snapToGrid w:val="0"/>
          <w:color w:val="000000"/>
          <w:kern w:val="0"/>
          <w:szCs w:val="24"/>
        </w:rPr>
        <w:t>3.供应商自行承担参加竞争性磋商的全部费用。</w:t>
      </w:r>
    </w:p>
    <w:p w14:paraId="5655B379">
      <w:pPr>
        <w:keepNext w:val="0"/>
        <w:keepLines w:val="0"/>
        <w:pageBreakBefore w:val="0"/>
        <w:kinsoku/>
        <w:overflowPunct/>
        <w:topLinePunct w:val="0"/>
        <w:bidi w:val="0"/>
        <w:spacing w:line="500" w:lineRule="exact"/>
        <w:ind w:firstLine="480" w:firstLineChars="200"/>
        <w:rPr>
          <w:rFonts w:asciiTheme="minorEastAsia" w:hAnsiTheme="minorEastAsia" w:cstheme="minorEastAsia"/>
          <w:spacing w:val="2"/>
          <w:position w:val="17"/>
          <w:szCs w:val="24"/>
        </w:rPr>
      </w:pPr>
      <w:r>
        <w:rPr>
          <w:rFonts w:hint="eastAsia" w:ascii="宋体" w:hAnsi="宋体" w:eastAsia="宋体" w:cs="宋体"/>
          <w:snapToGrid w:val="0"/>
          <w:color w:val="000000"/>
          <w:kern w:val="0"/>
          <w:szCs w:val="24"/>
        </w:rPr>
        <w:t>4.本竞争性磋商文件最终解释权归采购代理机构。</w:t>
      </w:r>
    </w:p>
    <w:p w14:paraId="5FB608CD">
      <w:pPr>
        <w:pStyle w:val="2"/>
        <w:bidi w:val="0"/>
        <w:jc w:val="center"/>
        <w:rPr>
          <w:rFonts w:hint="eastAsia"/>
          <w:sz w:val="36"/>
          <w:szCs w:val="48"/>
        </w:rPr>
      </w:pPr>
      <w:bookmarkStart w:id="20" w:name="_Toc29365"/>
      <w:bookmarkStart w:id="21" w:name="_Toc30520"/>
      <w:bookmarkStart w:id="22" w:name="_Toc28683"/>
    </w:p>
    <w:p w14:paraId="354E0825">
      <w:pPr>
        <w:pStyle w:val="2"/>
        <w:bidi w:val="0"/>
        <w:jc w:val="center"/>
        <w:rPr>
          <w:rFonts w:hint="eastAsia"/>
          <w:sz w:val="36"/>
          <w:szCs w:val="48"/>
        </w:rPr>
      </w:pPr>
    </w:p>
    <w:p w14:paraId="33295BA0">
      <w:pPr>
        <w:rPr>
          <w:rFonts w:hint="eastAsia"/>
          <w:sz w:val="36"/>
          <w:szCs w:val="48"/>
        </w:rPr>
      </w:pPr>
    </w:p>
    <w:p w14:paraId="1FCF9632">
      <w:pPr>
        <w:rPr>
          <w:rFonts w:hint="eastAsia"/>
          <w:sz w:val="36"/>
          <w:szCs w:val="48"/>
        </w:rPr>
      </w:pPr>
    </w:p>
    <w:p w14:paraId="2543B65B">
      <w:pPr>
        <w:rPr>
          <w:rFonts w:hint="eastAsia"/>
          <w:sz w:val="36"/>
          <w:szCs w:val="48"/>
        </w:rPr>
      </w:pPr>
    </w:p>
    <w:p w14:paraId="0F8B7DB6">
      <w:pPr>
        <w:rPr>
          <w:rFonts w:hint="eastAsia"/>
          <w:sz w:val="36"/>
          <w:szCs w:val="48"/>
        </w:rPr>
      </w:pPr>
    </w:p>
    <w:p w14:paraId="03A6C301">
      <w:pPr>
        <w:rPr>
          <w:rFonts w:hint="eastAsia"/>
          <w:sz w:val="36"/>
          <w:szCs w:val="48"/>
        </w:rPr>
      </w:pPr>
    </w:p>
    <w:p w14:paraId="56AEFA11">
      <w:pPr>
        <w:rPr>
          <w:rFonts w:hint="eastAsia"/>
          <w:sz w:val="36"/>
          <w:szCs w:val="48"/>
        </w:rPr>
      </w:pPr>
    </w:p>
    <w:p w14:paraId="563DAAD4">
      <w:pPr>
        <w:rPr>
          <w:rFonts w:hint="eastAsia"/>
          <w:sz w:val="36"/>
          <w:szCs w:val="48"/>
        </w:rPr>
      </w:pPr>
    </w:p>
    <w:p w14:paraId="308B00A8">
      <w:pPr>
        <w:rPr>
          <w:rFonts w:hint="eastAsia"/>
          <w:sz w:val="36"/>
          <w:szCs w:val="48"/>
        </w:rPr>
      </w:pPr>
    </w:p>
    <w:p w14:paraId="357E073D">
      <w:pPr>
        <w:rPr>
          <w:rFonts w:hint="eastAsia"/>
          <w:sz w:val="36"/>
          <w:szCs w:val="48"/>
        </w:rPr>
      </w:pPr>
    </w:p>
    <w:p w14:paraId="456775DE">
      <w:pPr>
        <w:rPr>
          <w:rFonts w:hint="eastAsia"/>
          <w:sz w:val="36"/>
          <w:szCs w:val="48"/>
        </w:rPr>
      </w:pPr>
    </w:p>
    <w:p w14:paraId="11BE0F46">
      <w:pPr>
        <w:rPr>
          <w:rFonts w:hint="eastAsia"/>
          <w:sz w:val="36"/>
          <w:szCs w:val="48"/>
        </w:rPr>
      </w:pPr>
    </w:p>
    <w:p w14:paraId="739CBB2A">
      <w:pPr>
        <w:rPr>
          <w:rFonts w:hint="eastAsia"/>
          <w:sz w:val="36"/>
          <w:szCs w:val="48"/>
        </w:rPr>
      </w:pPr>
    </w:p>
    <w:p w14:paraId="3A68C61D">
      <w:pPr>
        <w:rPr>
          <w:rFonts w:hint="eastAsia"/>
          <w:sz w:val="36"/>
          <w:szCs w:val="48"/>
        </w:rPr>
      </w:pPr>
    </w:p>
    <w:p w14:paraId="7864392C">
      <w:pPr>
        <w:rPr>
          <w:rFonts w:hint="eastAsia"/>
          <w:sz w:val="36"/>
          <w:szCs w:val="48"/>
        </w:rPr>
      </w:pPr>
    </w:p>
    <w:p w14:paraId="4D8BF8FC">
      <w:pPr>
        <w:rPr>
          <w:rFonts w:hint="eastAsia"/>
          <w:sz w:val="36"/>
          <w:szCs w:val="48"/>
        </w:rPr>
      </w:pPr>
    </w:p>
    <w:p w14:paraId="6CAE1258">
      <w:pPr>
        <w:rPr>
          <w:rFonts w:hint="eastAsia"/>
          <w:sz w:val="36"/>
          <w:szCs w:val="48"/>
        </w:rPr>
      </w:pPr>
    </w:p>
    <w:p w14:paraId="514EDD38">
      <w:pPr>
        <w:rPr>
          <w:rFonts w:hint="eastAsia"/>
          <w:sz w:val="36"/>
          <w:szCs w:val="48"/>
        </w:rPr>
      </w:pPr>
    </w:p>
    <w:p w14:paraId="11B617DA">
      <w:pPr>
        <w:rPr>
          <w:rFonts w:hint="eastAsia"/>
          <w:sz w:val="36"/>
          <w:szCs w:val="48"/>
        </w:rPr>
      </w:pPr>
    </w:p>
    <w:p w14:paraId="4DEF581A">
      <w:pPr>
        <w:rPr>
          <w:rFonts w:hint="eastAsia"/>
          <w:sz w:val="36"/>
          <w:szCs w:val="48"/>
        </w:rPr>
      </w:pPr>
    </w:p>
    <w:p w14:paraId="3CC8786C">
      <w:pPr>
        <w:rPr>
          <w:rFonts w:hint="eastAsia"/>
          <w:sz w:val="36"/>
          <w:szCs w:val="48"/>
        </w:rPr>
      </w:pPr>
    </w:p>
    <w:p w14:paraId="7AFF55DC">
      <w:pPr>
        <w:rPr>
          <w:rFonts w:hint="eastAsia"/>
          <w:sz w:val="36"/>
          <w:szCs w:val="48"/>
        </w:rPr>
      </w:pPr>
    </w:p>
    <w:p w14:paraId="40F1D649">
      <w:pPr>
        <w:rPr>
          <w:rFonts w:hint="eastAsia"/>
          <w:sz w:val="36"/>
          <w:szCs w:val="48"/>
        </w:rPr>
      </w:pPr>
    </w:p>
    <w:p w14:paraId="0BD88BD5">
      <w:pPr>
        <w:rPr>
          <w:rFonts w:hint="eastAsia"/>
          <w:sz w:val="36"/>
          <w:szCs w:val="48"/>
        </w:rPr>
      </w:pPr>
    </w:p>
    <w:p w14:paraId="2DF9DF92">
      <w:pPr>
        <w:rPr>
          <w:rFonts w:hint="eastAsia"/>
          <w:sz w:val="36"/>
          <w:szCs w:val="48"/>
        </w:rPr>
      </w:pPr>
    </w:p>
    <w:p w14:paraId="585ECF1C">
      <w:pPr>
        <w:rPr>
          <w:rFonts w:hint="eastAsia"/>
          <w:sz w:val="36"/>
          <w:szCs w:val="48"/>
        </w:rPr>
      </w:pPr>
    </w:p>
    <w:p w14:paraId="07852B8F">
      <w:pPr>
        <w:rPr>
          <w:rFonts w:hint="eastAsia"/>
          <w:sz w:val="36"/>
          <w:szCs w:val="48"/>
        </w:rPr>
      </w:pPr>
    </w:p>
    <w:p w14:paraId="794952FE">
      <w:pPr>
        <w:pStyle w:val="2"/>
        <w:bidi w:val="0"/>
        <w:jc w:val="center"/>
      </w:pPr>
      <w:r>
        <w:rPr>
          <w:rFonts w:hint="eastAsia"/>
          <w:sz w:val="36"/>
          <w:szCs w:val="48"/>
        </w:rPr>
        <w:t>第五章   合同草案条款</w:t>
      </w:r>
      <w:bookmarkEnd w:id="20"/>
      <w:bookmarkEnd w:id="21"/>
      <w:bookmarkEnd w:id="22"/>
    </w:p>
    <w:p w14:paraId="5331FDFA">
      <w:pPr>
        <w:pStyle w:val="29"/>
        <w:spacing w:line="360" w:lineRule="auto"/>
        <w:jc w:val="center"/>
        <w:rPr>
          <w:rFonts w:ascii="宋体" w:hAnsi="宋体"/>
          <w:sz w:val="32"/>
          <w:szCs w:val="24"/>
        </w:rPr>
      </w:pPr>
      <w:r>
        <w:rPr>
          <w:rFonts w:hint="eastAsia" w:ascii="宋体" w:hAnsi="宋体"/>
          <w:sz w:val="32"/>
          <w:szCs w:val="24"/>
        </w:rPr>
        <w:t>（签订合同时双方自拟）</w:t>
      </w:r>
    </w:p>
    <w:p w14:paraId="763A204A">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r>
        <w:rPr>
          <w:rFonts w:hint="eastAsia"/>
          <w:sz w:val="24"/>
        </w:rPr>
        <w:t>《中华人民共和国招标投标法》、《中华人民共和国政府采购法》和其他法律、法规的规定，并按照公正、平等、自愿、诚实信用的原则，同意按照以下条款和条件，签署本合同。</w:t>
      </w:r>
    </w:p>
    <w:p w14:paraId="52D1BF1A">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23" w:name="_Toc22466_WPSOffice_Level2"/>
      <w:r>
        <w:rPr>
          <w:rFonts w:hint="eastAsia"/>
          <w:sz w:val="24"/>
        </w:rPr>
        <w:t>合同文件</w:t>
      </w:r>
      <w:bookmarkEnd w:id="23"/>
    </w:p>
    <w:p w14:paraId="4F3FD9FD">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24" w:name="_Toc20611"/>
      <w:bookmarkStart w:id="25" w:name="_Toc25689"/>
      <w:r>
        <w:rPr>
          <w:rFonts w:hint="eastAsia"/>
          <w:sz w:val="24"/>
        </w:rPr>
        <w:t>本合同所附下列文件是构成本合同不可分割的部分：</w:t>
      </w:r>
      <w:bookmarkEnd w:id="24"/>
      <w:bookmarkEnd w:id="25"/>
    </w:p>
    <w:p w14:paraId="4CC57671">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26" w:name="_Toc25255"/>
      <w:bookmarkStart w:id="27" w:name="_Toc12304"/>
      <w:r>
        <w:rPr>
          <w:rFonts w:hint="eastAsia"/>
          <w:sz w:val="24"/>
        </w:rPr>
        <w:t>（一）本项目</w:t>
      </w:r>
      <w:r>
        <w:rPr>
          <w:rFonts w:hint="eastAsia"/>
          <w:sz w:val="24"/>
          <w:lang w:val="en-US" w:eastAsia="zh-CN"/>
        </w:rPr>
        <w:t>磋商</w:t>
      </w:r>
      <w:r>
        <w:rPr>
          <w:rFonts w:hint="eastAsia"/>
          <w:sz w:val="24"/>
        </w:rPr>
        <w:t>文件</w:t>
      </w:r>
      <w:bookmarkEnd w:id="26"/>
      <w:bookmarkEnd w:id="27"/>
    </w:p>
    <w:p w14:paraId="574F046E">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28" w:name="_Toc8524"/>
      <w:bookmarkStart w:id="29" w:name="_Toc3310"/>
      <w:r>
        <w:rPr>
          <w:rFonts w:hint="eastAsia"/>
          <w:sz w:val="24"/>
        </w:rPr>
        <w:t>（二）</w:t>
      </w:r>
      <w:r>
        <w:rPr>
          <w:rFonts w:hint="eastAsia"/>
          <w:sz w:val="24"/>
          <w:lang w:val="en-US" w:eastAsia="zh-CN"/>
        </w:rPr>
        <w:t>供应商</w:t>
      </w:r>
      <w:r>
        <w:rPr>
          <w:rFonts w:hint="eastAsia"/>
          <w:sz w:val="24"/>
        </w:rPr>
        <w:t>的</w:t>
      </w:r>
      <w:r>
        <w:rPr>
          <w:rFonts w:hint="eastAsia"/>
          <w:sz w:val="24"/>
          <w:lang w:val="en-US" w:eastAsia="zh-CN"/>
        </w:rPr>
        <w:t>响应</w:t>
      </w:r>
      <w:r>
        <w:rPr>
          <w:rFonts w:hint="eastAsia"/>
          <w:sz w:val="24"/>
        </w:rPr>
        <w:t>文件</w:t>
      </w:r>
      <w:bookmarkEnd w:id="28"/>
      <w:bookmarkEnd w:id="29"/>
    </w:p>
    <w:p w14:paraId="0E63E8C3">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30" w:name="_Toc13552"/>
      <w:bookmarkStart w:id="31" w:name="_Toc11043"/>
      <w:r>
        <w:rPr>
          <w:rFonts w:hint="eastAsia"/>
          <w:sz w:val="24"/>
        </w:rPr>
        <w:t>（三）合同格式、合同条款</w:t>
      </w:r>
      <w:bookmarkEnd w:id="30"/>
      <w:bookmarkEnd w:id="31"/>
    </w:p>
    <w:p w14:paraId="4AABE14C">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32" w:name="_Toc17684"/>
      <w:bookmarkStart w:id="33" w:name="_Toc3434"/>
      <w:r>
        <w:rPr>
          <w:rFonts w:hint="eastAsia"/>
          <w:sz w:val="24"/>
        </w:rPr>
        <w:t>（四）中标人在评标过程中做出的有关澄清、说明或者补正文件</w:t>
      </w:r>
      <w:bookmarkEnd w:id="32"/>
      <w:bookmarkEnd w:id="33"/>
    </w:p>
    <w:p w14:paraId="25610F4E">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34" w:name="_Toc17949"/>
      <w:bookmarkStart w:id="35" w:name="_Toc24029"/>
      <w:r>
        <w:rPr>
          <w:rFonts w:hint="eastAsia"/>
          <w:sz w:val="24"/>
        </w:rPr>
        <w:t>（五）</w:t>
      </w:r>
      <w:r>
        <w:rPr>
          <w:rFonts w:hint="eastAsia"/>
          <w:sz w:val="24"/>
          <w:lang w:val="en-US" w:eastAsia="zh-CN"/>
        </w:rPr>
        <w:t>成交</w:t>
      </w:r>
      <w:r>
        <w:rPr>
          <w:rFonts w:hint="eastAsia"/>
          <w:sz w:val="24"/>
        </w:rPr>
        <w:t>通知书</w:t>
      </w:r>
      <w:bookmarkEnd w:id="34"/>
      <w:bookmarkEnd w:id="35"/>
    </w:p>
    <w:p w14:paraId="2DB623D8">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36" w:name="_Toc4313"/>
      <w:bookmarkStart w:id="37" w:name="_Toc25248"/>
      <w:r>
        <w:rPr>
          <w:rFonts w:hint="eastAsia"/>
          <w:sz w:val="24"/>
        </w:rPr>
        <w:t>（六）本合同附件</w:t>
      </w:r>
      <w:bookmarkEnd w:id="36"/>
      <w:bookmarkEnd w:id="37"/>
    </w:p>
    <w:p w14:paraId="6F311594">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38" w:name="_Toc7727"/>
      <w:bookmarkStart w:id="39" w:name="_Toc13630_WPSOffice_Level2"/>
      <w:bookmarkStart w:id="40" w:name="_Toc24717"/>
      <w:r>
        <w:rPr>
          <w:rFonts w:hint="eastAsia"/>
          <w:sz w:val="24"/>
        </w:rPr>
        <w:t>二、合同的范围和条件</w:t>
      </w:r>
      <w:bookmarkEnd w:id="38"/>
      <w:bookmarkEnd w:id="39"/>
      <w:bookmarkEnd w:id="40"/>
    </w:p>
    <w:p w14:paraId="3BE018E5">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r>
        <w:rPr>
          <w:rFonts w:hint="eastAsia"/>
          <w:sz w:val="24"/>
        </w:rPr>
        <w:t>本合同的范围和条件应与上述合同文件的规定相一致。</w:t>
      </w:r>
    </w:p>
    <w:p w14:paraId="1EAB8CF4">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r>
        <w:rPr>
          <w:rFonts w:hint="eastAsia"/>
          <w:sz w:val="24"/>
        </w:rPr>
        <w:t xml:space="preserve"> </w:t>
      </w:r>
      <w:bookmarkStart w:id="41" w:name="_Toc18794"/>
      <w:bookmarkStart w:id="42" w:name="_Toc21864"/>
      <w:bookmarkStart w:id="43" w:name="_Toc15521_WPSOffice_Level2"/>
      <w:r>
        <w:rPr>
          <w:rFonts w:hint="eastAsia"/>
          <w:sz w:val="24"/>
        </w:rPr>
        <w:t>三、合同金额</w:t>
      </w:r>
      <w:bookmarkEnd w:id="41"/>
      <w:bookmarkEnd w:id="42"/>
      <w:bookmarkEnd w:id="43"/>
    </w:p>
    <w:p w14:paraId="0435953A">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44" w:name="_Toc15284"/>
      <w:bookmarkStart w:id="45" w:name="_Toc12265"/>
      <w:r>
        <w:rPr>
          <w:rFonts w:hint="eastAsia"/>
          <w:sz w:val="24"/>
        </w:rPr>
        <w:t xml:space="preserve">合同总金额：人民币： </w:t>
      </w:r>
      <w:r>
        <w:rPr>
          <w:rFonts w:hint="eastAsia"/>
          <w:sz w:val="24"/>
        </w:rPr>
        <w:tab/>
      </w:r>
      <w:r>
        <w:rPr>
          <w:rFonts w:hint="eastAsia"/>
          <w:sz w:val="24"/>
        </w:rPr>
        <w:t xml:space="preserve">元（大写） 人民币： </w:t>
      </w:r>
      <w:r>
        <w:rPr>
          <w:rFonts w:hint="eastAsia"/>
          <w:sz w:val="24"/>
        </w:rPr>
        <w:tab/>
      </w:r>
      <w:r>
        <w:rPr>
          <w:rFonts w:hint="eastAsia"/>
          <w:sz w:val="24"/>
        </w:rPr>
        <w:t>元（小写）</w:t>
      </w:r>
      <w:bookmarkEnd w:id="44"/>
      <w:bookmarkEnd w:id="45"/>
    </w:p>
    <w:p w14:paraId="346EC7D9">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46" w:name="_Toc26017_WPSOffice_Level2"/>
      <w:r>
        <w:rPr>
          <w:rFonts w:hint="eastAsia"/>
          <w:sz w:val="24"/>
        </w:rPr>
        <w:t>质量要求：</w:t>
      </w:r>
      <w:bookmarkEnd w:id="46"/>
    </w:p>
    <w:p w14:paraId="39506C60">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lang w:val="en-US" w:eastAsia="zh-CN"/>
        </w:rPr>
      </w:pPr>
      <w:bookmarkStart w:id="47" w:name="_Toc4377_WPSOffice_Level2"/>
      <w:r>
        <w:rPr>
          <w:rFonts w:hint="eastAsia"/>
          <w:sz w:val="24"/>
        </w:rPr>
        <w:t>付款方式</w:t>
      </w:r>
      <w:bookmarkEnd w:id="47"/>
    </w:p>
    <w:p w14:paraId="5E241CD4">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lang w:val="en-US" w:eastAsia="zh-CN"/>
        </w:rPr>
      </w:pPr>
      <w:r>
        <w:rPr>
          <w:rFonts w:hint="eastAsia"/>
          <w:sz w:val="24"/>
        </w:rPr>
        <w:t>付款方式：</w:t>
      </w:r>
      <w:r>
        <w:rPr>
          <w:rFonts w:hint="eastAsia"/>
          <w:sz w:val="24"/>
          <w:lang w:val="en-US" w:eastAsia="zh-CN"/>
        </w:rPr>
        <w:t xml:space="preserve">                                          </w:t>
      </w:r>
    </w:p>
    <w:p w14:paraId="3A35E935">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48" w:name="_Toc12155_WPSOffice_Level2"/>
      <w:r>
        <w:rPr>
          <w:rFonts w:hint="eastAsia"/>
          <w:sz w:val="24"/>
        </w:rPr>
        <w:t>服务日期、地点</w:t>
      </w:r>
      <w:bookmarkEnd w:id="48"/>
    </w:p>
    <w:p w14:paraId="5200B12A">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r>
        <w:rPr>
          <w:rFonts w:hint="eastAsia"/>
          <w:sz w:val="24"/>
        </w:rPr>
        <w:t xml:space="preserve">服务时间：于 </w:t>
      </w:r>
      <w:r>
        <w:rPr>
          <w:rFonts w:hint="eastAsia"/>
          <w:sz w:val="24"/>
        </w:rPr>
        <w:tab/>
      </w:r>
      <w:r>
        <w:rPr>
          <w:rFonts w:hint="eastAsia"/>
          <w:sz w:val="24"/>
        </w:rPr>
        <w:t xml:space="preserve">年 </w:t>
      </w:r>
      <w:r>
        <w:rPr>
          <w:rFonts w:hint="eastAsia"/>
          <w:sz w:val="24"/>
        </w:rPr>
        <w:tab/>
      </w:r>
      <w:r>
        <w:rPr>
          <w:rFonts w:hint="eastAsia"/>
          <w:sz w:val="24"/>
        </w:rPr>
        <w:t xml:space="preserve">月 </w:t>
      </w:r>
      <w:r>
        <w:rPr>
          <w:rFonts w:hint="eastAsia"/>
          <w:sz w:val="24"/>
        </w:rPr>
        <w:tab/>
      </w:r>
      <w:r>
        <w:rPr>
          <w:rFonts w:hint="eastAsia"/>
          <w:sz w:val="24"/>
        </w:rPr>
        <w:t>日以前完成。</w:t>
      </w:r>
    </w:p>
    <w:p w14:paraId="670CAA4D">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r>
        <w:rPr>
          <w:rFonts w:hint="eastAsia"/>
          <w:sz w:val="24"/>
        </w:rPr>
        <w:t>地点：甲方指定地点。</w:t>
      </w:r>
    </w:p>
    <w:p w14:paraId="5E2DAFFE">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49" w:name="_Toc30055_WPSOffice_Level2"/>
      <w:r>
        <w:rPr>
          <w:rFonts w:hint="eastAsia"/>
          <w:sz w:val="24"/>
        </w:rPr>
        <w:t>合同保存</w:t>
      </w:r>
      <w:bookmarkEnd w:id="49"/>
    </w:p>
    <w:p w14:paraId="0CD2FEE1">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r>
        <w:rPr>
          <w:rFonts w:hint="eastAsia"/>
          <w:sz w:val="24"/>
        </w:rPr>
        <w:t xml:space="preserve">本合同一式 </w:t>
      </w:r>
      <w:r>
        <w:rPr>
          <w:rFonts w:hint="eastAsia"/>
          <w:sz w:val="24"/>
        </w:rPr>
        <w:tab/>
      </w:r>
      <w:r>
        <w:rPr>
          <w:rFonts w:hint="eastAsia"/>
          <w:sz w:val="24"/>
        </w:rPr>
        <w:t xml:space="preserve">份，甲方 </w:t>
      </w:r>
      <w:r>
        <w:rPr>
          <w:rFonts w:hint="eastAsia"/>
          <w:sz w:val="24"/>
        </w:rPr>
        <w:tab/>
      </w:r>
      <w:r>
        <w:rPr>
          <w:rFonts w:hint="eastAsia"/>
          <w:sz w:val="24"/>
        </w:rPr>
        <w:t xml:space="preserve">份，乙方 </w:t>
      </w:r>
      <w:r>
        <w:rPr>
          <w:rFonts w:hint="eastAsia"/>
          <w:sz w:val="24"/>
        </w:rPr>
        <w:tab/>
      </w:r>
      <w:r>
        <w:rPr>
          <w:rFonts w:hint="eastAsia"/>
          <w:sz w:val="24"/>
        </w:rPr>
        <w:t xml:space="preserve">份，采购代理机构 </w:t>
      </w:r>
      <w:r>
        <w:rPr>
          <w:rFonts w:hint="eastAsia"/>
          <w:sz w:val="24"/>
        </w:rPr>
        <w:tab/>
      </w:r>
      <w:r>
        <w:rPr>
          <w:rFonts w:hint="eastAsia"/>
          <w:sz w:val="24"/>
        </w:rPr>
        <w:t>份。</w:t>
      </w:r>
    </w:p>
    <w:p w14:paraId="5DD639F0">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50" w:name="_Toc30238_WPSOffice_Level2"/>
      <w:r>
        <w:rPr>
          <w:rFonts w:hint="eastAsia"/>
          <w:sz w:val="24"/>
        </w:rPr>
        <w:t>违约条款</w:t>
      </w:r>
      <w:bookmarkEnd w:id="50"/>
    </w:p>
    <w:p w14:paraId="4B9E356C">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r>
        <w:rPr>
          <w:rFonts w:hint="eastAsia"/>
          <w:sz w:val="24"/>
        </w:rPr>
        <w:t>（1）合同一方违约，违约方向对方支付违约金，违约金额为中标金额的 10%。乙方违约， 直接从进度款或履约保金中扣除；甲方违约，从合同款项中扣除。</w:t>
      </w:r>
    </w:p>
    <w:p w14:paraId="52AF5B54">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51" w:name="_Toc8155"/>
      <w:bookmarkStart w:id="52" w:name="_Toc1630"/>
      <w:r>
        <w:rPr>
          <w:rFonts w:hint="eastAsia"/>
          <w:sz w:val="24"/>
        </w:rPr>
        <w:t>（2）乙方给用户造成的实际损失高于违约金的，乙方应给用户对高出违约金的部分予以赔偿。</w:t>
      </w:r>
      <w:bookmarkEnd w:id="51"/>
      <w:bookmarkEnd w:id="52"/>
    </w:p>
    <w:p w14:paraId="57C86DE7">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53" w:name="_Toc23941"/>
      <w:bookmarkStart w:id="54" w:name="_Toc15751"/>
      <w:r>
        <w:rPr>
          <w:rFonts w:hint="eastAsia"/>
          <w:sz w:val="24"/>
        </w:rPr>
        <w:t>（3）乙方迟延履行合同、不完全履行合同或提供的服务不符合招标文件的要求，除支付违约金外，仍应实际履行合同或重新提供符合要求的服务。</w:t>
      </w:r>
      <w:bookmarkEnd w:id="53"/>
      <w:bookmarkEnd w:id="54"/>
    </w:p>
    <w:p w14:paraId="4A6BFE4A">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55" w:name="_Toc25387"/>
      <w:bookmarkStart w:id="56" w:name="_Toc21648"/>
      <w:r>
        <w:rPr>
          <w:rFonts w:hint="eastAsia"/>
          <w:sz w:val="24"/>
        </w:rPr>
        <w:t>（4）由于乙方原因造成的延期，每延期一天，需支付甲方损失为合同总价款的 1‰。</w:t>
      </w:r>
      <w:bookmarkEnd w:id="55"/>
      <w:bookmarkEnd w:id="56"/>
    </w:p>
    <w:p w14:paraId="42649A8E">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57" w:name="_Toc5115"/>
      <w:bookmarkStart w:id="58" w:name="_Toc8408"/>
      <w:r>
        <w:rPr>
          <w:rFonts w:hint="eastAsia"/>
          <w:sz w:val="24"/>
        </w:rPr>
        <w:t>（5）甲方和乙方若需签订补充协议，补充协议与该合同具有同等法律效力。</w:t>
      </w:r>
      <w:bookmarkEnd w:id="57"/>
      <w:bookmarkEnd w:id="58"/>
    </w:p>
    <w:p w14:paraId="37E00FE5">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59" w:name="_Toc27685"/>
      <w:bookmarkStart w:id="60" w:name="_Toc2579"/>
      <w:r>
        <w:rPr>
          <w:rFonts w:hint="eastAsia"/>
          <w:sz w:val="24"/>
        </w:rPr>
        <w:t>（6）其它未尽事宜，以《中华人民共和国合同法》规定为准。 九、合同生效及其它</w:t>
      </w:r>
      <w:bookmarkEnd w:id="59"/>
      <w:bookmarkEnd w:id="60"/>
    </w:p>
    <w:p w14:paraId="4FAC6943">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61" w:name="_Toc1264"/>
      <w:bookmarkStart w:id="62" w:name="_Toc27824"/>
      <w:r>
        <w:rPr>
          <w:rFonts w:hint="eastAsia"/>
          <w:sz w:val="24"/>
        </w:rPr>
        <w:t>（1）合同签订后供需双方即直接产生权利与义务的关系，合同执行过程中出现的问题应按照《合同法》的规定办理；在合同履行过程中，双方如有争议，经协商无效，任何一方可向需方所在地人民法院提起诉讼。</w:t>
      </w:r>
      <w:bookmarkEnd w:id="61"/>
      <w:bookmarkEnd w:id="62"/>
    </w:p>
    <w:p w14:paraId="3A6D8D57">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63" w:name="_Toc13678"/>
      <w:bookmarkStart w:id="64" w:name="_Toc20058"/>
      <w:r>
        <w:rPr>
          <w:rFonts w:hint="eastAsia"/>
          <w:sz w:val="24"/>
        </w:rPr>
        <w:t>（2）合同在执行过程中出现的未尽事宜，双方在不违背本合同和招标文件的原则下协商解决，协商结果以书面形式盖章记录在案，作为本合同的附件，与本合同具有同等效力。</w:t>
      </w:r>
      <w:bookmarkEnd w:id="63"/>
      <w:bookmarkEnd w:id="64"/>
    </w:p>
    <w:p w14:paraId="54A90745">
      <w:pPr>
        <w:pStyle w:val="46"/>
        <w:rPr>
          <w:rFonts w:hint="eastAsia"/>
          <w:sz w:val="24"/>
        </w:rPr>
      </w:pPr>
    </w:p>
    <w:p w14:paraId="4C839636">
      <w:pPr>
        <w:keepNext w:val="0"/>
        <w:keepLines w:val="0"/>
        <w:pageBreakBefore w:val="0"/>
        <w:widowControl w:val="0"/>
        <w:kinsoku/>
        <w:wordWrap/>
        <w:overflowPunct/>
        <w:topLinePunct w:val="0"/>
        <w:autoSpaceDE w:val="0"/>
        <w:autoSpaceDN w:val="0"/>
        <w:bidi w:val="0"/>
        <w:adjustRightInd/>
        <w:snapToGrid/>
        <w:spacing w:after="0" w:line="360" w:lineRule="auto"/>
        <w:jc w:val="both"/>
        <w:textAlignment w:val="auto"/>
        <w:rPr>
          <w:rFonts w:hint="eastAsia"/>
          <w:sz w:val="24"/>
        </w:rPr>
      </w:pPr>
      <w:bookmarkStart w:id="65" w:name="_Toc16421_WPSOffice_Level2"/>
      <w:bookmarkStart w:id="66" w:name="_Toc13056_WPSOffice_Level2"/>
      <w:bookmarkStart w:id="67" w:name="_Toc29610_WPSOffice_Level2"/>
      <w:bookmarkStart w:id="68" w:name="_Toc7032_WPSOffice_Level1"/>
      <w:bookmarkStart w:id="69" w:name="_Toc10619_WPSOffice_Level2"/>
      <w:bookmarkStart w:id="70" w:name="_Toc26378"/>
      <w:bookmarkStart w:id="71" w:name="_Toc4045"/>
      <w:bookmarkStart w:id="72" w:name="_Toc3081_WPSOffice_Level2"/>
      <w:bookmarkStart w:id="73" w:name="_Toc20805_WPSOffice_Level2"/>
      <w:r>
        <w:rPr>
          <w:rFonts w:hint="eastAsia"/>
          <w:sz w:val="24"/>
        </w:rPr>
        <w:t>甲</w:t>
      </w:r>
      <w:r>
        <w:rPr>
          <w:rFonts w:hint="eastAsia"/>
          <w:sz w:val="24"/>
        </w:rPr>
        <w:tab/>
      </w:r>
      <w:r>
        <w:rPr>
          <w:rFonts w:hint="eastAsia"/>
          <w:sz w:val="24"/>
        </w:rPr>
        <w:t>方（公章）：</w:t>
      </w:r>
      <w:r>
        <w:rPr>
          <w:rFonts w:hint="eastAsia"/>
          <w:sz w:val="24"/>
        </w:rPr>
        <w:tab/>
      </w:r>
      <w:r>
        <w:rPr>
          <w:rFonts w:hint="eastAsia"/>
          <w:sz w:val="24"/>
          <w:lang w:val="en-US" w:eastAsia="zh-CN"/>
        </w:rPr>
        <w:t xml:space="preserve">                 </w:t>
      </w:r>
      <w:r>
        <w:rPr>
          <w:rFonts w:hint="eastAsia"/>
          <w:sz w:val="24"/>
        </w:rPr>
        <w:t>乙</w:t>
      </w:r>
      <w:r>
        <w:rPr>
          <w:rFonts w:hint="eastAsia"/>
          <w:sz w:val="24"/>
        </w:rPr>
        <w:tab/>
      </w:r>
      <w:r>
        <w:rPr>
          <w:rFonts w:hint="eastAsia"/>
          <w:sz w:val="24"/>
        </w:rPr>
        <w:t>方（公章）：</w:t>
      </w:r>
      <w:bookmarkEnd w:id="65"/>
      <w:bookmarkEnd w:id="66"/>
      <w:bookmarkEnd w:id="67"/>
      <w:bookmarkEnd w:id="68"/>
      <w:bookmarkEnd w:id="69"/>
      <w:bookmarkEnd w:id="70"/>
      <w:bookmarkEnd w:id="71"/>
      <w:bookmarkEnd w:id="72"/>
      <w:bookmarkEnd w:id="73"/>
    </w:p>
    <w:p w14:paraId="1DCFA6F0">
      <w:pPr>
        <w:keepNext w:val="0"/>
        <w:keepLines w:val="0"/>
        <w:pageBreakBefore w:val="0"/>
        <w:widowControl w:val="0"/>
        <w:kinsoku/>
        <w:wordWrap/>
        <w:overflowPunct/>
        <w:topLinePunct w:val="0"/>
        <w:autoSpaceDE w:val="0"/>
        <w:autoSpaceDN w:val="0"/>
        <w:bidi w:val="0"/>
        <w:adjustRightInd/>
        <w:snapToGrid/>
        <w:spacing w:after="0" w:line="360" w:lineRule="auto"/>
        <w:jc w:val="both"/>
        <w:textAlignment w:val="auto"/>
        <w:rPr>
          <w:rFonts w:hint="eastAsia"/>
          <w:sz w:val="24"/>
          <w:lang w:val="en-US" w:eastAsia="zh-CN"/>
        </w:rPr>
      </w:pPr>
      <w:bookmarkStart w:id="74" w:name="_Toc20300"/>
      <w:bookmarkStart w:id="75" w:name="_Toc11748"/>
      <w:r>
        <w:rPr>
          <w:rFonts w:hint="eastAsia"/>
          <w:sz w:val="24"/>
        </w:rPr>
        <w:t>法定代表人或授权代理人：（签字）</w:t>
      </w:r>
      <w:r>
        <w:rPr>
          <w:rFonts w:hint="eastAsia"/>
          <w:sz w:val="24"/>
        </w:rPr>
        <w:tab/>
      </w:r>
      <w:r>
        <w:rPr>
          <w:rFonts w:hint="eastAsia"/>
          <w:sz w:val="24"/>
        </w:rPr>
        <w:t>法定代表人或授权代理人：（签字）</w:t>
      </w:r>
      <w:bookmarkEnd w:id="74"/>
      <w:bookmarkEnd w:id="75"/>
      <w:r>
        <w:rPr>
          <w:rFonts w:hint="eastAsia"/>
          <w:sz w:val="24"/>
        </w:rPr>
        <w:t xml:space="preserve"> </w:t>
      </w:r>
      <w:r>
        <w:rPr>
          <w:rFonts w:hint="eastAsia"/>
          <w:sz w:val="24"/>
          <w:lang w:val="en-US" w:eastAsia="zh-CN"/>
        </w:rPr>
        <w:t xml:space="preserve"> </w:t>
      </w:r>
    </w:p>
    <w:p w14:paraId="28AA9945">
      <w:pPr>
        <w:keepNext w:val="0"/>
        <w:keepLines w:val="0"/>
        <w:pageBreakBefore w:val="0"/>
        <w:widowControl w:val="0"/>
        <w:kinsoku/>
        <w:wordWrap/>
        <w:overflowPunct/>
        <w:topLinePunct w:val="0"/>
        <w:autoSpaceDE w:val="0"/>
        <w:autoSpaceDN w:val="0"/>
        <w:bidi w:val="0"/>
        <w:adjustRightInd/>
        <w:snapToGrid/>
        <w:spacing w:after="0" w:line="360" w:lineRule="auto"/>
        <w:jc w:val="both"/>
        <w:textAlignment w:val="auto"/>
        <w:rPr>
          <w:rFonts w:hint="eastAsia"/>
          <w:sz w:val="24"/>
        </w:rPr>
      </w:pPr>
      <w:bookmarkStart w:id="76" w:name="_Toc2236"/>
      <w:bookmarkStart w:id="77" w:name="_Toc11893"/>
      <w:r>
        <w:rPr>
          <w:rFonts w:hint="eastAsia"/>
          <w:sz w:val="24"/>
        </w:rPr>
        <w:t>开户单位：</w:t>
      </w:r>
      <w:r>
        <w:rPr>
          <w:rFonts w:hint="eastAsia"/>
          <w:sz w:val="24"/>
          <w:lang w:val="en-US" w:eastAsia="zh-CN"/>
        </w:rPr>
        <w:t xml:space="preserve">                         </w:t>
      </w:r>
      <w:r>
        <w:rPr>
          <w:rFonts w:hint="eastAsia"/>
          <w:sz w:val="24"/>
        </w:rPr>
        <w:t>开户单位：</w:t>
      </w:r>
      <w:bookmarkEnd w:id="76"/>
      <w:bookmarkEnd w:id="77"/>
    </w:p>
    <w:p w14:paraId="18AB7C89">
      <w:pPr>
        <w:keepNext w:val="0"/>
        <w:keepLines w:val="0"/>
        <w:pageBreakBefore w:val="0"/>
        <w:widowControl w:val="0"/>
        <w:kinsoku/>
        <w:wordWrap/>
        <w:overflowPunct/>
        <w:topLinePunct w:val="0"/>
        <w:autoSpaceDE w:val="0"/>
        <w:autoSpaceDN w:val="0"/>
        <w:bidi w:val="0"/>
        <w:adjustRightInd/>
        <w:snapToGrid/>
        <w:spacing w:after="0" w:line="360" w:lineRule="auto"/>
        <w:jc w:val="both"/>
        <w:textAlignment w:val="auto"/>
        <w:rPr>
          <w:rFonts w:hint="eastAsia"/>
          <w:sz w:val="24"/>
        </w:rPr>
      </w:pPr>
      <w:bookmarkStart w:id="78" w:name="_Toc25263"/>
      <w:bookmarkStart w:id="79" w:name="_Toc31863"/>
      <w:r>
        <w:rPr>
          <w:rFonts w:hint="eastAsia"/>
          <w:sz w:val="24"/>
        </w:rPr>
        <w:t>开户银行：</w:t>
      </w:r>
      <w:r>
        <w:rPr>
          <w:rFonts w:hint="eastAsia"/>
          <w:sz w:val="24"/>
        </w:rPr>
        <w:tab/>
      </w:r>
      <w:r>
        <w:rPr>
          <w:rFonts w:hint="eastAsia"/>
          <w:sz w:val="24"/>
          <w:lang w:val="en-US" w:eastAsia="zh-CN"/>
        </w:rPr>
        <w:t xml:space="preserve">                         </w:t>
      </w:r>
      <w:r>
        <w:rPr>
          <w:rFonts w:hint="eastAsia"/>
          <w:sz w:val="24"/>
        </w:rPr>
        <w:t>开户银行：</w:t>
      </w:r>
      <w:bookmarkEnd w:id="78"/>
      <w:bookmarkEnd w:id="79"/>
    </w:p>
    <w:p w14:paraId="2F9D187A">
      <w:pPr>
        <w:keepNext w:val="0"/>
        <w:keepLines w:val="0"/>
        <w:pageBreakBefore w:val="0"/>
        <w:widowControl w:val="0"/>
        <w:kinsoku/>
        <w:wordWrap/>
        <w:overflowPunct/>
        <w:topLinePunct w:val="0"/>
        <w:autoSpaceDE w:val="0"/>
        <w:autoSpaceDN w:val="0"/>
        <w:bidi w:val="0"/>
        <w:adjustRightInd/>
        <w:snapToGrid/>
        <w:spacing w:after="0" w:line="360" w:lineRule="auto"/>
        <w:jc w:val="both"/>
        <w:textAlignment w:val="auto"/>
        <w:rPr>
          <w:rFonts w:hint="eastAsia"/>
          <w:sz w:val="24"/>
        </w:rPr>
      </w:pPr>
      <w:bookmarkStart w:id="80" w:name="_Toc17067"/>
      <w:bookmarkStart w:id="81" w:name="_Toc27472"/>
      <w:r>
        <w:rPr>
          <w:rFonts w:hint="eastAsia"/>
          <w:sz w:val="24"/>
        </w:rPr>
        <w:t>帐</w:t>
      </w:r>
      <w:r>
        <w:rPr>
          <w:rFonts w:hint="eastAsia"/>
          <w:sz w:val="24"/>
        </w:rPr>
        <w:tab/>
      </w:r>
      <w:r>
        <w:rPr>
          <w:rFonts w:hint="eastAsia"/>
          <w:sz w:val="24"/>
        </w:rPr>
        <w:t>号：</w:t>
      </w:r>
      <w:r>
        <w:rPr>
          <w:rFonts w:hint="eastAsia"/>
          <w:sz w:val="24"/>
        </w:rPr>
        <w:tab/>
      </w:r>
      <w:r>
        <w:rPr>
          <w:rFonts w:hint="eastAsia"/>
          <w:sz w:val="24"/>
          <w:lang w:val="en-US" w:eastAsia="zh-CN"/>
        </w:rPr>
        <w:t xml:space="preserve">                         </w:t>
      </w:r>
      <w:r>
        <w:rPr>
          <w:rFonts w:hint="eastAsia"/>
          <w:sz w:val="24"/>
        </w:rPr>
        <w:t>帐</w:t>
      </w:r>
      <w:r>
        <w:rPr>
          <w:rFonts w:hint="eastAsia"/>
          <w:sz w:val="24"/>
        </w:rPr>
        <w:tab/>
      </w:r>
      <w:r>
        <w:rPr>
          <w:rFonts w:hint="eastAsia"/>
          <w:sz w:val="24"/>
        </w:rPr>
        <w:t>号：</w:t>
      </w:r>
      <w:bookmarkEnd w:id="80"/>
      <w:bookmarkEnd w:id="81"/>
    </w:p>
    <w:p w14:paraId="34CC7841">
      <w:pPr>
        <w:keepNext w:val="0"/>
        <w:keepLines w:val="0"/>
        <w:pageBreakBefore w:val="0"/>
        <w:widowControl w:val="0"/>
        <w:kinsoku/>
        <w:wordWrap/>
        <w:overflowPunct/>
        <w:topLinePunct w:val="0"/>
        <w:autoSpaceDE w:val="0"/>
        <w:autoSpaceDN w:val="0"/>
        <w:bidi w:val="0"/>
        <w:adjustRightInd/>
        <w:snapToGrid/>
        <w:spacing w:after="0" w:line="360" w:lineRule="auto"/>
        <w:jc w:val="both"/>
        <w:textAlignment w:val="auto"/>
        <w:rPr>
          <w:rFonts w:hint="eastAsia"/>
          <w:sz w:val="24"/>
        </w:rPr>
      </w:pPr>
      <w:bookmarkStart w:id="82" w:name="_Toc18260"/>
      <w:bookmarkStart w:id="83" w:name="_Toc19503"/>
      <w:r>
        <w:rPr>
          <w:rFonts w:hint="eastAsia"/>
          <w:sz w:val="24"/>
        </w:rPr>
        <w:t>地</w:t>
      </w:r>
      <w:r>
        <w:rPr>
          <w:rFonts w:hint="eastAsia"/>
          <w:sz w:val="24"/>
        </w:rPr>
        <w:tab/>
      </w:r>
      <w:r>
        <w:rPr>
          <w:rFonts w:hint="eastAsia"/>
          <w:sz w:val="24"/>
        </w:rPr>
        <w:t>址：</w:t>
      </w:r>
      <w:r>
        <w:rPr>
          <w:rFonts w:hint="eastAsia"/>
          <w:sz w:val="24"/>
        </w:rPr>
        <w:tab/>
      </w:r>
      <w:r>
        <w:rPr>
          <w:rFonts w:hint="eastAsia"/>
          <w:sz w:val="24"/>
          <w:lang w:val="en-US" w:eastAsia="zh-CN"/>
        </w:rPr>
        <w:t xml:space="preserve">                         </w:t>
      </w:r>
      <w:r>
        <w:rPr>
          <w:rFonts w:hint="eastAsia"/>
          <w:sz w:val="24"/>
        </w:rPr>
        <w:t>地</w:t>
      </w:r>
      <w:r>
        <w:rPr>
          <w:rFonts w:hint="eastAsia"/>
          <w:sz w:val="24"/>
        </w:rPr>
        <w:tab/>
      </w:r>
      <w:r>
        <w:rPr>
          <w:rFonts w:hint="eastAsia"/>
          <w:sz w:val="24"/>
        </w:rPr>
        <w:t>址：</w:t>
      </w:r>
      <w:bookmarkEnd w:id="82"/>
      <w:bookmarkEnd w:id="83"/>
    </w:p>
    <w:p w14:paraId="0B9D6217">
      <w:pPr>
        <w:keepNext w:val="0"/>
        <w:keepLines w:val="0"/>
        <w:pageBreakBefore w:val="0"/>
        <w:widowControl w:val="0"/>
        <w:kinsoku/>
        <w:wordWrap/>
        <w:overflowPunct/>
        <w:topLinePunct w:val="0"/>
        <w:autoSpaceDE w:val="0"/>
        <w:autoSpaceDN w:val="0"/>
        <w:bidi w:val="0"/>
        <w:adjustRightInd/>
        <w:snapToGrid/>
        <w:spacing w:after="0" w:line="360" w:lineRule="auto"/>
        <w:jc w:val="both"/>
        <w:textAlignment w:val="auto"/>
        <w:rPr>
          <w:rFonts w:hint="eastAsia"/>
          <w:sz w:val="24"/>
        </w:rPr>
      </w:pPr>
      <w:bookmarkStart w:id="84" w:name="_Toc15291"/>
      <w:bookmarkStart w:id="85" w:name="_Toc16058"/>
      <w:r>
        <w:rPr>
          <w:rFonts w:hint="eastAsia"/>
          <w:sz w:val="24"/>
        </w:rPr>
        <w:t>电</w:t>
      </w:r>
      <w:r>
        <w:rPr>
          <w:rFonts w:hint="eastAsia"/>
          <w:sz w:val="24"/>
        </w:rPr>
        <w:tab/>
      </w:r>
      <w:r>
        <w:rPr>
          <w:rFonts w:hint="eastAsia"/>
          <w:sz w:val="24"/>
        </w:rPr>
        <w:t>话：</w:t>
      </w:r>
      <w:r>
        <w:rPr>
          <w:rFonts w:hint="eastAsia"/>
          <w:sz w:val="24"/>
        </w:rPr>
        <w:tab/>
      </w:r>
      <w:r>
        <w:rPr>
          <w:rFonts w:hint="eastAsia"/>
          <w:sz w:val="24"/>
          <w:lang w:val="en-US" w:eastAsia="zh-CN"/>
        </w:rPr>
        <w:t xml:space="preserve">                         </w:t>
      </w:r>
      <w:r>
        <w:rPr>
          <w:rFonts w:hint="eastAsia"/>
          <w:sz w:val="24"/>
        </w:rPr>
        <w:t>电</w:t>
      </w:r>
      <w:r>
        <w:rPr>
          <w:rFonts w:hint="eastAsia"/>
          <w:sz w:val="24"/>
        </w:rPr>
        <w:tab/>
      </w:r>
      <w:r>
        <w:rPr>
          <w:rFonts w:hint="eastAsia"/>
          <w:sz w:val="24"/>
        </w:rPr>
        <w:t>话：</w:t>
      </w:r>
      <w:bookmarkEnd w:id="84"/>
      <w:bookmarkEnd w:id="85"/>
    </w:p>
    <w:p w14:paraId="50FCF4D8">
      <w:pPr>
        <w:keepNext w:val="0"/>
        <w:keepLines w:val="0"/>
        <w:pageBreakBefore w:val="0"/>
        <w:widowControl w:val="0"/>
        <w:kinsoku/>
        <w:wordWrap/>
        <w:overflowPunct/>
        <w:topLinePunct w:val="0"/>
        <w:autoSpaceDE w:val="0"/>
        <w:autoSpaceDN w:val="0"/>
        <w:bidi w:val="0"/>
        <w:adjustRightInd/>
        <w:snapToGrid/>
        <w:spacing w:after="0" w:line="360" w:lineRule="auto"/>
        <w:jc w:val="both"/>
        <w:textAlignment w:val="auto"/>
        <w:rPr>
          <w:rFonts w:hint="eastAsia"/>
          <w:sz w:val="24"/>
          <w:lang w:eastAsia="zh-CN"/>
        </w:rPr>
      </w:pPr>
      <w:bookmarkStart w:id="86" w:name="_Toc32463"/>
      <w:bookmarkStart w:id="87" w:name="_Toc22352"/>
      <w:r>
        <w:rPr>
          <w:rFonts w:hint="eastAsia"/>
          <w:sz w:val="24"/>
        </w:rPr>
        <w:t>签订时间：</w:t>
      </w:r>
      <w:r>
        <w:rPr>
          <w:rFonts w:hint="eastAsia"/>
          <w:sz w:val="24"/>
        </w:rPr>
        <w:tab/>
      </w:r>
      <w:r>
        <w:rPr>
          <w:rFonts w:hint="eastAsia"/>
          <w:sz w:val="24"/>
          <w:lang w:val="en-US" w:eastAsia="zh-CN"/>
        </w:rPr>
        <w:t xml:space="preserve">                         </w:t>
      </w:r>
      <w:r>
        <w:rPr>
          <w:rFonts w:hint="eastAsia"/>
          <w:sz w:val="24"/>
        </w:rPr>
        <w:t>签订时间</w:t>
      </w:r>
      <w:r>
        <w:rPr>
          <w:rFonts w:hint="eastAsia"/>
          <w:sz w:val="24"/>
          <w:lang w:eastAsia="zh-CN"/>
        </w:rPr>
        <w:t>：</w:t>
      </w:r>
      <w:bookmarkEnd w:id="86"/>
      <w:bookmarkEnd w:id="87"/>
    </w:p>
    <w:p w14:paraId="757064A4">
      <w:pPr>
        <w:spacing w:after="0"/>
        <w:jc w:val="both"/>
        <w:rPr>
          <w:sz w:val="24"/>
        </w:rPr>
        <w:sectPr>
          <w:pgSz w:w="11910" w:h="16840"/>
          <w:pgMar w:top="567" w:right="840" w:bottom="567" w:left="860" w:header="567" w:footer="567" w:gutter="0"/>
          <w:pgNumType w:fmt="decimal"/>
          <w:cols w:space="720" w:num="1"/>
        </w:sectPr>
      </w:pPr>
    </w:p>
    <w:p w14:paraId="200D2BFE">
      <w:pPr>
        <w:pStyle w:val="2"/>
        <w:jc w:val="center"/>
      </w:pPr>
      <w:bookmarkStart w:id="88" w:name="_Toc22757"/>
      <w:bookmarkStart w:id="89" w:name="_Toc9217"/>
      <w:r>
        <w:t>第六章</w:t>
      </w:r>
      <w:r>
        <w:rPr>
          <w:spacing w:val="14"/>
        </w:rPr>
        <w:t xml:space="preserve">  </w:t>
      </w:r>
      <w:r>
        <w:rPr>
          <w:rFonts w:hint="eastAsia"/>
          <w:spacing w:val="14"/>
          <w:lang w:val="en-US" w:eastAsia="zh-CN"/>
        </w:rPr>
        <w:t xml:space="preserve"> </w:t>
      </w:r>
      <w:r>
        <w:t>响应文件格式</w:t>
      </w:r>
      <w:bookmarkEnd w:id="88"/>
      <w:bookmarkEnd w:id="89"/>
    </w:p>
    <w:p w14:paraId="09ADABE8">
      <w:pPr>
        <w:spacing w:line="296" w:lineRule="auto"/>
      </w:pPr>
    </w:p>
    <w:p w14:paraId="4BFB2AF8">
      <w:pPr>
        <w:spacing w:line="296" w:lineRule="auto"/>
      </w:pPr>
    </w:p>
    <w:p w14:paraId="5381E639">
      <w:pPr>
        <w:pStyle w:val="13"/>
        <w:spacing w:line="360" w:lineRule="auto"/>
        <w:rPr>
          <w:sz w:val="24"/>
          <w:szCs w:val="24"/>
          <w:lang w:eastAsia="zh-CN"/>
        </w:rPr>
      </w:pPr>
      <w:r>
        <w:rPr>
          <w:spacing w:val="-1"/>
          <w:sz w:val="24"/>
          <w:szCs w:val="24"/>
          <w:lang w:eastAsia="zh-CN"/>
          <w14:textOutline w14:w="1536" w14:cap="flat" w14:cmpd="sng" w14:algn="ctr">
            <w14:solidFill>
              <w14:srgbClr w14:val="000000"/>
            </w14:solidFill>
            <w14:prstDash w14:val="solid"/>
            <w14:miter w14:val="0"/>
          </w14:textOutline>
        </w:rPr>
        <w:t>供应商编制文件须知</w:t>
      </w:r>
    </w:p>
    <w:p w14:paraId="349E1D9E">
      <w:pPr>
        <w:pStyle w:val="13"/>
        <w:spacing w:line="360" w:lineRule="auto"/>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3"/>
          <w:sz w:val="24"/>
          <w:szCs w:val="24"/>
          <w:lang w:eastAsia="zh-CN"/>
        </w:rPr>
        <w:t>1.供应商按照本部分的顺序编制响应文件</w:t>
      </w:r>
      <w:r>
        <w:rPr>
          <w:rFonts w:hint="eastAsia" w:asciiTheme="minorEastAsia" w:hAnsiTheme="minorEastAsia" w:eastAsiaTheme="minorEastAsia" w:cstheme="minorEastAsia"/>
          <w:spacing w:val="-29"/>
          <w:sz w:val="24"/>
          <w:szCs w:val="24"/>
          <w:lang w:eastAsia="zh-CN"/>
        </w:rPr>
        <w:t>，</w:t>
      </w:r>
      <w:r>
        <w:rPr>
          <w:rFonts w:hint="eastAsia" w:asciiTheme="minorEastAsia" w:hAnsiTheme="minorEastAsia" w:eastAsiaTheme="minorEastAsia" w:cstheme="minorEastAsia"/>
          <w:spacing w:val="-8"/>
          <w:sz w:val="24"/>
          <w:szCs w:val="24"/>
          <w:lang w:eastAsia="zh-CN"/>
        </w:rPr>
        <w:t>编制中涉及格式资料的，应按照本部分提供的内容和格式（所有表格的格式可扩</w:t>
      </w:r>
      <w:r>
        <w:rPr>
          <w:rFonts w:hint="eastAsia" w:asciiTheme="minorEastAsia" w:hAnsiTheme="minorEastAsia" w:eastAsiaTheme="minorEastAsia" w:cstheme="minorEastAsia"/>
          <w:spacing w:val="-3"/>
          <w:sz w:val="24"/>
          <w:szCs w:val="24"/>
          <w:lang w:eastAsia="zh-CN"/>
        </w:rPr>
        <w:t>展）填写提交。</w:t>
      </w:r>
    </w:p>
    <w:p w14:paraId="482D85E7">
      <w:pPr>
        <w:pStyle w:val="13"/>
        <w:spacing w:line="360" w:lineRule="auto"/>
        <w:rPr>
          <w:sz w:val="24"/>
          <w:szCs w:val="24"/>
          <w:lang w:eastAsia="zh-CN"/>
        </w:rPr>
      </w:pPr>
      <w:r>
        <w:rPr>
          <w:rFonts w:hint="eastAsia" w:ascii="Arial" w:hAnsi="Arial" w:cs="Arial"/>
          <w:spacing w:val="-1"/>
          <w:sz w:val="24"/>
          <w:szCs w:val="24"/>
          <w:lang w:eastAsia="zh-CN"/>
        </w:rPr>
        <w:t>2.</w:t>
      </w:r>
      <w:r>
        <w:rPr>
          <w:spacing w:val="-1"/>
          <w:sz w:val="24"/>
          <w:szCs w:val="24"/>
          <w:lang w:eastAsia="zh-CN"/>
        </w:rPr>
        <w:t>全部声明和问题的回答及所附材料必须是真实的、准确的和完整</w:t>
      </w:r>
      <w:r>
        <w:rPr>
          <w:spacing w:val="-2"/>
          <w:sz w:val="24"/>
          <w:szCs w:val="24"/>
          <w:lang w:eastAsia="zh-CN"/>
        </w:rPr>
        <w:t>的。</w:t>
      </w:r>
    </w:p>
    <w:p w14:paraId="7CCA9448">
      <w:pPr>
        <w:widowControl/>
        <w:jc w:val="left"/>
        <w:rPr>
          <w:rFonts w:asciiTheme="minorEastAsia" w:hAnsiTheme="minorEastAsia" w:cstheme="minorEastAsia"/>
          <w:b/>
          <w:bCs/>
          <w:snapToGrid w:val="0"/>
          <w:color w:val="000000"/>
          <w:spacing w:val="-3"/>
          <w:kern w:val="0"/>
          <w:szCs w:val="24"/>
        </w:rPr>
      </w:pPr>
      <w:r>
        <w:rPr>
          <w:rFonts w:asciiTheme="minorEastAsia" w:hAnsiTheme="minorEastAsia" w:cstheme="minorEastAsia"/>
          <w:b/>
          <w:bCs/>
          <w:snapToGrid w:val="0"/>
          <w:color w:val="000000"/>
          <w:spacing w:val="-3"/>
          <w:kern w:val="0"/>
          <w:szCs w:val="24"/>
        </w:rPr>
        <w:br w:type="page"/>
      </w:r>
    </w:p>
    <w:p w14:paraId="24E8A314">
      <w:pPr>
        <w:pStyle w:val="17"/>
        <w:spacing w:before="326" w:beforeLines="100" w:after="326" w:afterLines="100" w:line="360" w:lineRule="auto"/>
        <w:ind w:firstLine="7280" w:firstLineChars="2600"/>
        <w:jc w:val="left"/>
        <w:rPr>
          <w:rFonts w:hAnsi="宋体"/>
          <w:bCs/>
          <w:sz w:val="28"/>
          <w:szCs w:val="28"/>
        </w:rPr>
      </w:pPr>
    </w:p>
    <w:p w14:paraId="7756249F">
      <w:pPr>
        <w:pStyle w:val="17"/>
        <w:spacing w:before="326" w:beforeLines="100" w:after="326" w:afterLines="100" w:line="360" w:lineRule="auto"/>
        <w:jc w:val="center"/>
        <w:rPr>
          <w:rFonts w:hAnsi="宋体"/>
          <w:b/>
          <w:sz w:val="44"/>
          <w:szCs w:val="44"/>
          <w:u w:val="single"/>
        </w:rPr>
      </w:pPr>
      <w:bookmarkStart w:id="90" w:name="_Toc2821_WPSOffice_Level1"/>
      <w:bookmarkStart w:id="91" w:name="_Toc7266_WPSOffice_Level1"/>
      <w:bookmarkStart w:id="92" w:name="_Toc31859_WPSOffice_Level1"/>
      <w:r>
        <w:rPr>
          <w:rFonts w:hint="eastAsia" w:hAnsi="宋体"/>
          <w:b/>
          <w:sz w:val="44"/>
          <w:szCs w:val="44"/>
          <w:u w:val="single"/>
        </w:rPr>
        <w:t xml:space="preserve">         项目名称</w:t>
      </w:r>
      <w:bookmarkEnd w:id="90"/>
      <w:bookmarkEnd w:id="91"/>
      <w:bookmarkEnd w:id="92"/>
      <w:r>
        <w:rPr>
          <w:rFonts w:hint="eastAsia" w:hAnsi="宋体"/>
          <w:b/>
          <w:sz w:val="44"/>
          <w:szCs w:val="44"/>
          <w:u w:val="single"/>
        </w:rPr>
        <w:t xml:space="preserve">        </w:t>
      </w:r>
    </w:p>
    <w:p w14:paraId="1CFB0CE2">
      <w:pPr>
        <w:pStyle w:val="13"/>
        <w:rPr>
          <w:b/>
          <w:sz w:val="44"/>
          <w:szCs w:val="44"/>
          <w:u w:val="single"/>
          <w:lang w:eastAsia="zh-CN"/>
        </w:rPr>
      </w:pPr>
    </w:p>
    <w:p w14:paraId="5527B9E8">
      <w:pPr>
        <w:pStyle w:val="13"/>
        <w:ind w:firstLine="4417" w:firstLineChars="1000"/>
        <w:rPr>
          <w:rFonts w:hint="default"/>
          <w:b/>
          <w:sz w:val="36"/>
          <w:szCs w:val="36"/>
          <w:u w:val="none"/>
          <w:lang w:val="en-US" w:eastAsia="zh-CN"/>
        </w:rPr>
      </w:pPr>
      <w:bookmarkStart w:id="93" w:name="_Toc9678_WPSOffice_Level1"/>
      <w:bookmarkStart w:id="94" w:name="_Toc22990_WPSOffice_Level1"/>
      <w:bookmarkStart w:id="95" w:name="_Toc22398_WPSOffice_Level1"/>
      <w:r>
        <w:rPr>
          <w:rFonts w:hint="eastAsia"/>
          <w:b/>
          <w:sz w:val="44"/>
          <w:szCs w:val="44"/>
          <w:u w:val="single"/>
          <w:lang w:val="en-US" w:eastAsia="zh-CN"/>
        </w:rPr>
        <w:t xml:space="preserve">  </w:t>
      </w:r>
      <w:r>
        <w:rPr>
          <w:rFonts w:hint="eastAsia"/>
          <w:b/>
          <w:sz w:val="36"/>
          <w:szCs w:val="36"/>
          <w:u w:val="single"/>
          <w:lang w:val="en-US" w:eastAsia="zh-CN"/>
        </w:rPr>
        <w:t xml:space="preserve"> </w:t>
      </w:r>
      <w:r>
        <w:rPr>
          <w:rFonts w:hint="eastAsia"/>
          <w:b/>
          <w:sz w:val="36"/>
          <w:szCs w:val="36"/>
          <w:u w:val="none"/>
          <w:lang w:val="en-US" w:eastAsia="zh-CN"/>
        </w:rPr>
        <w:t>标段</w:t>
      </w:r>
    </w:p>
    <w:p w14:paraId="599DE98A">
      <w:pPr>
        <w:pStyle w:val="17"/>
        <w:spacing w:before="326" w:beforeLines="100" w:after="326" w:afterLines="100" w:line="360" w:lineRule="auto"/>
        <w:jc w:val="center"/>
        <w:rPr>
          <w:rFonts w:hint="eastAsia" w:hAnsi="宋体"/>
          <w:b/>
          <w:bCs/>
          <w:sz w:val="84"/>
          <w:szCs w:val="84"/>
        </w:rPr>
      </w:pPr>
    </w:p>
    <w:p w14:paraId="61F718E9">
      <w:pPr>
        <w:pStyle w:val="17"/>
        <w:spacing w:before="326" w:beforeLines="100" w:after="326" w:afterLines="100" w:line="360" w:lineRule="auto"/>
        <w:jc w:val="center"/>
        <w:rPr>
          <w:rFonts w:hAnsi="宋体"/>
          <w:b/>
          <w:bCs/>
          <w:sz w:val="84"/>
          <w:szCs w:val="84"/>
        </w:rPr>
      </w:pPr>
      <w:r>
        <w:rPr>
          <w:rFonts w:hint="eastAsia" w:hAnsi="宋体"/>
          <w:b/>
          <w:bCs/>
          <w:sz w:val="84"/>
          <w:szCs w:val="84"/>
        </w:rPr>
        <w:t>响应文件</w:t>
      </w:r>
      <w:bookmarkEnd w:id="93"/>
      <w:bookmarkEnd w:id="94"/>
      <w:bookmarkEnd w:id="95"/>
    </w:p>
    <w:p w14:paraId="04D53539">
      <w:pPr>
        <w:pStyle w:val="17"/>
        <w:spacing w:before="326" w:beforeLines="100" w:after="326" w:afterLines="100" w:line="360" w:lineRule="auto"/>
        <w:jc w:val="center"/>
        <w:rPr>
          <w:rFonts w:hAnsi="宋体"/>
          <w:b/>
          <w:bCs/>
          <w:sz w:val="30"/>
          <w:szCs w:val="30"/>
        </w:rPr>
      </w:pPr>
      <w:bookmarkStart w:id="96" w:name="_Toc26187_WPSOffice_Level1"/>
      <w:bookmarkStart w:id="97" w:name="_Toc26010_WPSOffice_Level1"/>
      <w:bookmarkStart w:id="98" w:name="_Toc29975_WPSOffice_Level1"/>
      <w:r>
        <w:rPr>
          <w:rFonts w:hint="eastAsia" w:hAnsi="宋体"/>
          <w:b/>
          <w:bCs/>
          <w:sz w:val="30"/>
          <w:szCs w:val="30"/>
        </w:rPr>
        <w:t>采购编号：</w:t>
      </w:r>
      <w:bookmarkEnd w:id="96"/>
      <w:bookmarkEnd w:id="97"/>
      <w:bookmarkEnd w:id="98"/>
    </w:p>
    <w:p w14:paraId="162957EE">
      <w:pPr>
        <w:pStyle w:val="13"/>
        <w:rPr>
          <w:b/>
          <w:bCs/>
          <w:sz w:val="32"/>
          <w:u w:val="single"/>
          <w:lang w:eastAsia="zh-CN"/>
        </w:rPr>
      </w:pPr>
    </w:p>
    <w:p w14:paraId="458DE9AC">
      <w:pPr>
        <w:pStyle w:val="17"/>
        <w:spacing w:before="326" w:beforeLines="100" w:after="326" w:afterLines="100" w:line="360" w:lineRule="auto"/>
        <w:jc w:val="center"/>
        <w:rPr>
          <w:rFonts w:hAnsi="宋体"/>
          <w:b/>
          <w:bCs/>
          <w:sz w:val="32"/>
          <w:u w:val="single"/>
        </w:rPr>
      </w:pPr>
    </w:p>
    <w:p w14:paraId="23C2279A">
      <w:pPr>
        <w:pStyle w:val="17"/>
        <w:spacing w:before="326" w:beforeLines="100" w:after="326" w:afterLines="100" w:line="360" w:lineRule="auto"/>
        <w:rPr>
          <w:rFonts w:hAnsi="宋体"/>
          <w:b/>
          <w:bCs/>
          <w:sz w:val="32"/>
          <w:u w:val="single"/>
        </w:rPr>
      </w:pPr>
    </w:p>
    <w:p w14:paraId="0B7702C5">
      <w:pPr>
        <w:pStyle w:val="17"/>
        <w:spacing w:before="326" w:beforeLines="100" w:after="326" w:afterLines="100" w:line="360" w:lineRule="auto"/>
        <w:ind w:firstLine="897" w:firstLineChars="298"/>
        <w:rPr>
          <w:rFonts w:hint="eastAsia" w:ascii="宋体" w:hAnsi="宋体" w:eastAsia="宋体"/>
          <w:b/>
          <w:bCs/>
          <w:sz w:val="30"/>
          <w:szCs w:val="30"/>
        </w:rPr>
      </w:pPr>
      <w:bookmarkStart w:id="99" w:name="_Toc25325_WPSOffice_Level1"/>
      <w:bookmarkStart w:id="100" w:name="_Toc25974_WPSOffice_Level1"/>
      <w:bookmarkStart w:id="101" w:name="_Toc7166_WPSOffice_Level1"/>
      <w:r>
        <w:rPr>
          <w:rFonts w:hint="eastAsia" w:ascii="宋体" w:hAnsi="宋体" w:eastAsia="宋体"/>
          <w:b/>
          <w:bCs/>
          <w:sz w:val="30"/>
          <w:szCs w:val="30"/>
          <w:lang w:eastAsia="zh-CN"/>
        </w:rPr>
        <w:t>投标人</w:t>
      </w:r>
      <w:r>
        <w:rPr>
          <w:rFonts w:hint="eastAsia" w:ascii="宋体" w:hAnsi="宋体" w:eastAsia="宋体"/>
          <w:b/>
          <w:bCs/>
          <w:sz w:val="30"/>
          <w:szCs w:val="30"/>
        </w:rPr>
        <w:t>：（电子签章）</w:t>
      </w:r>
      <w:bookmarkEnd w:id="99"/>
      <w:bookmarkEnd w:id="100"/>
      <w:bookmarkEnd w:id="101"/>
    </w:p>
    <w:p w14:paraId="68FDCF2C">
      <w:pPr>
        <w:pStyle w:val="17"/>
        <w:spacing w:before="326" w:beforeLines="100" w:after="326" w:afterLines="100" w:line="360" w:lineRule="auto"/>
        <w:ind w:firstLine="897" w:firstLineChars="298"/>
        <w:rPr>
          <w:rFonts w:hAnsi="宋体"/>
          <w:b/>
          <w:bCs/>
          <w:sz w:val="30"/>
          <w:szCs w:val="30"/>
        </w:rPr>
      </w:pPr>
      <w:bookmarkStart w:id="102" w:name="_Toc21858_WPSOffice_Level1"/>
      <w:bookmarkStart w:id="103" w:name="_Toc29840_WPSOffice_Level1"/>
      <w:bookmarkStart w:id="104" w:name="_Toc31393_WPSOffice_Level1"/>
      <w:r>
        <w:rPr>
          <w:rFonts w:hint="eastAsia" w:hAnsi="宋体"/>
          <w:b/>
          <w:bCs/>
          <w:sz w:val="30"/>
          <w:szCs w:val="30"/>
        </w:rPr>
        <w:t>法定代表人或其委托代理人：（电子签名）</w:t>
      </w:r>
      <w:bookmarkEnd w:id="102"/>
      <w:bookmarkEnd w:id="103"/>
      <w:bookmarkEnd w:id="104"/>
    </w:p>
    <w:p w14:paraId="50DE107F">
      <w:pPr>
        <w:pStyle w:val="15"/>
        <w:spacing w:line="360" w:lineRule="auto"/>
        <w:ind w:left="1081" w:leftChars="325" w:hanging="301" w:hangingChars="100"/>
        <w:rPr>
          <w:rFonts w:ascii="宋体" w:hAnsi="宋体"/>
          <w:b/>
          <w:bCs/>
          <w:sz w:val="30"/>
          <w:szCs w:val="30"/>
        </w:rPr>
      </w:pPr>
      <w:bookmarkStart w:id="105" w:name="_Toc11679_WPSOffice_Level1"/>
      <w:bookmarkStart w:id="106" w:name="_Toc15496_WPSOffice_Level1"/>
      <w:bookmarkStart w:id="107" w:name="_Toc32012_WPSOffice_Level1"/>
      <w:r>
        <w:rPr>
          <w:rFonts w:hint="eastAsia" w:ascii="宋体" w:hAnsi="宋体"/>
          <w:b/>
          <w:bCs/>
          <w:sz w:val="30"/>
          <w:szCs w:val="30"/>
        </w:rPr>
        <w:t>日      期：       年    月    日</w:t>
      </w:r>
      <w:bookmarkEnd w:id="105"/>
      <w:bookmarkEnd w:id="106"/>
      <w:bookmarkEnd w:id="107"/>
    </w:p>
    <w:p w14:paraId="0A053113">
      <w:pPr>
        <w:pStyle w:val="29"/>
        <w:spacing w:line="360" w:lineRule="auto"/>
        <w:ind w:left="480" w:firstLine="482"/>
        <w:rPr>
          <w:rFonts w:ascii="宋体" w:hAnsi="宋体"/>
          <w:b/>
          <w:szCs w:val="24"/>
        </w:rPr>
      </w:pPr>
    </w:p>
    <w:p w14:paraId="6EE09FCC">
      <w:pPr>
        <w:widowControl/>
        <w:jc w:val="left"/>
        <w:rPr>
          <w:rFonts w:asciiTheme="minorEastAsia" w:hAnsiTheme="minorEastAsia" w:cstheme="minorEastAsia"/>
          <w:b/>
          <w:bCs/>
          <w:snapToGrid w:val="0"/>
          <w:color w:val="000000"/>
          <w:spacing w:val="-3"/>
          <w:kern w:val="0"/>
          <w:szCs w:val="24"/>
        </w:rPr>
      </w:pPr>
      <w:r>
        <w:rPr>
          <w:rFonts w:asciiTheme="minorEastAsia" w:hAnsiTheme="minorEastAsia" w:cstheme="minorEastAsia"/>
          <w:b/>
          <w:bCs/>
          <w:snapToGrid w:val="0"/>
          <w:color w:val="000000"/>
          <w:spacing w:val="-3"/>
          <w:kern w:val="0"/>
          <w:szCs w:val="24"/>
        </w:rPr>
        <w:br w:type="page"/>
      </w:r>
    </w:p>
    <w:p w14:paraId="7B9B274A">
      <w:pPr>
        <w:jc w:val="both"/>
        <w:outlineLvl w:val="9"/>
        <w:rPr>
          <w:b/>
          <w:bCs/>
          <w:w w:val="95"/>
          <w:sz w:val="36"/>
          <w:szCs w:val="36"/>
        </w:rPr>
      </w:pPr>
    </w:p>
    <w:p w14:paraId="4BFC8096">
      <w:pPr>
        <w:jc w:val="both"/>
        <w:outlineLvl w:val="9"/>
        <w:rPr>
          <w:b/>
          <w:bCs/>
          <w:w w:val="95"/>
          <w:sz w:val="36"/>
          <w:szCs w:val="36"/>
        </w:rPr>
      </w:pPr>
    </w:p>
    <w:p w14:paraId="7C56BAC4">
      <w:pPr>
        <w:ind w:firstLine="4464" w:firstLineChars="1300"/>
        <w:jc w:val="both"/>
        <w:outlineLvl w:val="9"/>
        <w:rPr>
          <w:rFonts w:hint="eastAsia" w:eastAsiaTheme="minorEastAsia"/>
          <w:b/>
          <w:bCs/>
          <w:w w:val="95"/>
          <w:sz w:val="36"/>
          <w:szCs w:val="36"/>
          <w:lang w:val="en-US" w:eastAsia="zh-CN"/>
        </w:rPr>
      </w:pPr>
      <w:r>
        <w:rPr>
          <w:rFonts w:hint="eastAsia"/>
          <w:b/>
          <w:bCs/>
          <w:w w:val="95"/>
          <w:sz w:val="36"/>
          <w:szCs w:val="36"/>
          <w:lang w:val="en-US" w:eastAsia="zh-CN"/>
        </w:rPr>
        <w:t>目     录</w:t>
      </w:r>
    </w:p>
    <w:p w14:paraId="19D527B0">
      <w:pPr>
        <w:jc w:val="both"/>
        <w:outlineLvl w:val="9"/>
        <w:rPr>
          <w:b/>
          <w:bCs/>
          <w:w w:val="95"/>
          <w:sz w:val="36"/>
          <w:szCs w:val="36"/>
        </w:rPr>
      </w:pPr>
    </w:p>
    <w:p w14:paraId="6BACC167">
      <w:pPr>
        <w:ind w:firstLine="4274" w:firstLineChars="1600"/>
        <w:jc w:val="both"/>
        <w:outlineLvl w:val="9"/>
        <w:rPr>
          <w:rFonts w:hint="eastAsia"/>
          <w:b/>
          <w:bCs/>
          <w:w w:val="95"/>
          <w:sz w:val="28"/>
          <w:szCs w:val="28"/>
          <w:lang w:val="en-US" w:eastAsia="zh-CN"/>
        </w:rPr>
      </w:pPr>
    </w:p>
    <w:p w14:paraId="20F286DF">
      <w:pPr>
        <w:ind w:firstLine="4274" w:firstLineChars="1600"/>
        <w:jc w:val="both"/>
        <w:outlineLvl w:val="9"/>
        <w:rPr>
          <w:rFonts w:hint="default" w:eastAsiaTheme="minorEastAsia"/>
          <w:b/>
          <w:bCs/>
          <w:w w:val="95"/>
          <w:sz w:val="28"/>
          <w:szCs w:val="28"/>
          <w:lang w:val="en-US" w:eastAsia="zh-CN"/>
        </w:rPr>
      </w:pPr>
      <w:r>
        <w:rPr>
          <w:rFonts w:hint="eastAsia"/>
          <w:b/>
          <w:bCs/>
          <w:w w:val="95"/>
          <w:sz w:val="28"/>
          <w:szCs w:val="28"/>
          <w:lang w:val="en-US" w:eastAsia="zh-CN"/>
        </w:rPr>
        <w:t>投标人自行编写</w:t>
      </w:r>
    </w:p>
    <w:p w14:paraId="16A7BFE2">
      <w:pPr>
        <w:jc w:val="both"/>
        <w:outlineLvl w:val="9"/>
        <w:rPr>
          <w:b/>
          <w:bCs/>
          <w:w w:val="95"/>
          <w:sz w:val="36"/>
          <w:szCs w:val="36"/>
        </w:rPr>
      </w:pPr>
    </w:p>
    <w:p w14:paraId="7A85DA9A">
      <w:pPr>
        <w:jc w:val="both"/>
        <w:outlineLvl w:val="9"/>
        <w:rPr>
          <w:b/>
          <w:bCs/>
          <w:w w:val="95"/>
          <w:sz w:val="36"/>
          <w:szCs w:val="36"/>
        </w:rPr>
      </w:pPr>
    </w:p>
    <w:p w14:paraId="462FC056">
      <w:pPr>
        <w:jc w:val="both"/>
        <w:outlineLvl w:val="9"/>
        <w:rPr>
          <w:b/>
          <w:bCs/>
          <w:w w:val="95"/>
          <w:sz w:val="36"/>
          <w:szCs w:val="36"/>
        </w:rPr>
      </w:pPr>
    </w:p>
    <w:p w14:paraId="0CBB34DD">
      <w:pPr>
        <w:jc w:val="both"/>
        <w:outlineLvl w:val="9"/>
        <w:rPr>
          <w:b/>
          <w:bCs/>
          <w:w w:val="95"/>
          <w:sz w:val="36"/>
          <w:szCs w:val="36"/>
        </w:rPr>
      </w:pPr>
    </w:p>
    <w:p w14:paraId="441CAEE6">
      <w:pPr>
        <w:jc w:val="both"/>
        <w:outlineLvl w:val="9"/>
        <w:rPr>
          <w:b/>
          <w:bCs/>
          <w:w w:val="95"/>
          <w:sz w:val="36"/>
          <w:szCs w:val="36"/>
        </w:rPr>
      </w:pPr>
    </w:p>
    <w:p w14:paraId="6856AEF7">
      <w:pPr>
        <w:jc w:val="both"/>
        <w:outlineLvl w:val="9"/>
        <w:rPr>
          <w:b/>
          <w:bCs/>
          <w:w w:val="95"/>
          <w:sz w:val="36"/>
          <w:szCs w:val="36"/>
        </w:rPr>
      </w:pPr>
    </w:p>
    <w:p w14:paraId="6086F8CA">
      <w:pPr>
        <w:jc w:val="both"/>
        <w:outlineLvl w:val="9"/>
        <w:rPr>
          <w:b/>
          <w:bCs/>
          <w:w w:val="95"/>
          <w:sz w:val="36"/>
          <w:szCs w:val="36"/>
        </w:rPr>
      </w:pPr>
    </w:p>
    <w:p w14:paraId="249E2C0C">
      <w:pPr>
        <w:jc w:val="both"/>
        <w:outlineLvl w:val="9"/>
        <w:rPr>
          <w:b/>
          <w:bCs/>
          <w:w w:val="95"/>
          <w:sz w:val="36"/>
          <w:szCs w:val="36"/>
        </w:rPr>
      </w:pPr>
    </w:p>
    <w:p w14:paraId="61F5664F">
      <w:pPr>
        <w:jc w:val="both"/>
        <w:outlineLvl w:val="9"/>
        <w:rPr>
          <w:b/>
          <w:bCs/>
          <w:w w:val="95"/>
          <w:sz w:val="36"/>
          <w:szCs w:val="36"/>
        </w:rPr>
      </w:pPr>
    </w:p>
    <w:p w14:paraId="2F73B352">
      <w:pPr>
        <w:jc w:val="both"/>
        <w:outlineLvl w:val="9"/>
        <w:rPr>
          <w:b/>
          <w:bCs/>
          <w:w w:val="95"/>
          <w:sz w:val="36"/>
          <w:szCs w:val="36"/>
        </w:rPr>
      </w:pPr>
    </w:p>
    <w:p w14:paraId="255E5C46">
      <w:pPr>
        <w:jc w:val="both"/>
        <w:outlineLvl w:val="9"/>
        <w:rPr>
          <w:b/>
          <w:bCs/>
          <w:w w:val="95"/>
          <w:sz w:val="36"/>
          <w:szCs w:val="36"/>
        </w:rPr>
      </w:pPr>
    </w:p>
    <w:p w14:paraId="718F7800">
      <w:pPr>
        <w:jc w:val="both"/>
        <w:outlineLvl w:val="9"/>
        <w:rPr>
          <w:b/>
          <w:bCs/>
          <w:w w:val="95"/>
          <w:sz w:val="36"/>
          <w:szCs w:val="36"/>
        </w:rPr>
      </w:pPr>
    </w:p>
    <w:p w14:paraId="22100520">
      <w:pPr>
        <w:jc w:val="both"/>
        <w:outlineLvl w:val="9"/>
        <w:rPr>
          <w:b/>
          <w:bCs/>
          <w:w w:val="95"/>
          <w:sz w:val="36"/>
          <w:szCs w:val="36"/>
        </w:rPr>
      </w:pPr>
    </w:p>
    <w:p w14:paraId="09AABE48">
      <w:pPr>
        <w:jc w:val="both"/>
        <w:outlineLvl w:val="9"/>
        <w:rPr>
          <w:b/>
          <w:bCs/>
          <w:w w:val="95"/>
          <w:sz w:val="36"/>
          <w:szCs w:val="36"/>
        </w:rPr>
      </w:pPr>
    </w:p>
    <w:p w14:paraId="77D01003">
      <w:pPr>
        <w:jc w:val="both"/>
        <w:outlineLvl w:val="9"/>
        <w:rPr>
          <w:b/>
          <w:bCs/>
          <w:w w:val="95"/>
          <w:sz w:val="36"/>
          <w:szCs w:val="36"/>
        </w:rPr>
      </w:pPr>
    </w:p>
    <w:p w14:paraId="356225D8">
      <w:pPr>
        <w:jc w:val="both"/>
        <w:outlineLvl w:val="9"/>
        <w:rPr>
          <w:b/>
          <w:bCs/>
          <w:w w:val="95"/>
          <w:sz w:val="36"/>
          <w:szCs w:val="36"/>
        </w:rPr>
      </w:pPr>
    </w:p>
    <w:p w14:paraId="4EB48CD7">
      <w:pPr>
        <w:jc w:val="both"/>
        <w:outlineLvl w:val="9"/>
        <w:rPr>
          <w:b/>
          <w:bCs/>
          <w:w w:val="95"/>
          <w:sz w:val="36"/>
          <w:szCs w:val="36"/>
        </w:rPr>
      </w:pPr>
    </w:p>
    <w:p w14:paraId="2AC37794">
      <w:pPr>
        <w:jc w:val="both"/>
        <w:outlineLvl w:val="9"/>
        <w:rPr>
          <w:b/>
          <w:bCs/>
          <w:w w:val="95"/>
          <w:sz w:val="36"/>
          <w:szCs w:val="36"/>
        </w:rPr>
      </w:pPr>
    </w:p>
    <w:p w14:paraId="04080C24">
      <w:pPr>
        <w:jc w:val="both"/>
        <w:outlineLvl w:val="9"/>
        <w:rPr>
          <w:b/>
          <w:bCs/>
          <w:w w:val="95"/>
          <w:sz w:val="36"/>
          <w:szCs w:val="36"/>
        </w:rPr>
      </w:pPr>
    </w:p>
    <w:p w14:paraId="36BACBA1">
      <w:pPr>
        <w:jc w:val="both"/>
        <w:outlineLvl w:val="9"/>
        <w:rPr>
          <w:b/>
          <w:bCs/>
          <w:w w:val="95"/>
          <w:sz w:val="36"/>
          <w:szCs w:val="36"/>
        </w:rPr>
      </w:pPr>
    </w:p>
    <w:p w14:paraId="321C7EE0">
      <w:pPr>
        <w:jc w:val="both"/>
        <w:outlineLvl w:val="9"/>
        <w:rPr>
          <w:b/>
          <w:bCs/>
          <w:w w:val="95"/>
          <w:sz w:val="36"/>
          <w:szCs w:val="36"/>
        </w:rPr>
      </w:pPr>
    </w:p>
    <w:p w14:paraId="34BA04D5">
      <w:pPr>
        <w:jc w:val="both"/>
        <w:outlineLvl w:val="9"/>
        <w:rPr>
          <w:b/>
          <w:bCs/>
          <w:w w:val="95"/>
          <w:sz w:val="36"/>
          <w:szCs w:val="36"/>
        </w:rPr>
      </w:pPr>
    </w:p>
    <w:p w14:paraId="345F6082">
      <w:pPr>
        <w:jc w:val="both"/>
        <w:outlineLvl w:val="9"/>
        <w:rPr>
          <w:b/>
          <w:bCs/>
          <w:w w:val="95"/>
          <w:sz w:val="36"/>
          <w:szCs w:val="36"/>
        </w:rPr>
      </w:pPr>
    </w:p>
    <w:p w14:paraId="782D34D6">
      <w:pPr>
        <w:jc w:val="both"/>
        <w:outlineLvl w:val="9"/>
        <w:rPr>
          <w:b/>
          <w:bCs/>
          <w:w w:val="95"/>
          <w:sz w:val="36"/>
          <w:szCs w:val="36"/>
        </w:rPr>
      </w:pPr>
    </w:p>
    <w:p w14:paraId="08332EA7">
      <w:pPr>
        <w:jc w:val="both"/>
        <w:outlineLvl w:val="9"/>
        <w:rPr>
          <w:b/>
          <w:bCs/>
          <w:w w:val="95"/>
          <w:sz w:val="36"/>
          <w:szCs w:val="36"/>
        </w:rPr>
      </w:pPr>
    </w:p>
    <w:p w14:paraId="560B65B8">
      <w:pPr>
        <w:jc w:val="both"/>
        <w:outlineLvl w:val="9"/>
        <w:rPr>
          <w:b/>
          <w:bCs/>
          <w:w w:val="95"/>
          <w:sz w:val="36"/>
          <w:szCs w:val="36"/>
        </w:rPr>
      </w:pPr>
    </w:p>
    <w:p w14:paraId="7D225B7B">
      <w:pPr>
        <w:jc w:val="both"/>
        <w:outlineLvl w:val="9"/>
        <w:rPr>
          <w:b/>
          <w:bCs/>
          <w:w w:val="95"/>
          <w:sz w:val="36"/>
          <w:szCs w:val="36"/>
        </w:rPr>
      </w:pPr>
    </w:p>
    <w:p w14:paraId="0345281F">
      <w:pPr>
        <w:jc w:val="both"/>
        <w:outlineLvl w:val="9"/>
        <w:rPr>
          <w:b/>
          <w:bCs/>
          <w:sz w:val="36"/>
          <w:szCs w:val="36"/>
        </w:rPr>
      </w:pPr>
      <w:r>
        <w:rPr>
          <w:b/>
          <w:bCs/>
          <w:w w:val="95"/>
          <w:sz w:val="36"/>
          <w:szCs w:val="36"/>
        </w:rPr>
        <w:t>一、磋商函及磋商一览表</w:t>
      </w:r>
    </w:p>
    <w:p w14:paraId="1EEBA80E">
      <w:pPr>
        <w:pStyle w:val="13"/>
        <w:jc w:val="both"/>
        <w:outlineLvl w:val="9"/>
        <w:rPr>
          <w:b/>
          <w:sz w:val="25"/>
        </w:rPr>
      </w:pPr>
    </w:p>
    <w:p w14:paraId="3B62B796">
      <w:pPr>
        <w:spacing w:before="66"/>
        <w:ind w:left="4312" w:right="0" w:firstLine="0"/>
        <w:jc w:val="both"/>
        <w:outlineLvl w:val="9"/>
        <w:rPr>
          <w:b/>
          <w:sz w:val="24"/>
          <w:szCs w:val="24"/>
        </w:rPr>
      </w:pPr>
      <w:r>
        <w:rPr>
          <w:b/>
          <w:sz w:val="24"/>
          <w:szCs w:val="24"/>
        </w:rPr>
        <w:t>（一）</w:t>
      </w:r>
      <w:r>
        <w:rPr>
          <w:b/>
          <w:spacing w:val="-2"/>
          <w:sz w:val="24"/>
          <w:szCs w:val="24"/>
        </w:rPr>
        <w:t xml:space="preserve"> 磋商函</w:t>
      </w:r>
    </w:p>
    <w:p w14:paraId="50C4FC4C">
      <w:pPr>
        <w:keepNext w:val="0"/>
        <w:keepLines w:val="0"/>
        <w:pageBreakBefore w:val="0"/>
        <w:widowControl w:val="0"/>
        <w:kinsoku/>
        <w:wordWrap/>
        <w:overflowPunct/>
        <w:topLinePunct w:val="0"/>
        <w:autoSpaceDE w:val="0"/>
        <w:autoSpaceDN w:val="0"/>
        <w:bidi w:val="0"/>
        <w:adjustRightInd/>
        <w:snapToGrid/>
        <w:spacing w:before="113" w:line="360" w:lineRule="auto"/>
        <w:ind w:left="220" w:right="0" w:firstLine="0"/>
        <w:jc w:val="both"/>
        <w:textAlignment w:val="auto"/>
        <w:outlineLvl w:val="9"/>
        <w:rPr>
          <w:sz w:val="24"/>
          <w:szCs w:val="24"/>
        </w:rPr>
      </w:pPr>
      <w:r>
        <w:rPr>
          <w:sz w:val="24"/>
          <w:szCs w:val="24"/>
        </w:rPr>
        <w:t>（采购人名称）：</w:t>
      </w:r>
    </w:p>
    <w:p w14:paraId="5DD31A5F">
      <w:pPr>
        <w:pStyle w:val="56"/>
        <w:keepNext w:val="0"/>
        <w:keepLines w:val="0"/>
        <w:pageBreakBefore w:val="0"/>
        <w:widowControl w:val="0"/>
        <w:numPr>
          <w:ilvl w:val="0"/>
          <w:numId w:val="0"/>
        </w:numPr>
        <w:tabs>
          <w:tab w:val="left" w:pos="1199"/>
          <w:tab w:val="left" w:pos="1780"/>
          <w:tab w:val="left" w:pos="3700"/>
        </w:tabs>
        <w:kinsoku/>
        <w:wordWrap/>
        <w:overflowPunct/>
        <w:topLinePunct w:val="0"/>
        <w:autoSpaceDE w:val="0"/>
        <w:autoSpaceDN w:val="0"/>
        <w:bidi w:val="0"/>
        <w:adjustRightInd/>
        <w:snapToGrid/>
        <w:spacing w:before="112" w:after="0" w:line="360" w:lineRule="auto"/>
        <w:ind w:leftChars="200" w:right="234" w:rightChars="0"/>
        <w:jc w:val="both"/>
        <w:textAlignment w:val="auto"/>
        <w:outlineLvl w:val="9"/>
        <w:rPr>
          <w:sz w:val="24"/>
          <w:szCs w:val="24"/>
        </w:rPr>
      </w:pPr>
      <w:r>
        <w:rPr>
          <w:rFonts w:hint="eastAsia"/>
          <w:sz w:val="24"/>
          <w:szCs w:val="24"/>
          <w:lang w:val="en-US" w:eastAsia="zh-CN"/>
        </w:rPr>
        <w:t>1、</w:t>
      </w:r>
      <w:r>
        <w:rPr>
          <w:sz w:val="24"/>
          <w:szCs w:val="24"/>
        </w:rPr>
        <w:t>我方已仔细研究</w:t>
      </w:r>
      <w:r>
        <w:rPr>
          <w:spacing w:val="-22"/>
          <w:sz w:val="24"/>
          <w:szCs w:val="24"/>
        </w:rPr>
        <w:t>了</w:t>
      </w:r>
      <w:r>
        <w:rPr>
          <w:rFonts w:hint="eastAsia"/>
          <w:spacing w:val="-22"/>
          <w:sz w:val="24"/>
          <w:szCs w:val="24"/>
          <w:u w:val="single"/>
          <w:lang w:val="en-US" w:eastAsia="zh-CN"/>
        </w:rPr>
        <w:t xml:space="preserve">      </w:t>
      </w:r>
      <w:r>
        <w:rPr>
          <w:sz w:val="24"/>
          <w:szCs w:val="24"/>
        </w:rPr>
        <w:t>（项目名称</w:t>
      </w:r>
      <w:r>
        <w:rPr>
          <w:spacing w:val="-22"/>
          <w:sz w:val="24"/>
          <w:szCs w:val="24"/>
        </w:rPr>
        <w:t>）</w:t>
      </w:r>
      <w:r>
        <w:rPr>
          <w:sz w:val="24"/>
          <w:szCs w:val="24"/>
        </w:rPr>
        <w:t>磋商文件的全部内容</w:t>
      </w:r>
      <w:r>
        <w:rPr>
          <w:spacing w:val="-22"/>
          <w:sz w:val="24"/>
          <w:szCs w:val="24"/>
        </w:rPr>
        <w:t>，</w:t>
      </w:r>
      <w:r>
        <w:rPr>
          <w:sz w:val="24"/>
          <w:szCs w:val="24"/>
        </w:rPr>
        <w:t>自愿参与本项目的投标</w:t>
      </w:r>
      <w:r>
        <w:rPr>
          <w:spacing w:val="-22"/>
          <w:sz w:val="24"/>
          <w:szCs w:val="24"/>
        </w:rPr>
        <w:t>。</w:t>
      </w:r>
      <w:r>
        <w:rPr>
          <w:sz w:val="24"/>
          <w:szCs w:val="24"/>
        </w:rPr>
        <w:t>磋</w:t>
      </w:r>
      <w:r>
        <w:rPr>
          <w:spacing w:val="-15"/>
          <w:sz w:val="24"/>
          <w:szCs w:val="24"/>
        </w:rPr>
        <w:t>商</w:t>
      </w:r>
      <w:r>
        <w:rPr>
          <w:sz w:val="24"/>
          <w:szCs w:val="24"/>
        </w:rPr>
        <w:t>报价</w:t>
      </w:r>
      <w:r>
        <w:rPr>
          <w:rFonts w:ascii="Times New Roman" w:eastAsia="Times New Roman"/>
          <w:sz w:val="24"/>
          <w:szCs w:val="24"/>
          <w:u w:val="single"/>
        </w:rPr>
        <w:tab/>
      </w:r>
      <w:r>
        <w:rPr>
          <w:rFonts w:hint="eastAsia" w:ascii="Times New Roman" w:eastAsia="宋体"/>
          <w:sz w:val="24"/>
          <w:szCs w:val="24"/>
          <w:u w:val="single"/>
          <w:lang w:val="en-US" w:eastAsia="zh-CN"/>
        </w:rPr>
        <w:t xml:space="preserve">   </w:t>
      </w:r>
      <w:r>
        <w:rPr>
          <w:sz w:val="24"/>
          <w:szCs w:val="24"/>
        </w:rPr>
        <w:t>元，</w:t>
      </w:r>
      <w:r>
        <w:rPr>
          <w:rFonts w:hint="eastAsia"/>
          <w:sz w:val="24"/>
          <w:szCs w:val="24"/>
          <w:lang w:val="en-US" w:eastAsia="zh-CN"/>
        </w:rPr>
        <w:t>服务期限</w:t>
      </w:r>
      <w:r>
        <w:rPr>
          <w:sz w:val="24"/>
          <w:szCs w:val="24"/>
        </w:rPr>
        <w:t>为</w:t>
      </w:r>
      <w:r>
        <w:rPr>
          <w:rFonts w:ascii="Times New Roman" w:eastAsia="Times New Roman"/>
          <w:sz w:val="24"/>
          <w:szCs w:val="24"/>
          <w:u w:val="single"/>
        </w:rPr>
        <w:tab/>
      </w:r>
      <w:r>
        <w:rPr>
          <w:sz w:val="24"/>
          <w:szCs w:val="24"/>
        </w:rPr>
        <w:t>，提供按磋商文件、及合同要求的</w:t>
      </w:r>
      <w:r>
        <w:rPr>
          <w:rFonts w:hint="eastAsia"/>
          <w:sz w:val="24"/>
          <w:szCs w:val="24"/>
          <w:lang w:val="en-US" w:eastAsia="zh-CN"/>
        </w:rPr>
        <w:t>服务</w:t>
      </w:r>
      <w:r>
        <w:rPr>
          <w:sz w:val="24"/>
          <w:szCs w:val="24"/>
        </w:rPr>
        <w:t>内容，质量达到</w:t>
      </w:r>
      <w:r>
        <w:rPr>
          <w:rFonts w:ascii="Times New Roman" w:eastAsia="Times New Roman"/>
          <w:sz w:val="24"/>
          <w:szCs w:val="24"/>
          <w:u w:val="single"/>
        </w:rPr>
        <w:tab/>
      </w:r>
      <w:r>
        <w:rPr>
          <w:sz w:val="24"/>
          <w:szCs w:val="24"/>
        </w:rPr>
        <w:t>。</w:t>
      </w:r>
    </w:p>
    <w:p w14:paraId="0FE37AA3">
      <w:pPr>
        <w:pStyle w:val="56"/>
        <w:keepNext w:val="0"/>
        <w:keepLines w:val="0"/>
        <w:pageBreakBefore w:val="0"/>
        <w:widowControl w:val="0"/>
        <w:numPr>
          <w:ilvl w:val="0"/>
          <w:numId w:val="0"/>
        </w:numPr>
        <w:tabs>
          <w:tab w:val="left" w:pos="1199"/>
        </w:tabs>
        <w:kinsoku/>
        <w:wordWrap/>
        <w:overflowPunct/>
        <w:topLinePunct w:val="0"/>
        <w:autoSpaceDE w:val="0"/>
        <w:autoSpaceDN w:val="0"/>
        <w:bidi w:val="0"/>
        <w:adjustRightInd/>
        <w:snapToGrid/>
        <w:spacing w:before="113" w:after="0" w:line="360" w:lineRule="auto"/>
        <w:ind w:leftChars="200" w:right="0" w:rightChars="0"/>
        <w:jc w:val="both"/>
        <w:textAlignment w:val="auto"/>
        <w:outlineLvl w:val="9"/>
        <w:rPr>
          <w:sz w:val="24"/>
          <w:szCs w:val="24"/>
        </w:rPr>
      </w:pPr>
      <w:r>
        <w:rPr>
          <w:rFonts w:hint="eastAsia"/>
          <w:spacing w:val="-1"/>
          <w:sz w:val="24"/>
          <w:szCs w:val="24"/>
          <w:lang w:val="en-US" w:eastAsia="zh-CN"/>
        </w:rPr>
        <w:t>2、</w:t>
      </w:r>
      <w:r>
        <w:rPr>
          <w:spacing w:val="-1"/>
          <w:sz w:val="24"/>
          <w:szCs w:val="24"/>
        </w:rPr>
        <w:t>我方承诺在磋商有效期内不修改、撤销响应性文件。</w:t>
      </w:r>
    </w:p>
    <w:p w14:paraId="34D28D85">
      <w:pPr>
        <w:pStyle w:val="56"/>
        <w:keepNext w:val="0"/>
        <w:keepLines w:val="0"/>
        <w:pageBreakBefore w:val="0"/>
        <w:widowControl w:val="0"/>
        <w:numPr>
          <w:ilvl w:val="0"/>
          <w:numId w:val="0"/>
        </w:numPr>
        <w:tabs>
          <w:tab w:val="left" w:pos="1199"/>
        </w:tabs>
        <w:kinsoku/>
        <w:wordWrap/>
        <w:overflowPunct/>
        <w:topLinePunct w:val="0"/>
        <w:autoSpaceDE w:val="0"/>
        <w:autoSpaceDN w:val="0"/>
        <w:bidi w:val="0"/>
        <w:adjustRightInd/>
        <w:snapToGrid/>
        <w:spacing w:before="112" w:after="0" w:line="360" w:lineRule="auto"/>
        <w:ind w:leftChars="200" w:right="0" w:rightChars="0"/>
        <w:jc w:val="both"/>
        <w:textAlignment w:val="auto"/>
        <w:outlineLvl w:val="9"/>
        <w:rPr>
          <w:sz w:val="24"/>
          <w:szCs w:val="24"/>
        </w:rPr>
      </w:pPr>
      <w:r>
        <w:rPr>
          <w:rFonts w:hint="eastAsia"/>
          <w:sz w:val="24"/>
          <w:szCs w:val="24"/>
          <w:lang w:val="en-US" w:eastAsia="zh-CN"/>
        </w:rPr>
        <w:t>3、</w:t>
      </w:r>
      <w:r>
        <w:rPr>
          <w:sz w:val="24"/>
          <w:szCs w:val="24"/>
        </w:rPr>
        <w:t>如我方中标：</w:t>
      </w:r>
    </w:p>
    <w:p w14:paraId="7762B537">
      <w:pPr>
        <w:pStyle w:val="56"/>
        <w:keepNext w:val="0"/>
        <w:keepLines w:val="0"/>
        <w:pageBreakBefore w:val="0"/>
        <w:widowControl w:val="0"/>
        <w:numPr>
          <w:ilvl w:val="0"/>
          <w:numId w:val="0"/>
        </w:numPr>
        <w:tabs>
          <w:tab w:val="left" w:pos="1849"/>
        </w:tabs>
        <w:kinsoku/>
        <w:wordWrap/>
        <w:overflowPunct/>
        <w:topLinePunct w:val="0"/>
        <w:autoSpaceDE w:val="0"/>
        <w:autoSpaceDN w:val="0"/>
        <w:bidi w:val="0"/>
        <w:adjustRightInd/>
        <w:snapToGrid/>
        <w:spacing w:before="113" w:after="0" w:line="360" w:lineRule="auto"/>
        <w:ind w:leftChars="200" w:right="0" w:rightChars="0"/>
        <w:jc w:val="both"/>
        <w:textAlignment w:val="auto"/>
        <w:outlineLvl w:val="9"/>
        <w:rPr>
          <w:sz w:val="24"/>
          <w:szCs w:val="24"/>
        </w:rPr>
      </w:pPr>
      <w:r>
        <w:rPr>
          <w:rFonts w:hint="eastAsia"/>
          <w:sz w:val="24"/>
          <w:szCs w:val="24"/>
          <w:lang w:eastAsia="zh-CN"/>
        </w:rPr>
        <w:t>（</w:t>
      </w:r>
      <w:r>
        <w:rPr>
          <w:rFonts w:hint="eastAsia"/>
          <w:sz w:val="24"/>
          <w:szCs w:val="24"/>
          <w:lang w:val="en-US" w:eastAsia="zh-CN"/>
        </w:rPr>
        <w:t>1）</w:t>
      </w:r>
      <w:r>
        <w:rPr>
          <w:sz w:val="24"/>
          <w:szCs w:val="24"/>
        </w:rPr>
        <w:t>我方承诺在收到成交通知书后，在成交通知书规定的期限内与你方签订合同。</w:t>
      </w:r>
    </w:p>
    <w:p w14:paraId="44634448">
      <w:pPr>
        <w:pStyle w:val="56"/>
        <w:keepNext w:val="0"/>
        <w:keepLines w:val="0"/>
        <w:pageBreakBefore w:val="0"/>
        <w:widowControl w:val="0"/>
        <w:numPr>
          <w:ilvl w:val="0"/>
          <w:numId w:val="0"/>
        </w:numPr>
        <w:tabs>
          <w:tab w:val="left" w:pos="1849"/>
        </w:tabs>
        <w:kinsoku/>
        <w:wordWrap/>
        <w:overflowPunct/>
        <w:topLinePunct w:val="0"/>
        <w:autoSpaceDE w:val="0"/>
        <w:autoSpaceDN w:val="0"/>
        <w:bidi w:val="0"/>
        <w:adjustRightInd/>
        <w:snapToGrid/>
        <w:spacing w:before="113" w:after="0" w:line="360" w:lineRule="auto"/>
        <w:ind w:leftChars="200" w:right="0" w:rightChars="0"/>
        <w:jc w:val="both"/>
        <w:textAlignment w:val="auto"/>
        <w:outlineLvl w:val="9"/>
        <w:rPr>
          <w:sz w:val="24"/>
          <w:szCs w:val="24"/>
        </w:rPr>
      </w:pPr>
      <w:r>
        <w:rPr>
          <w:rFonts w:hint="eastAsia"/>
          <w:sz w:val="24"/>
          <w:szCs w:val="24"/>
          <w:lang w:eastAsia="zh-CN"/>
        </w:rPr>
        <w:t>（</w:t>
      </w:r>
      <w:r>
        <w:rPr>
          <w:rFonts w:hint="eastAsia"/>
          <w:sz w:val="24"/>
          <w:szCs w:val="24"/>
          <w:lang w:val="en-US" w:eastAsia="zh-CN"/>
        </w:rPr>
        <w:t>2）</w:t>
      </w:r>
      <w:r>
        <w:rPr>
          <w:sz w:val="24"/>
          <w:szCs w:val="24"/>
        </w:rPr>
        <w:t>随同本磋商函递交的磋商一览表属于合同文件的组成部分。</w:t>
      </w:r>
    </w:p>
    <w:p w14:paraId="60D9B055">
      <w:pPr>
        <w:pStyle w:val="56"/>
        <w:keepNext w:val="0"/>
        <w:keepLines w:val="0"/>
        <w:pageBreakBefore w:val="0"/>
        <w:widowControl w:val="0"/>
        <w:numPr>
          <w:ilvl w:val="0"/>
          <w:numId w:val="0"/>
        </w:numPr>
        <w:tabs>
          <w:tab w:val="left" w:pos="1849"/>
        </w:tabs>
        <w:kinsoku/>
        <w:wordWrap/>
        <w:overflowPunct/>
        <w:topLinePunct w:val="0"/>
        <w:autoSpaceDE w:val="0"/>
        <w:autoSpaceDN w:val="0"/>
        <w:bidi w:val="0"/>
        <w:adjustRightInd/>
        <w:snapToGrid/>
        <w:spacing w:before="113" w:after="0" w:line="360" w:lineRule="auto"/>
        <w:ind w:leftChars="200" w:right="0" w:rightChars="0"/>
        <w:jc w:val="both"/>
        <w:textAlignment w:val="auto"/>
        <w:outlineLvl w:val="9"/>
        <w:rPr>
          <w:sz w:val="24"/>
          <w:szCs w:val="24"/>
        </w:rPr>
      </w:pPr>
      <w:r>
        <w:rPr>
          <w:rFonts w:hint="eastAsia"/>
          <w:sz w:val="24"/>
          <w:szCs w:val="24"/>
          <w:lang w:eastAsia="zh-CN"/>
        </w:rPr>
        <w:t>（</w:t>
      </w:r>
      <w:r>
        <w:rPr>
          <w:rFonts w:hint="eastAsia"/>
          <w:sz w:val="24"/>
          <w:szCs w:val="24"/>
          <w:lang w:val="en-US" w:eastAsia="zh-CN"/>
        </w:rPr>
        <w:t>3）</w:t>
      </w:r>
      <w:r>
        <w:rPr>
          <w:sz w:val="24"/>
          <w:szCs w:val="24"/>
        </w:rPr>
        <w:t>我方承诺按照磋商文件规定向你方递交履约担保。</w:t>
      </w:r>
    </w:p>
    <w:p w14:paraId="40B8657F">
      <w:pPr>
        <w:pStyle w:val="56"/>
        <w:keepNext w:val="0"/>
        <w:keepLines w:val="0"/>
        <w:pageBreakBefore w:val="0"/>
        <w:widowControl w:val="0"/>
        <w:numPr>
          <w:ilvl w:val="0"/>
          <w:numId w:val="0"/>
        </w:numPr>
        <w:tabs>
          <w:tab w:val="left" w:pos="1849"/>
        </w:tabs>
        <w:kinsoku/>
        <w:wordWrap/>
        <w:overflowPunct/>
        <w:topLinePunct w:val="0"/>
        <w:autoSpaceDE w:val="0"/>
        <w:autoSpaceDN w:val="0"/>
        <w:bidi w:val="0"/>
        <w:adjustRightInd/>
        <w:snapToGrid/>
        <w:spacing w:before="112" w:after="0" w:line="360" w:lineRule="auto"/>
        <w:ind w:leftChars="200" w:right="0" w:rightChars="0"/>
        <w:jc w:val="both"/>
        <w:textAlignment w:val="auto"/>
        <w:outlineLvl w:val="9"/>
        <w:rPr>
          <w:sz w:val="24"/>
          <w:szCs w:val="24"/>
        </w:rPr>
      </w:pPr>
      <w:r>
        <w:rPr>
          <w:rFonts w:hint="eastAsia"/>
          <w:sz w:val="24"/>
          <w:szCs w:val="24"/>
          <w:lang w:eastAsia="zh-CN"/>
        </w:rPr>
        <w:t>（</w:t>
      </w:r>
      <w:r>
        <w:rPr>
          <w:rFonts w:hint="eastAsia"/>
          <w:sz w:val="24"/>
          <w:szCs w:val="24"/>
          <w:lang w:val="en-US" w:eastAsia="zh-CN"/>
        </w:rPr>
        <w:t>4）</w:t>
      </w:r>
      <w:r>
        <w:rPr>
          <w:sz w:val="24"/>
          <w:szCs w:val="24"/>
        </w:rPr>
        <w:t>我方承诺在合同约定的期限内优质的服务。</w:t>
      </w:r>
    </w:p>
    <w:p w14:paraId="0674FC8E">
      <w:pPr>
        <w:pStyle w:val="13"/>
        <w:keepNext w:val="0"/>
        <w:keepLines w:val="0"/>
        <w:pageBreakBefore w:val="0"/>
        <w:widowControl w:val="0"/>
        <w:kinsoku/>
        <w:wordWrap/>
        <w:overflowPunct/>
        <w:topLinePunct w:val="0"/>
        <w:autoSpaceDE w:val="0"/>
        <w:autoSpaceDN w:val="0"/>
        <w:bidi w:val="0"/>
        <w:adjustRightInd/>
        <w:snapToGrid/>
        <w:spacing w:before="0" w:line="360" w:lineRule="auto"/>
        <w:ind w:right="0" w:firstLine="480" w:firstLineChars="200"/>
        <w:jc w:val="both"/>
        <w:textAlignment w:val="auto"/>
        <w:outlineLvl w:val="9"/>
        <w:rPr>
          <w:sz w:val="24"/>
          <w:szCs w:val="24"/>
        </w:rPr>
      </w:pPr>
      <w:r>
        <w:rPr>
          <w:sz w:val="24"/>
          <w:szCs w:val="24"/>
        </w:rPr>
        <w:t>我方在此声明，所递交的响应性文件及有关资料内容完整、真实和准确，且不存在第二部分“供应商须知”规定的任何一种情形。</w:t>
      </w:r>
    </w:p>
    <w:p w14:paraId="33B79A21">
      <w:pPr>
        <w:pStyle w:val="45"/>
        <w:jc w:val="both"/>
        <w:outlineLvl w:val="9"/>
        <w:rPr>
          <w:sz w:val="24"/>
          <w:szCs w:val="24"/>
        </w:rPr>
      </w:pPr>
    </w:p>
    <w:p w14:paraId="17BA84F9">
      <w:pPr>
        <w:jc w:val="both"/>
        <w:outlineLvl w:val="9"/>
        <w:rPr>
          <w:sz w:val="24"/>
          <w:szCs w:val="24"/>
        </w:rPr>
      </w:pPr>
    </w:p>
    <w:p w14:paraId="5A4F2D3E">
      <w:pPr>
        <w:pStyle w:val="13"/>
        <w:jc w:val="both"/>
        <w:outlineLvl w:val="9"/>
        <w:rPr>
          <w:sz w:val="24"/>
          <w:szCs w:val="24"/>
        </w:rPr>
      </w:pPr>
    </w:p>
    <w:p w14:paraId="25D16354">
      <w:pPr>
        <w:pStyle w:val="45"/>
        <w:jc w:val="both"/>
        <w:outlineLvl w:val="9"/>
        <w:rPr>
          <w:sz w:val="24"/>
          <w:szCs w:val="24"/>
        </w:rPr>
      </w:pPr>
    </w:p>
    <w:p w14:paraId="39199DE7">
      <w:pPr>
        <w:jc w:val="both"/>
        <w:outlineLvl w:val="9"/>
        <w:rPr>
          <w:sz w:val="24"/>
          <w:szCs w:val="24"/>
        </w:rPr>
      </w:pPr>
    </w:p>
    <w:p w14:paraId="45FDA316">
      <w:pPr>
        <w:pStyle w:val="13"/>
        <w:jc w:val="both"/>
        <w:outlineLvl w:val="9"/>
      </w:pPr>
    </w:p>
    <w:p w14:paraId="1705A4DC">
      <w:pPr>
        <w:pStyle w:val="13"/>
        <w:keepNext w:val="0"/>
        <w:keepLines w:val="0"/>
        <w:pageBreakBefore w:val="0"/>
        <w:widowControl w:val="0"/>
        <w:kinsoku/>
        <w:wordWrap/>
        <w:overflowPunct/>
        <w:topLinePunct w:val="0"/>
        <w:autoSpaceDE w:val="0"/>
        <w:autoSpaceDN w:val="0"/>
        <w:bidi w:val="0"/>
        <w:adjustRightInd/>
        <w:snapToGrid/>
        <w:spacing w:before="0" w:line="360" w:lineRule="auto"/>
        <w:ind w:right="0" w:firstLine="240" w:firstLineChars="100"/>
        <w:jc w:val="both"/>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rPr>
        <w:t>投标人名称：</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电子签章</w:t>
      </w:r>
      <w:r>
        <w:rPr>
          <w:rFonts w:hint="eastAsia" w:ascii="宋体" w:hAnsi="宋体" w:eastAsia="宋体" w:cs="宋体"/>
          <w:sz w:val="24"/>
          <w:szCs w:val="24"/>
          <w:lang w:eastAsia="zh-CN"/>
        </w:rPr>
        <w:t>）</w:t>
      </w:r>
    </w:p>
    <w:p w14:paraId="2821E08C">
      <w:pPr>
        <w:pStyle w:val="13"/>
        <w:keepNext w:val="0"/>
        <w:keepLines w:val="0"/>
        <w:pageBreakBefore w:val="0"/>
        <w:widowControl w:val="0"/>
        <w:kinsoku/>
        <w:wordWrap/>
        <w:overflowPunct/>
        <w:topLinePunct w:val="0"/>
        <w:autoSpaceDE w:val="0"/>
        <w:autoSpaceDN w:val="0"/>
        <w:bidi w:val="0"/>
        <w:adjustRightInd/>
        <w:snapToGrid/>
        <w:spacing w:before="0" w:line="360" w:lineRule="auto"/>
        <w:ind w:right="0" w:firstLine="240" w:firstLineChars="1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法定代表人或其委托代理人：</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（电子签章</w:t>
      </w:r>
      <w:r>
        <w:rPr>
          <w:rFonts w:hint="eastAsia" w:ascii="宋体" w:hAnsi="宋体" w:eastAsia="宋体" w:cs="宋体"/>
          <w:sz w:val="24"/>
          <w:szCs w:val="24"/>
          <w:lang w:val="en-US" w:eastAsia="zh-CN"/>
        </w:rPr>
        <w:t>/</w:t>
      </w:r>
      <w:r>
        <w:rPr>
          <w:rFonts w:hint="eastAsia" w:ascii="宋体" w:hAnsi="宋体" w:eastAsia="宋体" w:cs="宋体"/>
          <w:sz w:val="24"/>
          <w:szCs w:val="24"/>
        </w:rPr>
        <w:t>授权代表签字）</w:t>
      </w:r>
    </w:p>
    <w:p w14:paraId="420F6788">
      <w:pPr>
        <w:pStyle w:val="13"/>
        <w:keepNext w:val="0"/>
        <w:keepLines w:val="0"/>
        <w:pageBreakBefore w:val="0"/>
        <w:widowControl w:val="0"/>
        <w:kinsoku/>
        <w:wordWrap/>
        <w:overflowPunct/>
        <w:topLinePunct w:val="0"/>
        <w:autoSpaceDE w:val="0"/>
        <w:autoSpaceDN w:val="0"/>
        <w:bidi w:val="0"/>
        <w:adjustRightInd/>
        <w:snapToGrid/>
        <w:spacing w:before="0" w:line="360" w:lineRule="auto"/>
        <w:ind w:right="0" w:firstLine="240" w:firstLineChars="1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地址：</w:t>
      </w:r>
    </w:p>
    <w:p w14:paraId="3C7BEDE1">
      <w:pPr>
        <w:pStyle w:val="13"/>
        <w:keepNext w:val="0"/>
        <w:keepLines w:val="0"/>
        <w:pageBreakBefore w:val="0"/>
        <w:widowControl w:val="0"/>
        <w:kinsoku/>
        <w:wordWrap/>
        <w:overflowPunct/>
        <w:topLinePunct w:val="0"/>
        <w:autoSpaceDE w:val="0"/>
        <w:autoSpaceDN w:val="0"/>
        <w:bidi w:val="0"/>
        <w:adjustRightInd/>
        <w:snapToGrid/>
        <w:spacing w:before="0" w:line="360" w:lineRule="auto"/>
        <w:ind w:right="0" w:firstLine="240" w:firstLineChars="1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网址：</w:t>
      </w:r>
    </w:p>
    <w:p w14:paraId="1BF0DD46">
      <w:pPr>
        <w:pStyle w:val="13"/>
        <w:keepNext w:val="0"/>
        <w:keepLines w:val="0"/>
        <w:pageBreakBefore w:val="0"/>
        <w:widowControl w:val="0"/>
        <w:kinsoku/>
        <w:wordWrap/>
        <w:overflowPunct/>
        <w:topLinePunct w:val="0"/>
        <w:autoSpaceDE w:val="0"/>
        <w:autoSpaceDN w:val="0"/>
        <w:bidi w:val="0"/>
        <w:adjustRightInd/>
        <w:snapToGrid/>
        <w:spacing w:before="0" w:line="360" w:lineRule="auto"/>
        <w:ind w:right="0" w:firstLine="240" w:firstLineChars="1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电话：</w:t>
      </w:r>
    </w:p>
    <w:p w14:paraId="7BCA8755">
      <w:pPr>
        <w:pStyle w:val="13"/>
        <w:keepNext w:val="0"/>
        <w:keepLines w:val="0"/>
        <w:pageBreakBefore w:val="0"/>
        <w:widowControl w:val="0"/>
        <w:kinsoku/>
        <w:wordWrap/>
        <w:overflowPunct/>
        <w:topLinePunct w:val="0"/>
        <w:autoSpaceDE w:val="0"/>
        <w:autoSpaceDN w:val="0"/>
        <w:bidi w:val="0"/>
        <w:adjustRightInd/>
        <w:snapToGrid/>
        <w:spacing w:before="0" w:line="360" w:lineRule="auto"/>
        <w:ind w:right="0" w:firstLine="240" w:firstLineChars="1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传真：</w:t>
      </w:r>
    </w:p>
    <w:p w14:paraId="36DA04B9">
      <w:pPr>
        <w:pStyle w:val="13"/>
        <w:keepNext w:val="0"/>
        <w:keepLines w:val="0"/>
        <w:pageBreakBefore w:val="0"/>
        <w:widowControl w:val="0"/>
        <w:kinsoku/>
        <w:wordWrap/>
        <w:overflowPunct/>
        <w:topLinePunct w:val="0"/>
        <w:autoSpaceDE w:val="0"/>
        <w:autoSpaceDN w:val="0"/>
        <w:bidi w:val="0"/>
        <w:adjustRightInd/>
        <w:snapToGrid/>
        <w:spacing w:before="0" w:line="360" w:lineRule="auto"/>
        <w:ind w:right="0" w:firstLine="240" w:firstLineChars="1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邮政编码：</w:t>
      </w:r>
    </w:p>
    <w:p w14:paraId="0F14BEE0">
      <w:pPr>
        <w:pStyle w:val="13"/>
        <w:keepNext w:val="0"/>
        <w:keepLines w:val="0"/>
        <w:pageBreakBefore w:val="0"/>
        <w:widowControl w:val="0"/>
        <w:kinsoku/>
        <w:wordWrap/>
        <w:overflowPunct/>
        <w:topLinePunct w:val="0"/>
        <w:autoSpaceDE w:val="0"/>
        <w:autoSpaceDN w:val="0"/>
        <w:bidi w:val="0"/>
        <w:adjustRightInd/>
        <w:snapToGrid/>
        <w:spacing w:before="0" w:line="360" w:lineRule="auto"/>
        <w:ind w:right="0" w:firstLine="240" w:firstLineChars="10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日期：</w:t>
      </w:r>
      <w:r>
        <w:rPr>
          <w:rFonts w:hint="eastAsia" w:ascii="宋体" w:hAnsi="宋体" w:eastAsia="宋体" w:cs="宋体"/>
          <w:sz w:val="24"/>
          <w:szCs w:val="24"/>
        </w:rPr>
        <w:t>年</w:t>
      </w:r>
      <w:r>
        <w:rPr>
          <w:rFonts w:hint="eastAsia" w:ascii="宋体" w:hAnsi="宋体" w:eastAsia="宋体" w:cs="宋体"/>
          <w:sz w:val="24"/>
          <w:szCs w:val="24"/>
        </w:rPr>
        <w:tab/>
      </w:r>
      <w:r>
        <w:rPr>
          <w:rFonts w:hint="eastAsia" w:ascii="宋体" w:hAnsi="宋体" w:eastAsia="宋体" w:cs="宋体"/>
          <w:sz w:val="24"/>
          <w:szCs w:val="24"/>
        </w:rPr>
        <w:t>月</w:t>
      </w:r>
      <w:r>
        <w:rPr>
          <w:rFonts w:hint="eastAsia" w:ascii="宋体" w:hAnsi="宋体" w:eastAsia="宋体" w:cs="宋体"/>
          <w:sz w:val="24"/>
          <w:szCs w:val="24"/>
        </w:rPr>
        <w:tab/>
      </w:r>
      <w:r>
        <w:rPr>
          <w:rFonts w:hint="eastAsia" w:ascii="宋体" w:hAnsi="宋体" w:eastAsia="宋体" w:cs="宋体"/>
          <w:sz w:val="24"/>
          <w:szCs w:val="24"/>
        </w:rPr>
        <w:t>日</w:t>
      </w:r>
    </w:p>
    <w:p w14:paraId="3869B8BD">
      <w:pPr>
        <w:pStyle w:val="13"/>
        <w:jc w:val="both"/>
        <w:outlineLvl w:val="9"/>
        <w:rPr>
          <w:sz w:val="20"/>
        </w:rPr>
      </w:pPr>
    </w:p>
    <w:p w14:paraId="5E55D56C">
      <w:pPr>
        <w:pStyle w:val="25"/>
      </w:pPr>
    </w:p>
    <w:p w14:paraId="607BE901">
      <w:pPr>
        <w:pStyle w:val="45"/>
        <w:jc w:val="both"/>
        <w:outlineLvl w:val="9"/>
        <w:rPr>
          <w:sz w:val="20"/>
        </w:rPr>
      </w:pPr>
    </w:p>
    <w:p w14:paraId="40C34C6F"/>
    <w:p w14:paraId="702E6814">
      <w:pPr>
        <w:spacing w:before="66"/>
        <w:ind w:left="4312" w:right="0" w:firstLine="0"/>
        <w:jc w:val="both"/>
        <w:outlineLvl w:val="9"/>
        <w:rPr>
          <w:b/>
          <w:spacing w:val="-2"/>
          <w:sz w:val="24"/>
          <w:szCs w:val="24"/>
        </w:rPr>
      </w:pPr>
      <w:r>
        <w:rPr>
          <w:b/>
          <w:spacing w:val="-2"/>
          <w:sz w:val="24"/>
          <w:szCs w:val="24"/>
        </w:rPr>
        <w:t>（二） 磋商一览表</w:t>
      </w:r>
    </w:p>
    <w:tbl>
      <w:tblPr>
        <w:tblStyle w:val="30"/>
        <w:tblpPr w:leftFromText="180" w:rightFromText="180" w:vertAnchor="text" w:horzAnchor="page" w:tblpX="1317" w:tblpY="547"/>
        <w:tblOverlap w:val="never"/>
        <w:tblW w:w="90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0"/>
        <w:gridCol w:w="7236"/>
      </w:tblGrid>
      <w:tr w14:paraId="44A91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1" w:hRule="atLeast"/>
        </w:trPr>
        <w:tc>
          <w:tcPr>
            <w:tcW w:w="1810" w:type="dxa"/>
            <w:tcBorders>
              <w:top w:val="single" w:color="auto" w:sz="4" w:space="0"/>
              <w:left w:val="single" w:color="auto" w:sz="4" w:space="0"/>
              <w:bottom w:val="single" w:color="auto" w:sz="4" w:space="0"/>
              <w:right w:val="single" w:color="auto" w:sz="4" w:space="0"/>
            </w:tcBorders>
            <w:noWrap w:val="0"/>
            <w:vAlign w:val="center"/>
          </w:tcPr>
          <w:p w14:paraId="3DA7491B">
            <w:pPr>
              <w:keepNext w:val="0"/>
              <w:keepLines w:val="0"/>
              <w:pageBreakBefore w:val="0"/>
              <w:kinsoku/>
              <w:wordWrap w:val="0"/>
              <w:overflowPunct/>
              <w:topLinePunct w:val="0"/>
              <w:bidi w:val="0"/>
              <w:spacing w:line="360" w:lineRule="auto"/>
              <w:jc w:val="both"/>
              <w:rPr>
                <w:rFonts w:hint="eastAsia" w:asciiTheme="minorEastAsia" w:hAnsiTheme="minorEastAsia" w:eastAsiaTheme="minorEastAsia" w:cstheme="minorEastAsia"/>
                <w:b w:val="0"/>
                <w:bCs w:val="0"/>
                <w:snapToGrid w:val="0"/>
                <w:color w:val="000000"/>
                <w:spacing w:val="-8"/>
                <w:kern w:val="0"/>
                <w:sz w:val="24"/>
                <w:szCs w:val="24"/>
                <w:lang w:val="en-US" w:eastAsia="zh-CN" w:bidi="ar-SA"/>
              </w:rPr>
            </w:pPr>
            <w:r>
              <w:rPr>
                <w:rFonts w:hint="eastAsia" w:asciiTheme="minorEastAsia" w:hAnsiTheme="minorEastAsia" w:eastAsiaTheme="minorEastAsia" w:cstheme="minorEastAsia"/>
                <w:b w:val="0"/>
                <w:bCs w:val="0"/>
                <w:snapToGrid w:val="0"/>
                <w:color w:val="000000"/>
                <w:spacing w:val="-8"/>
                <w:kern w:val="0"/>
                <w:sz w:val="24"/>
                <w:szCs w:val="24"/>
                <w:lang w:val="en-US" w:eastAsia="zh-CN" w:bidi="ar-SA"/>
              </w:rPr>
              <w:t>项目名称</w:t>
            </w:r>
          </w:p>
        </w:tc>
        <w:tc>
          <w:tcPr>
            <w:tcW w:w="7236" w:type="dxa"/>
            <w:tcBorders>
              <w:top w:val="single" w:color="auto" w:sz="4" w:space="0"/>
              <w:left w:val="single" w:color="auto" w:sz="4" w:space="0"/>
              <w:bottom w:val="single" w:color="auto" w:sz="4" w:space="0"/>
              <w:right w:val="single" w:color="auto" w:sz="4" w:space="0"/>
            </w:tcBorders>
            <w:noWrap w:val="0"/>
            <w:vAlign w:val="center"/>
          </w:tcPr>
          <w:p w14:paraId="145D2C35">
            <w:pPr>
              <w:keepNext w:val="0"/>
              <w:keepLines w:val="0"/>
              <w:pageBreakBefore w:val="0"/>
              <w:kinsoku/>
              <w:wordWrap w:val="0"/>
              <w:overflowPunct/>
              <w:topLinePunct w:val="0"/>
              <w:bidi w:val="0"/>
              <w:spacing w:line="360" w:lineRule="auto"/>
              <w:jc w:val="both"/>
              <w:rPr>
                <w:rFonts w:hint="eastAsia" w:asciiTheme="minorEastAsia" w:hAnsiTheme="minorEastAsia" w:eastAsiaTheme="minorEastAsia" w:cstheme="minorEastAsia"/>
                <w:snapToGrid w:val="0"/>
                <w:color w:val="000000"/>
                <w:spacing w:val="24"/>
                <w:kern w:val="0"/>
                <w:sz w:val="24"/>
                <w:szCs w:val="24"/>
                <w:lang w:val="en-US" w:eastAsia="zh-CN" w:bidi="ar-SA"/>
                <w14:textOutline w14:w="1537" w14:cap="flat" w14:cmpd="sng">
                  <w14:solidFill>
                    <w14:srgbClr w14:val="000000"/>
                  </w14:solidFill>
                  <w14:prstDash w14:val="solid"/>
                  <w14:miter w14:val="0"/>
                </w14:textOutline>
              </w:rPr>
            </w:pPr>
          </w:p>
        </w:tc>
      </w:tr>
      <w:tr w14:paraId="33A4F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8" w:hRule="atLeast"/>
        </w:trPr>
        <w:tc>
          <w:tcPr>
            <w:tcW w:w="1810" w:type="dxa"/>
            <w:tcBorders>
              <w:top w:val="single" w:color="auto" w:sz="4" w:space="0"/>
              <w:left w:val="single" w:color="auto" w:sz="4" w:space="0"/>
              <w:bottom w:val="single" w:color="auto" w:sz="4" w:space="0"/>
              <w:right w:val="single" w:color="auto" w:sz="4" w:space="0"/>
            </w:tcBorders>
            <w:noWrap w:val="0"/>
            <w:vAlign w:val="center"/>
          </w:tcPr>
          <w:p w14:paraId="34057488">
            <w:pPr>
              <w:keepNext w:val="0"/>
              <w:keepLines w:val="0"/>
              <w:pageBreakBefore w:val="0"/>
              <w:kinsoku/>
              <w:wordWrap w:val="0"/>
              <w:overflowPunct/>
              <w:topLinePunct w:val="0"/>
              <w:bidi w:val="0"/>
              <w:spacing w:line="360" w:lineRule="auto"/>
              <w:jc w:val="both"/>
              <w:rPr>
                <w:rFonts w:hint="eastAsia" w:asciiTheme="minorEastAsia" w:hAnsiTheme="minorEastAsia" w:eastAsiaTheme="minorEastAsia" w:cstheme="minorEastAsia"/>
                <w:b w:val="0"/>
                <w:bCs w:val="0"/>
                <w:snapToGrid w:val="0"/>
                <w:color w:val="000000"/>
                <w:spacing w:val="-8"/>
                <w:kern w:val="0"/>
                <w:sz w:val="24"/>
                <w:szCs w:val="24"/>
                <w:lang w:val="en-US" w:eastAsia="zh-CN" w:bidi="ar-SA"/>
              </w:rPr>
            </w:pPr>
            <w:r>
              <w:rPr>
                <w:rFonts w:hint="eastAsia" w:asciiTheme="minorEastAsia" w:hAnsiTheme="minorEastAsia" w:cstheme="minorEastAsia"/>
                <w:b w:val="0"/>
                <w:bCs w:val="0"/>
                <w:snapToGrid w:val="0"/>
                <w:color w:val="000000"/>
                <w:spacing w:val="-8"/>
                <w:kern w:val="0"/>
                <w:sz w:val="24"/>
                <w:szCs w:val="24"/>
                <w:lang w:val="en-US" w:eastAsia="zh-CN" w:bidi="ar-SA"/>
              </w:rPr>
              <w:t>标段</w:t>
            </w:r>
          </w:p>
        </w:tc>
        <w:tc>
          <w:tcPr>
            <w:tcW w:w="7236" w:type="dxa"/>
            <w:tcBorders>
              <w:top w:val="single" w:color="auto" w:sz="4" w:space="0"/>
              <w:left w:val="single" w:color="auto" w:sz="4" w:space="0"/>
              <w:bottom w:val="single" w:color="auto" w:sz="4" w:space="0"/>
              <w:right w:val="single" w:color="auto" w:sz="4" w:space="0"/>
            </w:tcBorders>
            <w:noWrap w:val="0"/>
            <w:vAlign w:val="center"/>
          </w:tcPr>
          <w:p w14:paraId="537ED9E7">
            <w:pPr>
              <w:keepNext w:val="0"/>
              <w:keepLines w:val="0"/>
              <w:pageBreakBefore w:val="0"/>
              <w:kinsoku/>
              <w:wordWrap w:val="0"/>
              <w:overflowPunct/>
              <w:topLinePunct w:val="0"/>
              <w:bidi w:val="0"/>
              <w:spacing w:line="360" w:lineRule="auto"/>
              <w:jc w:val="both"/>
              <w:rPr>
                <w:rFonts w:hint="eastAsia" w:asciiTheme="minorEastAsia" w:hAnsiTheme="minorEastAsia" w:eastAsiaTheme="minorEastAsia" w:cstheme="minorEastAsia"/>
                <w:snapToGrid w:val="0"/>
                <w:color w:val="000000"/>
                <w:spacing w:val="24"/>
                <w:kern w:val="0"/>
                <w:sz w:val="24"/>
                <w:szCs w:val="24"/>
                <w:lang w:val="en-US" w:eastAsia="zh-CN" w:bidi="ar-SA"/>
                <w14:textOutline w14:w="1537" w14:cap="flat" w14:cmpd="sng">
                  <w14:solidFill>
                    <w14:srgbClr w14:val="000000"/>
                  </w14:solidFill>
                  <w14:prstDash w14:val="solid"/>
                  <w14:miter w14:val="0"/>
                </w14:textOutline>
              </w:rPr>
            </w:pPr>
          </w:p>
        </w:tc>
      </w:tr>
      <w:tr w14:paraId="57991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9" w:hRule="atLeast"/>
        </w:trPr>
        <w:tc>
          <w:tcPr>
            <w:tcW w:w="1810" w:type="dxa"/>
            <w:tcBorders>
              <w:top w:val="single" w:color="auto" w:sz="4" w:space="0"/>
              <w:left w:val="single" w:color="auto" w:sz="4" w:space="0"/>
              <w:bottom w:val="single" w:color="auto" w:sz="4" w:space="0"/>
              <w:right w:val="single" w:color="auto" w:sz="4" w:space="0"/>
            </w:tcBorders>
            <w:noWrap w:val="0"/>
            <w:vAlign w:val="center"/>
          </w:tcPr>
          <w:p w14:paraId="5AB3834B">
            <w:pPr>
              <w:keepNext w:val="0"/>
              <w:keepLines w:val="0"/>
              <w:pageBreakBefore w:val="0"/>
              <w:kinsoku/>
              <w:wordWrap w:val="0"/>
              <w:overflowPunct/>
              <w:topLinePunct w:val="0"/>
              <w:bidi w:val="0"/>
              <w:spacing w:line="360" w:lineRule="auto"/>
              <w:jc w:val="both"/>
              <w:rPr>
                <w:rFonts w:hint="eastAsia" w:asciiTheme="minorEastAsia" w:hAnsiTheme="minorEastAsia" w:eastAsiaTheme="minorEastAsia" w:cstheme="minorEastAsia"/>
                <w:b w:val="0"/>
                <w:bCs w:val="0"/>
                <w:snapToGrid w:val="0"/>
                <w:color w:val="000000"/>
                <w:spacing w:val="-8"/>
                <w:kern w:val="0"/>
                <w:sz w:val="24"/>
                <w:szCs w:val="24"/>
                <w:lang w:val="en-US" w:eastAsia="zh-CN" w:bidi="ar-SA"/>
              </w:rPr>
            </w:pPr>
            <w:r>
              <w:rPr>
                <w:rFonts w:hint="eastAsia" w:asciiTheme="minorEastAsia" w:hAnsiTheme="minorEastAsia" w:eastAsiaTheme="minorEastAsia" w:cstheme="minorEastAsia"/>
                <w:b w:val="0"/>
                <w:bCs w:val="0"/>
                <w:snapToGrid w:val="0"/>
                <w:color w:val="000000"/>
                <w:spacing w:val="-8"/>
                <w:kern w:val="0"/>
                <w:sz w:val="24"/>
                <w:szCs w:val="24"/>
                <w:lang w:val="en-US" w:eastAsia="zh-CN" w:bidi="ar-SA"/>
              </w:rPr>
              <w:t>投标人</w:t>
            </w:r>
          </w:p>
        </w:tc>
        <w:tc>
          <w:tcPr>
            <w:tcW w:w="7236" w:type="dxa"/>
            <w:tcBorders>
              <w:top w:val="single" w:color="auto" w:sz="4" w:space="0"/>
              <w:left w:val="single" w:color="auto" w:sz="4" w:space="0"/>
              <w:bottom w:val="single" w:color="auto" w:sz="4" w:space="0"/>
              <w:right w:val="single" w:color="auto" w:sz="4" w:space="0"/>
            </w:tcBorders>
            <w:noWrap w:val="0"/>
            <w:vAlign w:val="center"/>
          </w:tcPr>
          <w:p w14:paraId="5F1EBADC">
            <w:pPr>
              <w:keepNext w:val="0"/>
              <w:keepLines w:val="0"/>
              <w:pageBreakBefore w:val="0"/>
              <w:kinsoku/>
              <w:wordWrap w:val="0"/>
              <w:overflowPunct/>
              <w:topLinePunct w:val="0"/>
              <w:bidi w:val="0"/>
              <w:spacing w:line="360" w:lineRule="auto"/>
              <w:jc w:val="both"/>
              <w:rPr>
                <w:rFonts w:hint="eastAsia" w:asciiTheme="minorEastAsia" w:hAnsiTheme="minorEastAsia" w:eastAsiaTheme="minorEastAsia" w:cstheme="minorEastAsia"/>
                <w:snapToGrid w:val="0"/>
                <w:color w:val="000000"/>
                <w:spacing w:val="24"/>
                <w:kern w:val="0"/>
                <w:sz w:val="24"/>
                <w:szCs w:val="24"/>
                <w:lang w:val="en-US" w:eastAsia="zh-CN" w:bidi="ar-SA"/>
                <w14:textOutline w14:w="1537" w14:cap="flat" w14:cmpd="sng">
                  <w14:solidFill>
                    <w14:srgbClr w14:val="000000"/>
                  </w14:solidFill>
                  <w14:prstDash w14:val="solid"/>
                  <w14:miter w14:val="0"/>
                </w14:textOutline>
              </w:rPr>
            </w:pPr>
          </w:p>
        </w:tc>
      </w:tr>
      <w:tr w14:paraId="0C874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3" w:hRule="atLeast"/>
        </w:trPr>
        <w:tc>
          <w:tcPr>
            <w:tcW w:w="1810" w:type="dxa"/>
            <w:tcBorders>
              <w:top w:val="single" w:color="auto" w:sz="4" w:space="0"/>
              <w:left w:val="single" w:color="auto" w:sz="4" w:space="0"/>
              <w:bottom w:val="single" w:color="auto" w:sz="4" w:space="0"/>
              <w:right w:val="single" w:color="auto" w:sz="4" w:space="0"/>
            </w:tcBorders>
            <w:noWrap w:val="0"/>
            <w:vAlign w:val="center"/>
          </w:tcPr>
          <w:p w14:paraId="577A6D0E">
            <w:pPr>
              <w:keepNext w:val="0"/>
              <w:keepLines w:val="0"/>
              <w:pageBreakBefore w:val="0"/>
              <w:kinsoku/>
              <w:wordWrap w:val="0"/>
              <w:overflowPunct/>
              <w:topLinePunct w:val="0"/>
              <w:bidi w:val="0"/>
              <w:spacing w:line="360" w:lineRule="auto"/>
              <w:jc w:val="both"/>
              <w:rPr>
                <w:rFonts w:hint="eastAsia" w:asciiTheme="minorEastAsia" w:hAnsiTheme="minorEastAsia" w:eastAsiaTheme="minorEastAsia" w:cstheme="minorEastAsia"/>
                <w:b w:val="0"/>
                <w:bCs w:val="0"/>
                <w:snapToGrid w:val="0"/>
                <w:color w:val="000000"/>
                <w:spacing w:val="-8"/>
                <w:kern w:val="0"/>
                <w:sz w:val="24"/>
                <w:szCs w:val="24"/>
                <w:lang w:val="en-US" w:eastAsia="zh-CN" w:bidi="ar-SA"/>
              </w:rPr>
            </w:pPr>
            <w:r>
              <w:rPr>
                <w:rFonts w:hint="eastAsia" w:asciiTheme="minorEastAsia" w:hAnsiTheme="minorEastAsia" w:eastAsiaTheme="minorEastAsia" w:cstheme="minorEastAsia"/>
                <w:b w:val="0"/>
                <w:bCs w:val="0"/>
                <w:snapToGrid w:val="0"/>
                <w:color w:val="000000"/>
                <w:spacing w:val="-8"/>
                <w:kern w:val="0"/>
                <w:sz w:val="24"/>
                <w:szCs w:val="24"/>
                <w:lang w:val="en-US" w:eastAsia="zh-CN" w:bidi="ar-SA"/>
              </w:rPr>
              <w:t>磋商报价</w:t>
            </w:r>
          </w:p>
        </w:tc>
        <w:tc>
          <w:tcPr>
            <w:tcW w:w="7236" w:type="dxa"/>
            <w:tcBorders>
              <w:top w:val="single" w:color="auto" w:sz="4" w:space="0"/>
              <w:left w:val="single" w:color="auto" w:sz="4" w:space="0"/>
              <w:bottom w:val="single" w:color="auto" w:sz="4" w:space="0"/>
              <w:right w:val="single" w:color="auto" w:sz="4" w:space="0"/>
            </w:tcBorders>
            <w:noWrap w:val="0"/>
            <w:vAlign w:val="center"/>
          </w:tcPr>
          <w:p w14:paraId="73D75306">
            <w:pPr>
              <w:keepNext w:val="0"/>
              <w:keepLines w:val="0"/>
              <w:pageBreakBefore w:val="0"/>
              <w:kinsoku/>
              <w:wordWrap w:val="0"/>
              <w:overflowPunct/>
              <w:topLinePunct w:val="0"/>
              <w:bidi w:val="0"/>
              <w:spacing w:line="360" w:lineRule="auto"/>
              <w:jc w:val="both"/>
              <w:rPr>
                <w:rFonts w:hint="eastAsia" w:asciiTheme="minorEastAsia" w:hAnsiTheme="minorEastAsia" w:eastAsiaTheme="minorEastAsia" w:cstheme="minorEastAsia"/>
                <w:snapToGrid w:val="0"/>
                <w:color w:val="000000"/>
                <w:spacing w:val="24"/>
                <w:kern w:val="0"/>
                <w:sz w:val="24"/>
                <w:szCs w:val="24"/>
                <w:lang w:val="en-US" w:eastAsia="zh-CN" w:bidi="ar-SA"/>
                <w14:textOutline w14:w="1537" w14:cap="flat" w14:cmpd="sng">
                  <w14:solidFill>
                    <w14:srgbClr w14:val="000000"/>
                  </w14:solidFill>
                  <w14:prstDash w14:val="solid"/>
                  <w14:miter w14:val="0"/>
                </w14:textOutline>
              </w:rPr>
            </w:pPr>
            <w:r>
              <w:rPr>
                <w:rFonts w:hint="eastAsia" w:asciiTheme="minorEastAsia" w:hAnsiTheme="minorEastAsia" w:eastAsiaTheme="minorEastAsia" w:cstheme="minorEastAsia"/>
                <w:snapToGrid w:val="0"/>
                <w:color w:val="000000"/>
                <w:spacing w:val="-8"/>
                <w:kern w:val="0"/>
                <w:sz w:val="24"/>
                <w:szCs w:val="24"/>
                <w:lang w:val="en-US" w:eastAsia="zh-CN" w:bidi="ar-SA"/>
              </w:rPr>
              <w:t>大写：（￥：</w:t>
            </w:r>
            <w:r>
              <w:rPr>
                <w:rFonts w:hint="eastAsia" w:asciiTheme="minorEastAsia" w:hAnsiTheme="minorEastAsia" w:cstheme="minorEastAsia"/>
                <w:snapToGrid w:val="0"/>
                <w:color w:val="000000"/>
                <w:spacing w:val="-8"/>
                <w:kern w:val="0"/>
                <w:sz w:val="24"/>
                <w:szCs w:val="24"/>
                <w:lang w:val="en-US" w:eastAsia="zh-CN" w:bidi="ar-SA"/>
              </w:rPr>
              <w:t xml:space="preserve">   </w:t>
            </w:r>
            <w:r>
              <w:rPr>
                <w:rFonts w:hint="eastAsia" w:asciiTheme="minorEastAsia" w:hAnsiTheme="minorEastAsia" w:eastAsiaTheme="minorEastAsia" w:cstheme="minorEastAsia"/>
                <w:snapToGrid w:val="0"/>
                <w:color w:val="000000"/>
                <w:spacing w:val="-8"/>
                <w:kern w:val="0"/>
                <w:sz w:val="24"/>
                <w:szCs w:val="24"/>
                <w:lang w:val="en-US" w:eastAsia="zh-CN" w:bidi="ar-SA"/>
              </w:rPr>
              <w:t>）</w:t>
            </w:r>
          </w:p>
        </w:tc>
      </w:tr>
      <w:tr w14:paraId="1EB24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trPr>
        <w:tc>
          <w:tcPr>
            <w:tcW w:w="1810" w:type="dxa"/>
            <w:tcBorders>
              <w:top w:val="single" w:color="auto" w:sz="4" w:space="0"/>
              <w:left w:val="single" w:color="auto" w:sz="4" w:space="0"/>
              <w:bottom w:val="single" w:color="auto" w:sz="4" w:space="0"/>
              <w:right w:val="single" w:color="auto" w:sz="4" w:space="0"/>
            </w:tcBorders>
            <w:noWrap w:val="0"/>
            <w:vAlign w:val="center"/>
          </w:tcPr>
          <w:p w14:paraId="67C4DA5A">
            <w:pPr>
              <w:keepNext w:val="0"/>
              <w:keepLines w:val="0"/>
              <w:pageBreakBefore w:val="0"/>
              <w:kinsoku/>
              <w:wordWrap w:val="0"/>
              <w:overflowPunct/>
              <w:topLinePunct w:val="0"/>
              <w:bidi w:val="0"/>
              <w:spacing w:line="360" w:lineRule="auto"/>
              <w:jc w:val="both"/>
              <w:rPr>
                <w:rFonts w:hint="eastAsia" w:asciiTheme="minorEastAsia" w:hAnsiTheme="minorEastAsia" w:eastAsiaTheme="minorEastAsia" w:cstheme="minorEastAsia"/>
                <w:b w:val="0"/>
                <w:bCs w:val="0"/>
                <w:snapToGrid w:val="0"/>
                <w:color w:val="000000"/>
                <w:spacing w:val="-8"/>
                <w:kern w:val="0"/>
                <w:sz w:val="24"/>
                <w:szCs w:val="24"/>
                <w:lang w:val="en-US" w:eastAsia="zh-CN" w:bidi="ar-SA"/>
              </w:rPr>
            </w:pPr>
            <w:r>
              <w:rPr>
                <w:rFonts w:hint="eastAsia" w:asciiTheme="minorEastAsia" w:hAnsiTheme="minorEastAsia" w:eastAsiaTheme="minorEastAsia" w:cstheme="minorEastAsia"/>
                <w:b w:val="0"/>
                <w:bCs w:val="0"/>
                <w:snapToGrid w:val="0"/>
                <w:color w:val="000000"/>
                <w:spacing w:val="-8"/>
                <w:kern w:val="0"/>
                <w:sz w:val="24"/>
                <w:szCs w:val="24"/>
                <w:lang w:val="en-US" w:eastAsia="zh-CN" w:bidi="ar-SA"/>
              </w:rPr>
              <w:t>服务期限</w:t>
            </w:r>
          </w:p>
        </w:tc>
        <w:tc>
          <w:tcPr>
            <w:tcW w:w="7236" w:type="dxa"/>
            <w:tcBorders>
              <w:top w:val="single" w:color="auto" w:sz="4" w:space="0"/>
              <w:left w:val="single" w:color="auto" w:sz="4" w:space="0"/>
              <w:bottom w:val="single" w:color="auto" w:sz="4" w:space="0"/>
              <w:right w:val="single" w:color="auto" w:sz="4" w:space="0"/>
            </w:tcBorders>
            <w:noWrap w:val="0"/>
            <w:vAlign w:val="center"/>
          </w:tcPr>
          <w:p w14:paraId="0F180EF0">
            <w:pPr>
              <w:keepNext w:val="0"/>
              <w:keepLines w:val="0"/>
              <w:pageBreakBefore w:val="0"/>
              <w:kinsoku/>
              <w:wordWrap w:val="0"/>
              <w:overflowPunct/>
              <w:topLinePunct w:val="0"/>
              <w:bidi w:val="0"/>
              <w:spacing w:line="360" w:lineRule="auto"/>
              <w:jc w:val="both"/>
              <w:rPr>
                <w:rFonts w:hint="eastAsia" w:asciiTheme="minorEastAsia" w:hAnsiTheme="minorEastAsia" w:eastAsiaTheme="minorEastAsia" w:cstheme="minorEastAsia"/>
                <w:snapToGrid w:val="0"/>
                <w:color w:val="000000"/>
                <w:spacing w:val="24"/>
                <w:kern w:val="0"/>
                <w:sz w:val="24"/>
                <w:szCs w:val="24"/>
                <w:lang w:val="en-US" w:eastAsia="zh-CN" w:bidi="ar-SA"/>
                <w14:textOutline w14:w="1537" w14:cap="flat" w14:cmpd="sng">
                  <w14:solidFill>
                    <w14:srgbClr w14:val="000000"/>
                  </w14:solidFill>
                  <w14:prstDash w14:val="solid"/>
                  <w14:miter w14:val="0"/>
                </w14:textOutline>
              </w:rPr>
            </w:pPr>
          </w:p>
        </w:tc>
      </w:tr>
      <w:tr w14:paraId="73E6A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1810" w:type="dxa"/>
            <w:tcBorders>
              <w:top w:val="single" w:color="auto" w:sz="4" w:space="0"/>
              <w:left w:val="single" w:color="auto" w:sz="4" w:space="0"/>
              <w:bottom w:val="single" w:color="auto" w:sz="4" w:space="0"/>
              <w:right w:val="single" w:color="auto" w:sz="4" w:space="0"/>
            </w:tcBorders>
            <w:noWrap w:val="0"/>
            <w:vAlign w:val="center"/>
          </w:tcPr>
          <w:p w14:paraId="2B05C35C">
            <w:pPr>
              <w:keepNext w:val="0"/>
              <w:keepLines w:val="0"/>
              <w:pageBreakBefore w:val="0"/>
              <w:kinsoku/>
              <w:wordWrap w:val="0"/>
              <w:overflowPunct/>
              <w:topLinePunct w:val="0"/>
              <w:bidi w:val="0"/>
              <w:spacing w:line="360" w:lineRule="auto"/>
              <w:jc w:val="both"/>
              <w:rPr>
                <w:rFonts w:hint="eastAsia" w:asciiTheme="minorEastAsia" w:hAnsiTheme="minorEastAsia" w:eastAsiaTheme="minorEastAsia" w:cstheme="minorEastAsia"/>
                <w:b w:val="0"/>
                <w:bCs w:val="0"/>
                <w:snapToGrid w:val="0"/>
                <w:color w:val="000000"/>
                <w:spacing w:val="-8"/>
                <w:kern w:val="0"/>
                <w:sz w:val="24"/>
                <w:szCs w:val="24"/>
                <w:lang w:val="en-US" w:eastAsia="zh-CN" w:bidi="ar-SA"/>
              </w:rPr>
            </w:pPr>
            <w:r>
              <w:rPr>
                <w:rFonts w:hint="eastAsia" w:asciiTheme="minorEastAsia" w:hAnsiTheme="minorEastAsia" w:eastAsiaTheme="minorEastAsia" w:cstheme="minorEastAsia"/>
                <w:b w:val="0"/>
                <w:bCs w:val="0"/>
                <w:snapToGrid w:val="0"/>
                <w:color w:val="000000"/>
                <w:spacing w:val="-8"/>
                <w:kern w:val="0"/>
                <w:sz w:val="24"/>
                <w:szCs w:val="24"/>
                <w:lang w:val="en-US" w:eastAsia="zh-CN" w:bidi="ar-SA"/>
              </w:rPr>
              <w:t>服务质量</w:t>
            </w:r>
          </w:p>
        </w:tc>
        <w:tc>
          <w:tcPr>
            <w:tcW w:w="7236" w:type="dxa"/>
            <w:tcBorders>
              <w:top w:val="single" w:color="auto" w:sz="4" w:space="0"/>
              <w:left w:val="single" w:color="auto" w:sz="4" w:space="0"/>
              <w:bottom w:val="single" w:color="auto" w:sz="4" w:space="0"/>
              <w:right w:val="single" w:color="auto" w:sz="4" w:space="0"/>
            </w:tcBorders>
            <w:noWrap w:val="0"/>
            <w:vAlign w:val="center"/>
          </w:tcPr>
          <w:p w14:paraId="5BF0CC96">
            <w:pPr>
              <w:keepNext w:val="0"/>
              <w:keepLines w:val="0"/>
              <w:pageBreakBefore w:val="0"/>
              <w:kinsoku/>
              <w:wordWrap w:val="0"/>
              <w:overflowPunct/>
              <w:topLinePunct w:val="0"/>
              <w:bidi w:val="0"/>
              <w:spacing w:line="360" w:lineRule="auto"/>
              <w:jc w:val="both"/>
              <w:rPr>
                <w:rFonts w:hint="eastAsia" w:asciiTheme="minorEastAsia" w:hAnsiTheme="minorEastAsia" w:eastAsiaTheme="minorEastAsia" w:cstheme="minorEastAsia"/>
                <w:snapToGrid w:val="0"/>
                <w:color w:val="000000"/>
                <w:spacing w:val="24"/>
                <w:kern w:val="0"/>
                <w:sz w:val="24"/>
                <w:szCs w:val="24"/>
                <w:lang w:val="en-US" w:eastAsia="zh-CN" w:bidi="ar-SA"/>
                <w14:textOutline w14:w="1537" w14:cap="flat" w14:cmpd="sng">
                  <w14:solidFill>
                    <w14:srgbClr w14:val="000000"/>
                  </w14:solidFill>
                  <w14:prstDash w14:val="solid"/>
                  <w14:miter w14:val="0"/>
                </w14:textOutline>
              </w:rPr>
            </w:pPr>
          </w:p>
        </w:tc>
      </w:tr>
      <w:tr w14:paraId="667E7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1810" w:type="dxa"/>
            <w:tcBorders>
              <w:top w:val="single" w:color="auto" w:sz="4" w:space="0"/>
              <w:left w:val="single" w:color="auto" w:sz="4" w:space="0"/>
              <w:bottom w:val="single" w:color="auto" w:sz="4" w:space="0"/>
              <w:right w:val="single" w:color="auto" w:sz="4" w:space="0"/>
            </w:tcBorders>
            <w:noWrap w:val="0"/>
            <w:vAlign w:val="center"/>
          </w:tcPr>
          <w:p w14:paraId="50E7CE94">
            <w:pPr>
              <w:keepNext w:val="0"/>
              <w:keepLines w:val="0"/>
              <w:pageBreakBefore w:val="0"/>
              <w:kinsoku/>
              <w:wordWrap w:val="0"/>
              <w:overflowPunct/>
              <w:topLinePunct w:val="0"/>
              <w:bidi w:val="0"/>
              <w:spacing w:line="360" w:lineRule="auto"/>
              <w:jc w:val="both"/>
              <w:rPr>
                <w:rFonts w:hint="eastAsia" w:asciiTheme="minorEastAsia" w:hAnsiTheme="minorEastAsia" w:eastAsiaTheme="minorEastAsia" w:cstheme="minorEastAsia"/>
                <w:b w:val="0"/>
                <w:bCs w:val="0"/>
                <w:snapToGrid w:val="0"/>
                <w:color w:val="000000"/>
                <w:spacing w:val="-8"/>
                <w:kern w:val="0"/>
                <w:sz w:val="24"/>
                <w:szCs w:val="24"/>
                <w:lang w:val="en-US" w:eastAsia="zh-CN" w:bidi="ar-SA"/>
              </w:rPr>
            </w:pPr>
            <w:r>
              <w:rPr>
                <w:rFonts w:hint="eastAsia" w:asciiTheme="minorEastAsia" w:hAnsiTheme="minorEastAsia" w:eastAsiaTheme="minorEastAsia" w:cstheme="minorEastAsia"/>
                <w:b w:val="0"/>
                <w:bCs w:val="0"/>
                <w:snapToGrid w:val="0"/>
                <w:color w:val="000000"/>
                <w:spacing w:val="-8"/>
                <w:kern w:val="0"/>
                <w:sz w:val="24"/>
                <w:szCs w:val="24"/>
                <w:lang w:val="en-US" w:eastAsia="zh-CN" w:bidi="ar-SA"/>
              </w:rPr>
              <w:t>备注</w:t>
            </w:r>
          </w:p>
        </w:tc>
        <w:tc>
          <w:tcPr>
            <w:tcW w:w="7236" w:type="dxa"/>
            <w:tcBorders>
              <w:top w:val="single" w:color="auto" w:sz="4" w:space="0"/>
              <w:left w:val="single" w:color="auto" w:sz="4" w:space="0"/>
              <w:bottom w:val="single" w:color="auto" w:sz="4" w:space="0"/>
              <w:right w:val="single" w:color="auto" w:sz="4" w:space="0"/>
            </w:tcBorders>
            <w:noWrap w:val="0"/>
            <w:vAlign w:val="center"/>
          </w:tcPr>
          <w:p w14:paraId="5A501258">
            <w:pPr>
              <w:keepNext w:val="0"/>
              <w:keepLines w:val="0"/>
              <w:pageBreakBefore w:val="0"/>
              <w:kinsoku/>
              <w:wordWrap w:val="0"/>
              <w:overflowPunct/>
              <w:topLinePunct w:val="0"/>
              <w:bidi w:val="0"/>
              <w:spacing w:line="360" w:lineRule="auto"/>
              <w:jc w:val="both"/>
              <w:rPr>
                <w:rFonts w:hint="eastAsia" w:asciiTheme="minorEastAsia" w:hAnsiTheme="minorEastAsia" w:eastAsiaTheme="minorEastAsia" w:cstheme="minorEastAsia"/>
                <w:snapToGrid w:val="0"/>
                <w:color w:val="000000"/>
                <w:spacing w:val="24"/>
                <w:kern w:val="0"/>
                <w:sz w:val="24"/>
                <w:szCs w:val="24"/>
                <w:lang w:val="en-US" w:eastAsia="zh-CN" w:bidi="ar-SA"/>
                <w14:textOutline w14:w="1537" w14:cap="flat" w14:cmpd="sng">
                  <w14:solidFill>
                    <w14:srgbClr w14:val="000000"/>
                  </w14:solidFill>
                  <w14:prstDash w14:val="solid"/>
                  <w14:miter w14:val="0"/>
                </w14:textOutline>
              </w:rPr>
            </w:pPr>
          </w:p>
          <w:p w14:paraId="2570C3F5">
            <w:pPr>
              <w:keepNext w:val="0"/>
              <w:keepLines w:val="0"/>
              <w:pageBreakBefore w:val="0"/>
              <w:kinsoku/>
              <w:wordWrap w:val="0"/>
              <w:overflowPunct/>
              <w:topLinePunct w:val="0"/>
              <w:bidi w:val="0"/>
              <w:spacing w:line="360" w:lineRule="auto"/>
              <w:jc w:val="both"/>
              <w:rPr>
                <w:rFonts w:hint="eastAsia" w:asciiTheme="minorEastAsia" w:hAnsiTheme="minorEastAsia" w:eastAsiaTheme="minorEastAsia" w:cstheme="minorEastAsia"/>
                <w:snapToGrid w:val="0"/>
                <w:color w:val="000000"/>
                <w:spacing w:val="24"/>
                <w:kern w:val="0"/>
                <w:sz w:val="24"/>
                <w:szCs w:val="24"/>
                <w:lang w:val="en-US" w:eastAsia="zh-CN" w:bidi="ar-SA"/>
                <w14:textOutline w14:w="1537" w14:cap="flat" w14:cmpd="sng">
                  <w14:solidFill>
                    <w14:srgbClr w14:val="000000"/>
                  </w14:solidFill>
                  <w14:prstDash w14:val="solid"/>
                  <w14:miter w14:val="0"/>
                </w14:textOutline>
              </w:rPr>
            </w:pPr>
          </w:p>
        </w:tc>
      </w:tr>
    </w:tbl>
    <w:p w14:paraId="6E7CD543">
      <w:pPr>
        <w:pStyle w:val="25"/>
        <w:jc w:val="both"/>
        <w:outlineLvl w:val="9"/>
      </w:pPr>
    </w:p>
    <w:p w14:paraId="4DCBB372">
      <w:pPr>
        <w:pStyle w:val="13"/>
        <w:keepNext w:val="0"/>
        <w:keepLines w:val="0"/>
        <w:pageBreakBefore w:val="0"/>
        <w:widowControl w:val="0"/>
        <w:kinsoku/>
        <w:wordWrap/>
        <w:overflowPunct/>
        <w:topLinePunct w:val="0"/>
        <w:autoSpaceDE w:val="0"/>
        <w:autoSpaceDN w:val="0"/>
        <w:bidi w:val="0"/>
        <w:adjustRightInd/>
        <w:snapToGrid/>
        <w:spacing w:before="0" w:line="375" w:lineRule="auto"/>
        <w:ind w:left="0" w:right="0" w:firstLine="720" w:firstLineChars="300"/>
        <w:jc w:val="both"/>
        <w:textAlignment w:val="auto"/>
        <w:outlineLvl w:val="9"/>
        <w:rPr>
          <w:rFonts w:hint="eastAsia" w:ascii="宋体" w:hAnsi="宋体" w:eastAsia="宋体" w:cs="宋体"/>
          <w:sz w:val="24"/>
          <w:szCs w:val="24"/>
        </w:rPr>
      </w:pPr>
    </w:p>
    <w:p w14:paraId="0BF55101">
      <w:pPr>
        <w:pStyle w:val="13"/>
        <w:keepNext w:val="0"/>
        <w:keepLines w:val="0"/>
        <w:pageBreakBefore w:val="0"/>
        <w:widowControl w:val="0"/>
        <w:kinsoku/>
        <w:wordWrap/>
        <w:overflowPunct/>
        <w:topLinePunct w:val="0"/>
        <w:autoSpaceDE w:val="0"/>
        <w:autoSpaceDN w:val="0"/>
        <w:bidi w:val="0"/>
        <w:adjustRightInd/>
        <w:snapToGrid/>
        <w:spacing w:before="0" w:line="375" w:lineRule="auto"/>
        <w:ind w:left="0" w:right="0" w:firstLine="720" w:firstLineChars="300"/>
        <w:jc w:val="both"/>
        <w:textAlignment w:val="auto"/>
        <w:outlineLvl w:val="9"/>
        <w:rPr>
          <w:rFonts w:hint="eastAsia" w:ascii="宋体" w:hAnsi="宋体" w:eastAsia="宋体" w:cs="宋体"/>
          <w:sz w:val="24"/>
          <w:szCs w:val="24"/>
        </w:rPr>
      </w:pPr>
    </w:p>
    <w:p w14:paraId="1CED8754">
      <w:pPr>
        <w:pStyle w:val="13"/>
        <w:keepNext w:val="0"/>
        <w:keepLines w:val="0"/>
        <w:pageBreakBefore w:val="0"/>
        <w:widowControl w:val="0"/>
        <w:kinsoku/>
        <w:wordWrap/>
        <w:overflowPunct/>
        <w:topLinePunct w:val="0"/>
        <w:autoSpaceDE w:val="0"/>
        <w:autoSpaceDN w:val="0"/>
        <w:bidi w:val="0"/>
        <w:adjustRightInd/>
        <w:snapToGrid/>
        <w:spacing w:before="0" w:line="375" w:lineRule="auto"/>
        <w:ind w:left="0" w:right="0" w:firstLine="720" w:firstLineChars="300"/>
        <w:jc w:val="both"/>
        <w:textAlignment w:val="auto"/>
        <w:outlineLvl w:val="9"/>
        <w:rPr>
          <w:rFonts w:hint="eastAsia" w:ascii="宋体" w:hAnsi="宋体" w:eastAsia="宋体" w:cs="宋体"/>
          <w:sz w:val="24"/>
          <w:szCs w:val="24"/>
        </w:rPr>
      </w:pPr>
    </w:p>
    <w:p w14:paraId="170A429C">
      <w:pPr>
        <w:pStyle w:val="13"/>
        <w:keepNext w:val="0"/>
        <w:keepLines w:val="0"/>
        <w:pageBreakBefore w:val="0"/>
        <w:widowControl w:val="0"/>
        <w:kinsoku/>
        <w:wordWrap/>
        <w:overflowPunct/>
        <w:topLinePunct w:val="0"/>
        <w:autoSpaceDE w:val="0"/>
        <w:autoSpaceDN w:val="0"/>
        <w:bidi w:val="0"/>
        <w:adjustRightInd/>
        <w:snapToGrid/>
        <w:spacing w:before="0" w:line="375" w:lineRule="auto"/>
        <w:ind w:left="0" w:right="0" w:firstLine="720" w:firstLineChars="300"/>
        <w:jc w:val="both"/>
        <w:textAlignment w:val="auto"/>
        <w:outlineLvl w:val="9"/>
        <w:rPr>
          <w:rFonts w:hint="eastAsia" w:ascii="宋体" w:hAnsi="宋体" w:eastAsia="宋体" w:cs="宋体"/>
          <w:sz w:val="24"/>
          <w:szCs w:val="24"/>
        </w:rPr>
      </w:pPr>
    </w:p>
    <w:p w14:paraId="4ABDE472">
      <w:pPr>
        <w:pStyle w:val="13"/>
        <w:keepNext w:val="0"/>
        <w:keepLines w:val="0"/>
        <w:pageBreakBefore w:val="0"/>
        <w:widowControl w:val="0"/>
        <w:kinsoku/>
        <w:wordWrap/>
        <w:overflowPunct/>
        <w:topLinePunct w:val="0"/>
        <w:autoSpaceDE w:val="0"/>
        <w:autoSpaceDN w:val="0"/>
        <w:bidi w:val="0"/>
        <w:adjustRightInd/>
        <w:snapToGrid/>
        <w:spacing w:before="0" w:line="375" w:lineRule="auto"/>
        <w:ind w:left="0" w:right="0" w:firstLine="720" w:firstLineChars="300"/>
        <w:jc w:val="both"/>
        <w:textAlignment w:val="auto"/>
        <w:outlineLvl w:val="9"/>
        <w:rPr>
          <w:rFonts w:hint="eastAsia" w:ascii="宋体" w:hAnsi="宋体" w:eastAsia="宋体" w:cs="宋体"/>
          <w:sz w:val="24"/>
          <w:szCs w:val="24"/>
        </w:rPr>
      </w:pPr>
    </w:p>
    <w:p w14:paraId="16900CD2">
      <w:pPr>
        <w:pStyle w:val="13"/>
        <w:keepNext w:val="0"/>
        <w:keepLines w:val="0"/>
        <w:pageBreakBefore w:val="0"/>
        <w:widowControl w:val="0"/>
        <w:kinsoku/>
        <w:wordWrap/>
        <w:overflowPunct/>
        <w:topLinePunct w:val="0"/>
        <w:autoSpaceDE w:val="0"/>
        <w:autoSpaceDN w:val="0"/>
        <w:bidi w:val="0"/>
        <w:adjustRightInd/>
        <w:snapToGrid/>
        <w:spacing w:before="0" w:line="375" w:lineRule="auto"/>
        <w:ind w:left="0" w:right="0" w:firstLine="720" w:firstLineChars="300"/>
        <w:jc w:val="both"/>
        <w:textAlignment w:val="auto"/>
        <w:outlineLvl w:val="9"/>
        <w:rPr>
          <w:rFonts w:hint="eastAsia" w:ascii="宋体" w:hAnsi="宋体" w:eastAsia="宋体" w:cs="宋体"/>
          <w:sz w:val="24"/>
          <w:szCs w:val="24"/>
        </w:rPr>
      </w:pPr>
    </w:p>
    <w:p w14:paraId="5EA60C2C">
      <w:pPr>
        <w:pStyle w:val="13"/>
        <w:keepNext w:val="0"/>
        <w:keepLines w:val="0"/>
        <w:pageBreakBefore w:val="0"/>
        <w:widowControl w:val="0"/>
        <w:kinsoku/>
        <w:wordWrap/>
        <w:overflowPunct/>
        <w:topLinePunct w:val="0"/>
        <w:autoSpaceDE w:val="0"/>
        <w:autoSpaceDN w:val="0"/>
        <w:bidi w:val="0"/>
        <w:adjustRightInd/>
        <w:snapToGrid/>
        <w:spacing w:before="0" w:line="375" w:lineRule="auto"/>
        <w:ind w:left="0" w:right="0" w:firstLine="720" w:firstLineChars="300"/>
        <w:jc w:val="both"/>
        <w:textAlignment w:val="auto"/>
        <w:outlineLvl w:val="9"/>
        <w:rPr>
          <w:rFonts w:hint="eastAsia" w:ascii="宋体" w:hAnsi="宋体" w:eastAsia="宋体" w:cs="宋体"/>
          <w:sz w:val="24"/>
          <w:szCs w:val="24"/>
        </w:rPr>
      </w:pPr>
    </w:p>
    <w:p w14:paraId="0C6C79A6">
      <w:pPr>
        <w:pStyle w:val="13"/>
        <w:keepNext w:val="0"/>
        <w:keepLines w:val="0"/>
        <w:pageBreakBefore w:val="0"/>
        <w:widowControl w:val="0"/>
        <w:kinsoku/>
        <w:wordWrap/>
        <w:overflowPunct/>
        <w:topLinePunct w:val="0"/>
        <w:autoSpaceDE w:val="0"/>
        <w:autoSpaceDN w:val="0"/>
        <w:bidi w:val="0"/>
        <w:adjustRightInd/>
        <w:snapToGrid/>
        <w:spacing w:before="0" w:line="375" w:lineRule="auto"/>
        <w:ind w:left="0" w:right="0" w:firstLine="720" w:firstLineChars="300"/>
        <w:jc w:val="both"/>
        <w:textAlignment w:val="auto"/>
        <w:outlineLvl w:val="9"/>
        <w:rPr>
          <w:rFonts w:hint="eastAsia" w:ascii="宋体" w:hAnsi="宋体" w:eastAsia="宋体" w:cs="宋体"/>
          <w:sz w:val="24"/>
          <w:szCs w:val="24"/>
        </w:rPr>
      </w:pPr>
    </w:p>
    <w:p w14:paraId="31A85449">
      <w:pPr>
        <w:pStyle w:val="13"/>
        <w:keepNext w:val="0"/>
        <w:keepLines w:val="0"/>
        <w:pageBreakBefore w:val="0"/>
        <w:widowControl w:val="0"/>
        <w:kinsoku/>
        <w:wordWrap/>
        <w:overflowPunct/>
        <w:topLinePunct w:val="0"/>
        <w:autoSpaceDE w:val="0"/>
        <w:autoSpaceDN w:val="0"/>
        <w:bidi w:val="0"/>
        <w:adjustRightInd/>
        <w:snapToGrid/>
        <w:spacing w:before="0" w:line="375" w:lineRule="auto"/>
        <w:ind w:left="0" w:right="0" w:firstLine="720" w:firstLineChars="300"/>
        <w:jc w:val="both"/>
        <w:textAlignment w:val="auto"/>
        <w:outlineLvl w:val="9"/>
        <w:rPr>
          <w:rFonts w:hint="eastAsia" w:ascii="宋体" w:hAnsi="宋体" w:eastAsia="宋体" w:cs="宋体"/>
          <w:sz w:val="24"/>
          <w:szCs w:val="24"/>
        </w:rPr>
      </w:pPr>
    </w:p>
    <w:p w14:paraId="7C2BFCEC">
      <w:pPr>
        <w:pStyle w:val="13"/>
        <w:keepNext w:val="0"/>
        <w:keepLines w:val="0"/>
        <w:pageBreakBefore w:val="0"/>
        <w:widowControl w:val="0"/>
        <w:kinsoku/>
        <w:wordWrap/>
        <w:overflowPunct/>
        <w:topLinePunct w:val="0"/>
        <w:autoSpaceDE w:val="0"/>
        <w:autoSpaceDN w:val="0"/>
        <w:bidi w:val="0"/>
        <w:adjustRightInd/>
        <w:snapToGrid/>
        <w:spacing w:before="0" w:line="375" w:lineRule="auto"/>
        <w:ind w:left="0" w:right="0" w:firstLine="720" w:firstLineChars="300"/>
        <w:jc w:val="both"/>
        <w:textAlignment w:val="auto"/>
        <w:outlineLvl w:val="9"/>
        <w:rPr>
          <w:rFonts w:hint="eastAsia" w:ascii="宋体" w:hAnsi="宋体" w:eastAsia="宋体" w:cs="宋体"/>
          <w:sz w:val="24"/>
          <w:szCs w:val="24"/>
        </w:rPr>
      </w:pPr>
    </w:p>
    <w:p w14:paraId="748F7AE2">
      <w:pPr>
        <w:pStyle w:val="13"/>
        <w:keepNext w:val="0"/>
        <w:keepLines w:val="0"/>
        <w:pageBreakBefore w:val="0"/>
        <w:widowControl w:val="0"/>
        <w:kinsoku/>
        <w:wordWrap/>
        <w:overflowPunct/>
        <w:topLinePunct w:val="0"/>
        <w:autoSpaceDE w:val="0"/>
        <w:autoSpaceDN w:val="0"/>
        <w:bidi w:val="0"/>
        <w:adjustRightInd/>
        <w:snapToGrid/>
        <w:spacing w:before="0" w:line="375" w:lineRule="auto"/>
        <w:ind w:left="0" w:right="0" w:firstLine="720" w:firstLineChars="300"/>
        <w:jc w:val="both"/>
        <w:textAlignment w:val="auto"/>
        <w:outlineLvl w:val="9"/>
        <w:rPr>
          <w:rFonts w:hint="eastAsia" w:ascii="宋体" w:hAnsi="宋体" w:eastAsia="宋体" w:cs="宋体"/>
          <w:sz w:val="24"/>
          <w:szCs w:val="24"/>
        </w:rPr>
      </w:pPr>
    </w:p>
    <w:p w14:paraId="51A0CBB3">
      <w:pPr>
        <w:pStyle w:val="13"/>
        <w:keepNext w:val="0"/>
        <w:keepLines w:val="0"/>
        <w:pageBreakBefore w:val="0"/>
        <w:widowControl w:val="0"/>
        <w:kinsoku/>
        <w:wordWrap/>
        <w:overflowPunct/>
        <w:topLinePunct w:val="0"/>
        <w:autoSpaceDE w:val="0"/>
        <w:autoSpaceDN w:val="0"/>
        <w:bidi w:val="0"/>
        <w:adjustRightInd/>
        <w:snapToGrid/>
        <w:spacing w:before="0" w:line="375" w:lineRule="auto"/>
        <w:ind w:left="0" w:right="0" w:firstLine="720" w:firstLineChars="300"/>
        <w:jc w:val="both"/>
        <w:textAlignment w:val="auto"/>
        <w:outlineLvl w:val="9"/>
        <w:rPr>
          <w:rFonts w:hint="eastAsia" w:ascii="宋体" w:hAnsi="宋体" w:eastAsia="宋体" w:cs="宋体"/>
          <w:sz w:val="24"/>
          <w:szCs w:val="24"/>
        </w:rPr>
      </w:pPr>
    </w:p>
    <w:p w14:paraId="1A2E850C">
      <w:pPr>
        <w:pStyle w:val="13"/>
        <w:keepNext w:val="0"/>
        <w:keepLines w:val="0"/>
        <w:pageBreakBefore w:val="0"/>
        <w:widowControl w:val="0"/>
        <w:kinsoku/>
        <w:wordWrap/>
        <w:overflowPunct/>
        <w:topLinePunct w:val="0"/>
        <w:autoSpaceDE w:val="0"/>
        <w:autoSpaceDN w:val="0"/>
        <w:bidi w:val="0"/>
        <w:adjustRightInd/>
        <w:snapToGrid/>
        <w:spacing w:before="0" w:line="375" w:lineRule="auto"/>
        <w:ind w:left="0" w:right="0" w:firstLine="720" w:firstLineChars="300"/>
        <w:jc w:val="both"/>
        <w:textAlignment w:val="auto"/>
        <w:outlineLvl w:val="9"/>
        <w:rPr>
          <w:rFonts w:hint="eastAsia" w:ascii="宋体" w:hAnsi="宋体" w:eastAsia="宋体" w:cs="宋体"/>
          <w:sz w:val="24"/>
          <w:szCs w:val="24"/>
        </w:rPr>
      </w:pPr>
    </w:p>
    <w:p w14:paraId="19ADE1C2">
      <w:pPr>
        <w:pStyle w:val="13"/>
        <w:keepNext w:val="0"/>
        <w:keepLines w:val="0"/>
        <w:pageBreakBefore w:val="0"/>
        <w:widowControl w:val="0"/>
        <w:kinsoku/>
        <w:wordWrap/>
        <w:overflowPunct/>
        <w:topLinePunct w:val="0"/>
        <w:autoSpaceDE w:val="0"/>
        <w:autoSpaceDN w:val="0"/>
        <w:bidi w:val="0"/>
        <w:adjustRightInd/>
        <w:snapToGrid/>
        <w:spacing w:before="0" w:line="375" w:lineRule="auto"/>
        <w:ind w:left="0" w:right="0" w:firstLine="720" w:firstLineChars="300"/>
        <w:jc w:val="both"/>
        <w:textAlignment w:val="auto"/>
        <w:outlineLvl w:val="9"/>
        <w:rPr>
          <w:rFonts w:hint="eastAsia" w:ascii="宋体" w:hAnsi="宋体" w:eastAsia="宋体" w:cs="宋体"/>
          <w:sz w:val="24"/>
          <w:szCs w:val="24"/>
        </w:rPr>
      </w:pPr>
    </w:p>
    <w:p w14:paraId="5097172E">
      <w:pPr>
        <w:pStyle w:val="13"/>
        <w:keepNext w:val="0"/>
        <w:keepLines w:val="0"/>
        <w:pageBreakBefore w:val="0"/>
        <w:widowControl w:val="0"/>
        <w:kinsoku/>
        <w:wordWrap/>
        <w:overflowPunct/>
        <w:topLinePunct w:val="0"/>
        <w:autoSpaceDE w:val="0"/>
        <w:autoSpaceDN w:val="0"/>
        <w:bidi w:val="0"/>
        <w:adjustRightInd/>
        <w:snapToGrid/>
        <w:spacing w:before="0" w:line="375" w:lineRule="auto"/>
        <w:ind w:left="0" w:right="0" w:firstLine="720" w:firstLineChars="300"/>
        <w:jc w:val="both"/>
        <w:textAlignment w:val="auto"/>
        <w:outlineLvl w:val="9"/>
        <w:rPr>
          <w:rFonts w:hint="eastAsia" w:ascii="宋体" w:hAnsi="宋体" w:eastAsia="宋体" w:cs="宋体"/>
          <w:sz w:val="24"/>
          <w:szCs w:val="24"/>
        </w:rPr>
      </w:pPr>
    </w:p>
    <w:p w14:paraId="4C389F53">
      <w:pPr>
        <w:pStyle w:val="13"/>
        <w:keepNext w:val="0"/>
        <w:keepLines w:val="0"/>
        <w:pageBreakBefore w:val="0"/>
        <w:widowControl w:val="0"/>
        <w:kinsoku/>
        <w:wordWrap/>
        <w:overflowPunct/>
        <w:topLinePunct w:val="0"/>
        <w:autoSpaceDE w:val="0"/>
        <w:autoSpaceDN w:val="0"/>
        <w:bidi w:val="0"/>
        <w:adjustRightInd/>
        <w:snapToGrid/>
        <w:spacing w:before="0" w:line="375" w:lineRule="auto"/>
        <w:ind w:left="0" w:right="0" w:firstLine="720" w:firstLineChars="300"/>
        <w:jc w:val="both"/>
        <w:textAlignment w:val="auto"/>
        <w:outlineLvl w:val="9"/>
        <w:rPr>
          <w:rFonts w:hint="eastAsia" w:ascii="宋体" w:hAnsi="宋体" w:eastAsia="宋体" w:cs="宋体"/>
          <w:sz w:val="24"/>
          <w:szCs w:val="24"/>
        </w:rPr>
      </w:pPr>
    </w:p>
    <w:p w14:paraId="5B16939E">
      <w:pPr>
        <w:pStyle w:val="13"/>
        <w:keepNext w:val="0"/>
        <w:keepLines w:val="0"/>
        <w:pageBreakBefore w:val="0"/>
        <w:widowControl w:val="0"/>
        <w:kinsoku/>
        <w:wordWrap/>
        <w:overflowPunct/>
        <w:topLinePunct w:val="0"/>
        <w:autoSpaceDE w:val="0"/>
        <w:autoSpaceDN w:val="0"/>
        <w:bidi w:val="0"/>
        <w:adjustRightInd/>
        <w:snapToGrid/>
        <w:spacing w:before="0" w:line="375" w:lineRule="auto"/>
        <w:ind w:left="0" w:right="0" w:firstLine="720" w:firstLineChars="300"/>
        <w:jc w:val="both"/>
        <w:textAlignment w:val="auto"/>
        <w:outlineLvl w:val="9"/>
        <w:rPr>
          <w:rFonts w:hint="eastAsia" w:ascii="宋体" w:hAnsi="宋体" w:eastAsia="宋体" w:cs="宋体"/>
          <w:sz w:val="24"/>
          <w:szCs w:val="24"/>
        </w:rPr>
      </w:pPr>
    </w:p>
    <w:p w14:paraId="17D69E14">
      <w:pPr>
        <w:pStyle w:val="13"/>
        <w:keepNext w:val="0"/>
        <w:keepLines w:val="0"/>
        <w:pageBreakBefore w:val="0"/>
        <w:widowControl w:val="0"/>
        <w:kinsoku/>
        <w:wordWrap/>
        <w:overflowPunct/>
        <w:topLinePunct w:val="0"/>
        <w:autoSpaceDE w:val="0"/>
        <w:autoSpaceDN w:val="0"/>
        <w:bidi w:val="0"/>
        <w:adjustRightInd/>
        <w:snapToGrid/>
        <w:spacing w:before="0" w:line="375" w:lineRule="auto"/>
        <w:ind w:left="0" w:right="0" w:firstLine="720" w:firstLineChars="3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投标人名称：（电子签章）</w:t>
      </w:r>
    </w:p>
    <w:p w14:paraId="5B72A3A8">
      <w:pPr>
        <w:pStyle w:val="13"/>
        <w:keepNext w:val="0"/>
        <w:keepLines w:val="0"/>
        <w:pageBreakBefore w:val="0"/>
        <w:widowControl w:val="0"/>
        <w:kinsoku/>
        <w:wordWrap/>
        <w:overflowPunct/>
        <w:topLinePunct w:val="0"/>
        <w:autoSpaceDE w:val="0"/>
        <w:autoSpaceDN w:val="0"/>
        <w:bidi w:val="0"/>
        <w:adjustRightInd/>
        <w:snapToGrid/>
        <w:spacing w:before="0" w:line="375" w:lineRule="auto"/>
        <w:ind w:left="0" w:right="0" w:firstLine="720" w:firstLineChars="3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法定代表人或其委托代理人：（电子签章/授权代表签字）</w:t>
      </w:r>
    </w:p>
    <w:p w14:paraId="581AC76F">
      <w:pPr>
        <w:pStyle w:val="13"/>
        <w:keepNext w:val="0"/>
        <w:keepLines w:val="0"/>
        <w:pageBreakBefore w:val="0"/>
        <w:widowControl w:val="0"/>
        <w:kinsoku/>
        <w:wordWrap/>
        <w:overflowPunct/>
        <w:topLinePunct w:val="0"/>
        <w:autoSpaceDE w:val="0"/>
        <w:autoSpaceDN w:val="0"/>
        <w:bidi w:val="0"/>
        <w:adjustRightInd/>
        <w:snapToGrid/>
        <w:spacing w:before="0" w:line="375" w:lineRule="auto"/>
        <w:ind w:left="0" w:right="0" w:firstLine="720" w:firstLineChars="3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地址：</w:t>
      </w:r>
    </w:p>
    <w:p w14:paraId="3D6B1E5E">
      <w:pPr>
        <w:pStyle w:val="13"/>
        <w:keepNext w:val="0"/>
        <w:keepLines w:val="0"/>
        <w:pageBreakBefore w:val="0"/>
        <w:widowControl w:val="0"/>
        <w:kinsoku/>
        <w:wordWrap/>
        <w:overflowPunct/>
        <w:topLinePunct w:val="0"/>
        <w:autoSpaceDE w:val="0"/>
        <w:autoSpaceDN w:val="0"/>
        <w:bidi w:val="0"/>
        <w:adjustRightInd/>
        <w:snapToGrid/>
        <w:spacing w:before="1"/>
        <w:ind w:left="22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电话：</w:t>
      </w:r>
    </w:p>
    <w:p w14:paraId="63475E26">
      <w:pPr>
        <w:pStyle w:val="13"/>
        <w:keepNext w:val="0"/>
        <w:keepLines w:val="0"/>
        <w:pageBreakBefore w:val="0"/>
        <w:widowControl w:val="0"/>
        <w:tabs>
          <w:tab w:val="left" w:pos="745"/>
          <w:tab w:val="left" w:pos="1271"/>
        </w:tabs>
        <w:kinsoku/>
        <w:wordWrap/>
        <w:overflowPunct/>
        <w:topLinePunct w:val="0"/>
        <w:autoSpaceDE w:val="0"/>
        <w:autoSpaceDN w:val="0"/>
        <w:bidi w:val="0"/>
        <w:adjustRightInd/>
        <w:snapToGrid/>
        <w:spacing w:before="151"/>
        <w:ind w:left="220" w:firstLine="480" w:firstLineChars="200"/>
        <w:jc w:val="both"/>
        <w:textAlignment w:val="auto"/>
        <w:outlineLvl w:val="9"/>
        <w:sectPr>
          <w:headerReference r:id="rId11" w:type="default"/>
          <w:footerReference r:id="rId12" w:type="default"/>
          <w:pgSz w:w="11910" w:h="16840"/>
          <w:pgMar w:top="1134" w:right="840" w:bottom="1000" w:left="860" w:header="567" w:footer="567" w:gutter="0"/>
          <w:pgNumType w:fmt="decimal"/>
          <w:cols w:space="720" w:num="1"/>
        </w:sectPr>
      </w:pPr>
      <w:r>
        <w:rPr>
          <w:rFonts w:hint="eastAsia" w:ascii="宋体" w:hAnsi="宋体" w:eastAsia="宋体" w:cs="宋体"/>
          <w:sz w:val="24"/>
          <w:szCs w:val="24"/>
          <w:lang w:val="en-US" w:eastAsia="zh-CN"/>
        </w:rPr>
        <w:t>日期：</w:t>
      </w:r>
      <w:r>
        <w:rPr>
          <w:rFonts w:hint="eastAsia" w:ascii="宋体" w:hAnsi="宋体" w:eastAsia="宋体" w:cs="宋体"/>
          <w:sz w:val="24"/>
          <w:szCs w:val="24"/>
        </w:rPr>
        <w:t>年</w:t>
      </w:r>
      <w:r>
        <w:rPr>
          <w:rFonts w:hint="eastAsia" w:ascii="宋体" w:hAnsi="宋体" w:eastAsia="宋体" w:cs="宋体"/>
          <w:sz w:val="24"/>
          <w:szCs w:val="24"/>
        </w:rPr>
        <w:tab/>
      </w:r>
      <w:r>
        <w:rPr>
          <w:rFonts w:hint="eastAsia" w:ascii="宋体" w:hAnsi="宋体" w:eastAsia="宋体" w:cs="宋体"/>
          <w:sz w:val="24"/>
          <w:szCs w:val="24"/>
        </w:rPr>
        <w:t>月</w:t>
      </w:r>
      <w:r>
        <w:rPr>
          <w:rFonts w:hint="eastAsia" w:ascii="宋体" w:hAnsi="宋体" w:eastAsia="宋体" w:cs="宋体"/>
          <w:sz w:val="24"/>
          <w:szCs w:val="24"/>
        </w:rPr>
        <w:tab/>
      </w:r>
      <w:r>
        <w:rPr>
          <w:rFonts w:hint="eastAsia" w:ascii="宋体" w:hAnsi="宋体" w:eastAsia="宋体" w:cs="宋体"/>
          <w:sz w:val="24"/>
          <w:szCs w:val="24"/>
        </w:rPr>
        <w:t>日</w:t>
      </w:r>
    </w:p>
    <w:p w14:paraId="0762B233">
      <w:pPr>
        <w:jc w:val="both"/>
        <w:outlineLvl w:val="9"/>
        <w:rPr>
          <w:b/>
          <w:bCs/>
          <w:w w:val="95"/>
          <w:sz w:val="36"/>
          <w:szCs w:val="36"/>
        </w:rPr>
      </w:pPr>
      <w:r>
        <w:rPr>
          <w:b/>
          <w:bCs/>
          <w:w w:val="95"/>
          <w:sz w:val="36"/>
          <w:szCs w:val="36"/>
        </w:rPr>
        <w:t>二、法定代表人身份证明</w:t>
      </w:r>
    </w:p>
    <w:p w14:paraId="73AF0837">
      <w:pPr>
        <w:pStyle w:val="13"/>
        <w:jc w:val="both"/>
        <w:outlineLvl w:val="9"/>
        <w:rPr>
          <w:b/>
          <w:sz w:val="20"/>
        </w:rPr>
      </w:pPr>
    </w:p>
    <w:p w14:paraId="1DE67AEE">
      <w:pPr>
        <w:pStyle w:val="13"/>
        <w:jc w:val="both"/>
        <w:outlineLvl w:val="9"/>
        <w:rPr>
          <w:b/>
          <w:sz w:val="24"/>
          <w:szCs w:val="24"/>
        </w:rPr>
      </w:pPr>
    </w:p>
    <w:p w14:paraId="45C6658F">
      <w:pPr>
        <w:pStyle w:val="13"/>
        <w:spacing w:before="3"/>
        <w:jc w:val="both"/>
        <w:outlineLvl w:val="9"/>
        <w:rPr>
          <w:b/>
          <w:sz w:val="24"/>
          <w:szCs w:val="24"/>
        </w:rPr>
      </w:pPr>
    </w:p>
    <w:p w14:paraId="67C9CCC5">
      <w:pPr>
        <w:pStyle w:val="13"/>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80" w:firstLineChars="200"/>
        <w:jc w:val="both"/>
        <w:textAlignment w:val="auto"/>
        <w:outlineLvl w:val="9"/>
        <w:rPr>
          <w:sz w:val="24"/>
          <w:szCs w:val="24"/>
        </w:rPr>
      </w:pPr>
      <w:r>
        <w:rPr>
          <w:sz w:val="24"/>
          <w:szCs w:val="24"/>
        </w:rPr>
        <w:t>供应商</w:t>
      </w:r>
      <w:r>
        <w:rPr>
          <w:rFonts w:hint="eastAsia"/>
          <w:sz w:val="24"/>
          <w:szCs w:val="24"/>
          <w:lang w:val="en-US" w:eastAsia="zh-CN"/>
        </w:rPr>
        <w:t>名</w:t>
      </w:r>
      <w:r>
        <w:rPr>
          <w:sz w:val="24"/>
          <w:szCs w:val="24"/>
        </w:rPr>
        <w:t>称：</w:t>
      </w:r>
    </w:p>
    <w:p w14:paraId="408C5D8C">
      <w:pPr>
        <w:pStyle w:val="13"/>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80" w:firstLineChars="200"/>
        <w:jc w:val="both"/>
        <w:textAlignment w:val="auto"/>
        <w:outlineLvl w:val="9"/>
        <w:rPr>
          <w:spacing w:val="1"/>
          <w:sz w:val="24"/>
          <w:szCs w:val="24"/>
        </w:rPr>
      </w:pPr>
      <w:r>
        <w:rPr>
          <w:sz w:val="24"/>
          <w:szCs w:val="24"/>
        </w:rPr>
        <w:t>单位性质：</w:t>
      </w:r>
    </w:p>
    <w:p w14:paraId="719BB56C">
      <w:pPr>
        <w:pStyle w:val="13"/>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80" w:firstLineChars="200"/>
        <w:jc w:val="both"/>
        <w:textAlignment w:val="auto"/>
        <w:outlineLvl w:val="9"/>
        <w:rPr>
          <w:sz w:val="24"/>
          <w:szCs w:val="24"/>
        </w:rPr>
      </w:pPr>
      <w:r>
        <w:rPr>
          <w:sz w:val="24"/>
          <w:szCs w:val="24"/>
        </w:rPr>
        <w:t>地址：</w:t>
      </w:r>
    </w:p>
    <w:p w14:paraId="666D3B01">
      <w:pPr>
        <w:pStyle w:val="13"/>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80" w:firstLineChars="200"/>
        <w:jc w:val="both"/>
        <w:textAlignment w:val="auto"/>
        <w:outlineLvl w:val="9"/>
        <w:rPr>
          <w:sz w:val="24"/>
          <w:szCs w:val="24"/>
        </w:rPr>
      </w:pPr>
      <w:r>
        <w:rPr>
          <w:sz w:val="24"/>
          <w:szCs w:val="24"/>
        </w:rPr>
        <w:t>成立时间： 年 月 日</w:t>
      </w:r>
    </w:p>
    <w:p w14:paraId="16FBD7C6">
      <w:pPr>
        <w:pStyle w:val="13"/>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80" w:firstLineChars="200"/>
        <w:jc w:val="both"/>
        <w:textAlignment w:val="auto"/>
        <w:outlineLvl w:val="9"/>
        <w:rPr>
          <w:sz w:val="24"/>
          <w:szCs w:val="24"/>
        </w:rPr>
      </w:pPr>
      <w:r>
        <w:rPr>
          <w:sz w:val="24"/>
          <w:szCs w:val="24"/>
        </w:rPr>
        <w:t>经营期限：</w:t>
      </w:r>
    </w:p>
    <w:p w14:paraId="4B5C70C3">
      <w:pPr>
        <w:pStyle w:val="13"/>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80" w:firstLineChars="200"/>
        <w:jc w:val="both"/>
        <w:textAlignment w:val="auto"/>
        <w:outlineLvl w:val="9"/>
        <w:rPr>
          <w:sz w:val="24"/>
          <w:szCs w:val="24"/>
        </w:rPr>
      </w:pPr>
      <w:r>
        <w:rPr>
          <w:sz w:val="24"/>
          <w:szCs w:val="24"/>
        </w:rPr>
        <w:t>姓名：</w:t>
      </w:r>
      <w:r>
        <w:rPr>
          <w:sz w:val="24"/>
          <w:szCs w:val="24"/>
        </w:rPr>
        <w:tab/>
      </w:r>
      <w:r>
        <w:rPr>
          <w:sz w:val="24"/>
          <w:szCs w:val="24"/>
        </w:rPr>
        <w:t>性别：</w:t>
      </w:r>
      <w:r>
        <w:rPr>
          <w:sz w:val="24"/>
          <w:szCs w:val="24"/>
        </w:rPr>
        <w:tab/>
      </w:r>
      <w:r>
        <w:rPr>
          <w:sz w:val="24"/>
          <w:szCs w:val="24"/>
        </w:rPr>
        <w:t>年龄：</w:t>
      </w:r>
      <w:r>
        <w:rPr>
          <w:sz w:val="24"/>
          <w:szCs w:val="24"/>
        </w:rPr>
        <w:tab/>
      </w:r>
      <w:r>
        <w:rPr>
          <w:sz w:val="24"/>
          <w:szCs w:val="24"/>
        </w:rPr>
        <w:t>职务：</w:t>
      </w:r>
    </w:p>
    <w:p w14:paraId="369B6015">
      <w:pPr>
        <w:pStyle w:val="13"/>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80" w:firstLineChars="200"/>
        <w:jc w:val="both"/>
        <w:textAlignment w:val="auto"/>
        <w:outlineLvl w:val="9"/>
        <w:rPr>
          <w:sz w:val="24"/>
          <w:szCs w:val="24"/>
        </w:rPr>
      </w:pPr>
      <w:r>
        <w:rPr>
          <w:sz w:val="24"/>
          <w:szCs w:val="24"/>
        </w:rPr>
        <w:t>系</w:t>
      </w:r>
      <w:r>
        <w:rPr>
          <w:sz w:val="24"/>
          <w:szCs w:val="24"/>
        </w:rPr>
        <w:tab/>
      </w:r>
      <w:r>
        <w:rPr>
          <w:sz w:val="24"/>
          <w:szCs w:val="24"/>
        </w:rPr>
        <w:t>（供应商名称）的法定代表人。</w:t>
      </w:r>
    </w:p>
    <w:p w14:paraId="2BFE3648">
      <w:pPr>
        <w:pStyle w:val="13"/>
        <w:jc w:val="both"/>
        <w:outlineLvl w:val="9"/>
        <w:rPr>
          <w:sz w:val="24"/>
          <w:szCs w:val="24"/>
        </w:rPr>
      </w:pPr>
    </w:p>
    <w:p w14:paraId="4FBF483C">
      <w:pPr>
        <w:pStyle w:val="13"/>
        <w:spacing w:before="3"/>
        <w:jc w:val="both"/>
        <w:outlineLvl w:val="9"/>
        <w:rPr>
          <w:sz w:val="24"/>
          <w:szCs w:val="24"/>
        </w:rPr>
      </w:pPr>
    </w:p>
    <w:p w14:paraId="61F73ABD">
      <w:pPr>
        <w:pStyle w:val="13"/>
        <w:spacing w:before="1"/>
        <w:ind w:firstLine="720" w:firstLineChars="300"/>
        <w:jc w:val="both"/>
        <w:outlineLvl w:val="9"/>
        <w:rPr>
          <w:sz w:val="24"/>
          <w:szCs w:val="24"/>
        </w:rPr>
      </w:pPr>
      <w:r>
        <w:rPr>
          <w:sz w:val="24"/>
          <w:szCs w:val="24"/>
        </w:rPr>
        <w:t>特此证明。</w:t>
      </w:r>
    </w:p>
    <w:p w14:paraId="1F26BD09">
      <w:pPr>
        <w:pStyle w:val="13"/>
        <w:spacing w:before="8"/>
        <w:jc w:val="both"/>
        <w:outlineLvl w:val="9"/>
        <w:rPr>
          <w:sz w:val="24"/>
          <w:szCs w:val="24"/>
        </w:rPr>
      </w:pPr>
    </w:p>
    <w:p w14:paraId="6D29D2B2">
      <w:pPr>
        <w:pStyle w:val="13"/>
        <w:ind w:left="640"/>
        <w:jc w:val="both"/>
        <w:outlineLvl w:val="9"/>
        <w:rPr>
          <w:sz w:val="24"/>
          <w:szCs w:val="24"/>
        </w:rPr>
      </w:pPr>
      <w:r>
        <w:rPr>
          <w:sz w:val="24"/>
          <w:szCs w:val="24"/>
        </w:rPr>
        <w:t>（附：法定代表人身份证明）</w:t>
      </w:r>
    </w:p>
    <w:p w14:paraId="4D470D83">
      <w:pPr>
        <w:pStyle w:val="13"/>
        <w:jc w:val="both"/>
        <w:outlineLvl w:val="9"/>
        <w:rPr>
          <w:sz w:val="24"/>
          <w:szCs w:val="24"/>
        </w:rPr>
      </w:pPr>
    </w:p>
    <w:p w14:paraId="6ACDA490">
      <w:pPr>
        <w:pStyle w:val="13"/>
        <w:jc w:val="both"/>
        <w:outlineLvl w:val="9"/>
        <w:rPr>
          <w:sz w:val="24"/>
          <w:szCs w:val="24"/>
        </w:rPr>
      </w:pPr>
    </w:p>
    <w:p w14:paraId="556C818F">
      <w:pPr>
        <w:pStyle w:val="13"/>
        <w:spacing w:before="10"/>
        <w:jc w:val="both"/>
        <w:outlineLvl w:val="9"/>
        <w:rPr>
          <w:sz w:val="24"/>
          <w:szCs w:val="24"/>
        </w:rPr>
      </w:pPr>
    </w:p>
    <w:p w14:paraId="624A8D45">
      <w:pPr>
        <w:spacing w:before="0"/>
        <w:ind w:left="0" w:right="236" w:firstLine="720" w:firstLineChars="300"/>
        <w:jc w:val="both"/>
        <w:outlineLvl w:val="9"/>
        <w:rPr>
          <w:sz w:val="24"/>
          <w:szCs w:val="24"/>
        </w:rPr>
      </w:pPr>
      <w:r>
        <w:rPr>
          <w:sz w:val="24"/>
          <w:szCs w:val="24"/>
        </w:rPr>
        <w:t>投标人名称：（电子签章）</w:t>
      </w:r>
    </w:p>
    <w:p w14:paraId="55EB2A43">
      <w:pPr>
        <w:pStyle w:val="13"/>
        <w:jc w:val="both"/>
        <w:outlineLvl w:val="9"/>
        <w:rPr>
          <w:sz w:val="24"/>
          <w:szCs w:val="24"/>
        </w:rPr>
      </w:pPr>
    </w:p>
    <w:p w14:paraId="593E89EB">
      <w:pPr>
        <w:pStyle w:val="13"/>
        <w:tabs>
          <w:tab w:val="left" w:pos="526"/>
          <w:tab w:val="left" w:pos="1051"/>
        </w:tabs>
        <w:ind w:right="548" w:firstLine="720" w:firstLineChars="300"/>
        <w:jc w:val="both"/>
        <w:outlineLvl w:val="9"/>
        <w:rPr>
          <w:rFonts w:asciiTheme="minorHAnsi" w:hAnsiTheme="minorHAnsi" w:eastAsiaTheme="minorEastAsia" w:cstheme="minorBidi"/>
          <w:snapToGrid/>
          <w:color w:val="auto"/>
          <w:kern w:val="2"/>
          <w:sz w:val="24"/>
          <w:szCs w:val="24"/>
          <w:lang w:val="en-US" w:eastAsia="zh-CN" w:bidi="ar-SA"/>
        </w:rPr>
        <w:sectPr>
          <w:pgSz w:w="11910" w:h="16840"/>
          <w:pgMar w:top="1134" w:right="840" w:bottom="1000" w:left="860" w:header="567" w:footer="567" w:gutter="0"/>
          <w:pgNumType w:fmt="decimal"/>
          <w:cols w:space="720" w:num="1"/>
        </w:sectPr>
      </w:pPr>
      <w:r>
        <w:rPr>
          <w:rFonts w:hint="eastAsia" w:asciiTheme="minorHAnsi" w:hAnsiTheme="minorHAnsi" w:eastAsiaTheme="minorEastAsia" w:cstheme="minorBidi"/>
          <w:snapToGrid/>
          <w:color w:val="auto"/>
          <w:kern w:val="2"/>
          <w:sz w:val="24"/>
          <w:szCs w:val="24"/>
          <w:lang w:val="en-US" w:eastAsia="zh-CN" w:bidi="ar-SA"/>
        </w:rPr>
        <w:t>日 期：年 月</w:t>
      </w:r>
      <w:r>
        <w:rPr>
          <w:rFonts w:hint="eastAsia" w:asciiTheme="minorHAnsi" w:hAnsiTheme="minorHAnsi" w:eastAsiaTheme="minorEastAsia" w:cstheme="minorBidi"/>
          <w:snapToGrid/>
          <w:color w:val="auto"/>
          <w:kern w:val="2"/>
          <w:sz w:val="24"/>
          <w:szCs w:val="24"/>
          <w:lang w:val="en-US" w:eastAsia="zh-CN" w:bidi="ar-SA"/>
        </w:rPr>
        <w:tab/>
      </w:r>
      <w:r>
        <w:rPr>
          <w:rFonts w:hint="eastAsia" w:asciiTheme="minorHAnsi" w:hAnsiTheme="minorHAnsi" w:eastAsiaTheme="minorEastAsia" w:cstheme="minorBidi"/>
          <w:snapToGrid/>
          <w:color w:val="auto"/>
          <w:kern w:val="2"/>
          <w:sz w:val="24"/>
          <w:szCs w:val="24"/>
          <w:lang w:val="en-US" w:eastAsia="zh-CN" w:bidi="ar-SA"/>
        </w:rPr>
        <w:t>日</w:t>
      </w:r>
    </w:p>
    <w:p w14:paraId="7C5A395C">
      <w:pPr>
        <w:jc w:val="both"/>
        <w:outlineLvl w:val="9"/>
        <w:rPr>
          <w:b/>
          <w:bCs/>
          <w:w w:val="95"/>
          <w:sz w:val="36"/>
          <w:szCs w:val="36"/>
        </w:rPr>
      </w:pPr>
      <w:r>
        <w:rPr>
          <w:b/>
          <w:bCs/>
          <w:w w:val="95"/>
          <w:sz w:val="36"/>
          <w:szCs w:val="36"/>
        </w:rPr>
        <w:t>三、授权委托书</w:t>
      </w:r>
    </w:p>
    <w:p w14:paraId="1B6A1541">
      <w:pPr>
        <w:pStyle w:val="13"/>
        <w:jc w:val="both"/>
        <w:outlineLvl w:val="9"/>
        <w:rPr>
          <w:b/>
          <w:sz w:val="32"/>
        </w:rPr>
      </w:pPr>
    </w:p>
    <w:p w14:paraId="73F70726">
      <w:pPr>
        <w:pStyle w:val="13"/>
        <w:jc w:val="both"/>
        <w:outlineLvl w:val="9"/>
        <w:rPr>
          <w:b/>
          <w:sz w:val="32"/>
        </w:rPr>
      </w:pPr>
    </w:p>
    <w:p w14:paraId="75D99BE5">
      <w:pPr>
        <w:pStyle w:val="13"/>
        <w:spacing w:before="12"/>
        <w:jc w:val="both"/>
        <w:outlineLvl w:val="9"/>
        <w:rPr>
          <w:b/>
          <w:sz w:val="27"/>
        </w:rPr>
      </w:pPr>
    </w:p>
    <w:p w14:paraId="11BA315C">
      <w:pPr>
        <w:pStyle w:val="13"/>
        <w:tabs>
          <w:tab w:val="left" w:pos="1585"/>
          <w:tab w:val="left" w:pos="3160"/>
          <w:tab w:val="left" w:pos="7152"/>
          <w:tab w:val="left" w:pos="7469"/>
        </w:tabs>
        <w:spacing w:line="446" w:lineRule="auto"/>
        <w:ind w:left="220" w:right="211" w:firstLine="420"/>
        <w:jc w:val="both"/>
        <w:outlineLvl w:val="9"/>
        <w:rPr>
          <w:sz w:val="24"/>
          <w:szCs w:val="24"/>
        </w:rPr>
      </w:pPr>
      <w:r>
        <w:rPr>
          <w:sz w:val="24"/>
          <w:szCs w:val="24"/>
        </w:rPr>
        <w:t>本人</w:t>
      </w:r>
      <w:r>
        <w:rPr>
          <w:sz w:val="24"/>
          <w:szCs w:val="24"/>
        </w:rPr>
        <w:tab/>
      </w:r>
      <w:r>
        <w:rPr>
          <w:sz w:val="24"/>
          <w:szCs w:val="24"/>
        </w:rPr>
        <w:t>（姓名）系</w:t>
      </w:r>
      <w:r>
        <w:rPr>
          <w:sz w:val="24"/>
          <w:szCs w:val="24"/>
        </w:rPr>
        <w:tab/>
      </w:r>
      <w:r>
        <w:rPr>
          <w:sz w:val="24"/>
          <w:szCs w:val="24"/>
        </w:rPr>
        <w:t>（投标人名称）的法定代表人，现委托</w:t>
      </w:r>
      <w:r>
        <w:rPr>
          <w:sz w:val="24"/>
          <w:szCs w:val="24"/>
        </w:rPr>
        <w:tab/>
      </w:r>
      <w:r>
        <w:rPr>
          <w:sz w:val="24"/>
          <w:szCs w:val="24"/>
        </w:rPr>
        <w:t>（姓名）为我方代理人。代理人根据授权，以我方名义签署、澄清、说明、补正、递交、撤回、修改</w:t>
      </w:r>
      <w:r>
        <w:rPr>
          <w:sz w:val="24"/>
          <w:szCs w:val="24"/>
        </w:rPr>
        <w:tab/>
      </w:r>
      <w:r>
        <w:rPr>
          <w:sz w:val="24"/>
          <w:szCs w:val="24"/>
        </w:rPr>
        <w:tab/>
      </w:r>
      <w:r>
        <w:rPr>
          <w:sz w:val="24"/>
          <w:szCs w:val="24"/>
        </w:rPr>
        <w:t>（项目名称）响应性文件、签订合同和处理有关事宜，其法律后果由我方承担。</w:t>
      </w:r>
    </w:p>
    <w:p w14:paraId="6EABA61F">
      <w:pPr>
        <w:pStyle w:val="13"/>
        <w:spacing w:line="268" w:lineRule="exact"/>
        <w:ind w:left="640"/>
        <w:jc w:val="both"/>
        <w:outlineLvl w:val="9"/>
        <w:rPr>
          <w:sz w:val="24"/>
          <w:szCs w:val="24"/>
        </w:rPr>
      </w:pPr>
      <w:r>
        <w:rPr>
          <w:sz w:val="24"/>
          <w:szCs w:val="24"/>
        </w:rPr>
        <w:t>委托期限：。</w:t>
      </w:r>
    </w:p>
    <w:p w14:paraId="08761B94">
      <w:pPr>
        <w:pStyle w:val="13"/>
        <w:jc w:val="both"/>
        <w:outlineLvl w:val="9"/>
        <w:rPr>
          <w:sz w:val="24"/>
          <w:szCs w:val="24"/>
        </w:rPr>
      </w:pPr>
    </w:p>
    <w:p w14:paraId="0C9C777E">
      <w:pPr>
        <w:pStyle w:val="13"/>
        <w:ind w:left="640"/>
        <w:jc w:val="both"/>
        <w:outlineLvl w:val="9"/>
        <w:rPr>
          <w:sz w:val="24"/>
          <w:szCs w:val="24"/>
        </w:rPr>
      </w:pPr>
      <w:r>
        <w:rPr>
          <w:sz w:val="24"/>
          <w:szCs w:val="24"/>
        </w:rPr>
        <w:t>代理人无转委托权。</w:t>
      </w:r>
    </w:p>
    <w:p w14:paraId="42D714E0">
      <w:pPr>
        <w:pStyle w:val="13"/>
        <w:spacing w:before="2"/>
        <w:jc w:val="both"/>
        <w:outlineLvl w:val="9"/>
        <w:rPr>
          <w:sz w:val="24"/>
          <w:szCs w:val="24"/>
        </w:rPr>
      </w:pPr>
    </w:p>
    <w:p w14:paraId="3BE948BC">
      <w:pPr>
        <w:pStyle w:val="13"/>
        <w:ind w:left="640"/>
        <w:jc w:val="both"/>
        <w:outlineLvl w:val="9"/>
        <w:rPr>
          <w:sz w:val="24"/>
          <w:szCs w:val="24"/>
        </w:rPr>
      </w:pPr>
      <w:r>
        <w:rPr>
          <w:sz w:val="24"/>
          <w:szCs w:val="24"/>
        </w:rPr>
        <w:t>附：委托代理人身份证复印件</w:t>
      </w:r>
    </w:p>
    <w:p w14:paraId="42450B71">
      <w:pPr>
        <w:pStyle w:val="13"/>
        <w:jc w:val="both"/>
        <w:outlineLvl w:val="9"/>
        <w:rPr>
          <w:sz w:val="24"/>
          <w:szCs w:val="24"/>
        </w:rPr>
      </w:pPr>
    </w:p>
    <w:p w14:paraId="61D5F952">
      <w:pPr>
        <w:pStyle w:val="13"/>
        <w:jc w:val="both"/>
        <w:outlineLvl w:val="9"/>
        <w:rPr>
          <w:sz w:val="24"/>
          <w:szCs w:val="24"/>
        </w:rPr>
      </w:pPr>
    </w:p>
    <w:p w14:paraId="35193D91">
      <w:pPr>
        <w:pStyle w:val="13"/>
        <w:jc w:val="both"/>
        <w:outlineLvl w:val="9"/>
        <w:rPr>
          <w:sz w:val="24"/>
          <w:szCs w:val="24"/>
        </w:rPr>
      </w:pPr>
    </w:p>
    <w:p w14:paraId="0EEE8294">
      <w:pPr>
        <w:pStyle w:val="13"/>
        <w:jc w:val="both"/>
        <w:outlineLvl w:val="9"/>
        <w:rPr>
          <w:sz w:val="24"/>
          <w:szCs w:val="24"/>
        </w:rPr>
      </w:pPr>
    </w:p>
    <w:p w14:paraId="105A24E2">
      <w:pPr>
        <w:pStyle w:val="13"/>
        <w:keepNext w:val="0"/>
        <w:keepLines w:val="0"/>
        <w:pageBreakBefore w:val="0"/>
        <w:widowControl w:val="0"/>
        <w:kinsoku/>
        <w:wordWrap/>
        <w:overflowPunct/>
        <w:topLinePunct w:val="0"/>
        <w:autoSpaceDE w:val="0"/>
        <w:autoSpaceDN w:val="0"/>
        <w:bidi w:val="0"/>
        <w:adjustRightInd/>
        <w:snapToGrid/>
        <w:spacing w:before="176" w:line="429" w:lineRule="auto"/>
        <w:ind w:left="0" w:right="0"/>
        <w:jc w:val="both"/>
        <w:textAlignment w:val="auto"/>
        <w:outlineLvl w:val="9"/>
        <w:rPr>
          <w:spacing w:val="1"/>
          <w:sz w:val="24"/>
          <w:szCs w:val="24"/>
        </w:rPr>
      </w:pPr>
      <w:r>
        <w:rPr>
          <w:sz w:val="24"/>
          <w:szCs w:val="24"/>
        </w:rPr>
        <w:t>投标人名称：（电子签章）</w:t>
      </w:r>
    </w:p>
    <w:p w14:paraId="4C1C5362">
      <w:pPr>
        <w:pStyle w:val="13"/>
        <w:keepNext w:val="0"/>
        <w:keepLines w:val="0"/>
        <w:pageBreakBefore w:val="0"/>
        <w:widowControl w:val="0"/>
        <w:kinsoku/>
        <w:wordWrap/>
        <w:overflowPunct/>
        <w:topLinePunct w:val="0"/>
        <w:autoSpaceDE w:val="0"/>
        <w:autoSpaceDN w:val="0"/>
        <w:bidi w:val="0"/>
        <w:adjustRightInd/>
        <w:snapToGrid/>
        <w:spacing w:before="176" w:line="429" w:lineRule="auto"/>
        <w:ind w:left="0" w:right="0"/>
        <w:jc w:val="both"/>
        <w:textAlignment w:val="auto"/>
        <w:outlineLvl w:val="9"/>
        <w:rPr>
          <w:spacing w:val="-102"/>
          <w:sz w:val="24"/>
          <w:szCs w:val="24"/>
        </w:rPr>
      </w:pPr>
      <w:r>
        <w:rPr>
          <w:sz w:val="24"/>
          <w:szCs w:val="24"/>
        </w:rPr>
        <w:t>法定代表人：（电子签章）</w:t>
      </w:r>
    </w:p>
    <w:p w14:paraId="0922B06B">
      <w:pPr>
        <w:pStyle w:val="13"/>
        <w:keepNext w:val="0"/>
        <w:keepLines w:val="0"/>
        <w:pageBreakBefore w:val="0"/>
        <w:widowControl w:val="0"/>
        <w:kinsoku/>
        <w:wordWrap/>
        <w:overflowPunct/>
        <w:topLinePunct w:val="0"/>
        <w:autoSpaceDE w:val="0"/>
        <w:autoSpaceDN w:val="0"/>
        <w:bidi w:val="0"/>
        <w:adjustRightInd/>
        <w:snapToGrid/>
        <w:spacing w:before="176" w:line="429" w:lineRule="auto"/>
        <w:ind w:left="0" w:right="0"/>
        <w:jc w:val="both"/>
        <w:textAlignment w:val="auto"/>
        <w:outlineLvl w:val="9"/>
        <w:rPr>
          <w:sz w:val="24"/>
          <w:szCs w:val="24"/>
        </w:rPr>
      </w:pPr>
      <w:r>
        <w:rPr>
          <w:sz w:val="24"/>
          <w:szCs w:val="24"/>
        </w:rPr>
        <w:t>身份证号码：</w:t>
      </w:r>
    </w:p>
    <w:p w14:paraId="0E7B6D23">
      <w:pPr>
        <w:pStyle w:val="13"/>
        <w:keepNext w:val="0"/>
        <w:keepLines w:val="0"/>
        <w:pageBreakBefore w:val="0"/>
        <w:widowControl w:val="0"/>
        <w:kinsoku/>
        <w:wordWrap/>
        <w:overflowPunct/>
        <w:topLinePunct w:val="0"/>
        <w:autoSpaceDE w:val="0"/>
        <w:autoSpaceDN w:val="0"/>
        <w:bidi w:val="0"/>
        <w:adjustRightInd/>
        <w:snapToGrid/>
        <w:spacing w:before="17" w:line="446" w:lineRule="auto"/>
        <w:ind w:left="0" w:right="0"/>
        <w:jc w:val="both"/>
        <w:textAlignment w:val="auto"/>
        <w:outlineLvl w:val="9"/>
        <w:rPr>
          <w:spacing w:val="-102"/>
          <w:sz w:val="24"/>
          <w:szCs w:val="24"/>
        </w:rPr>
      </w:pPr>
      <w:r>
        <w:rPr>
          <w:sz w:val="24"/>
          <w:szCs w:val="24"/>
        </w:rPr>
        <w:t>委托代理人：（签字）</w:t>
      </w:r>
    </w:p>
    <w:p w14:paraId="6E6C8E34">
      <w:pPr>
        <w:pStyle w:val="13"/>
        <w:keepNext w:val="0"/>
        <w:keepLines w:val="0"/>
        <w:pageBreakBefore w:val="0"/>
        <w:widowControl w:val="0"/>
        <w:kinsoku/>
        <w:wordWrap/>
        <w:overflowPunct/>
        <w:topLinePunct w:val="0"/>
        <w:autoSpaceDE w:val="0"/>
        <w:autoSpaceDN w:val="0"/>
        <w:bidi w:val="0"/>
        <w:adjustRightInd/>
        <w:snapToGrid/>
        <w:spacing w:before="17" w:line="446" w:lineRule="auto"/>
        <w:ind w:left="0" w:right="0"/>
        <w:jc w:val="both"/>
        <w:textAlignment w:val="auto"/>
        <w:outlineLvl w:val="9"/>
        <w:rPr>
          <w:sz w:val="24"/>
          <w:szCs w:val="24"/>
        </w:rPr>
      </w:pPr>
      <w:r>
        <w:rPr>
          <w:sz w:val="24"/>
          <w:szCs w:val="24"/>
        </w:rPr>
        <w:t>身份证号码：</w:t>
      </w:r>
    </w:p>
    <w:p w14:paraId="55304E61">
      <w:pPr>
        <w:pStyle w:val="13"/>
        <w:tabs>
          <w:tab w:val="left" w:pos="3160"/>
          <w:tab w:val="left" w:pos="3686"/>
        </w:tabs>
        <w:spacing w:line="267" w:lineRule="exact"/>
        <w:ind w:left="2634"/>
        <w:jc w:val="both"/>
        <w:outlineLvl w:val="9"/>
        <w:rPr>
          <w:sz w:val="24"/>
          <w:szCs w:val="24"/>
        </w:rPr>
      </w:pPr>
      <w:r>
        <w:rPr>
          <w:sz w:val="24"/>
          <w:szCs w:val="24"/>
        </w:rPr>
        <w:t>年</w:t>
      </w:r>
      <w:r>
        <w:rPr>
          <w:sz w:val="24"/>
          <w:szCs w:val="24"/>
        </w:rPr>
        <w:tab/>
      </w:r>
      <w:r>
        <w:rPr>
          <w:sz w:val="24"/>
          <w:szCs w:val="24"/>
        </w:rPr>
        <w:t>月</w:t>
      </w:r>
      <w:r>
        <w:rPr>
          <w:sz w:val="24"/>
          <w:szCs w:val="24"/>
        </w:rPr>
        <w:tab/>
      </w:r>
      <w:r>
        <w:rPr>
          <w:sz w:val="24"/>
          <w:szCs w:val="24"/>
        </w:rPr>
        <w:t>日</w:t>
      </w:r>
    </w:p>
    <w:p w14:paraId="26776A72">
      <w:pPr>
        <w:spacing w:after="0" w:line="267" w:lineRule="exact"/>
        <w:jc w:val="both"/>
        <w:outlineLvl w:val="9"/>
        <w:sectPr>
          <w:pgSz w:w="11910" w:h="16840"/>
          <w:pgMar w:top="1134" w:right="840" w:bottom="1000" w:left="860" w:header="567" w:footer="567" w:gutter="0"/>
          <w:pgNumType w:fmt="decimal"/>
          <w:cols w:space="720" w:num="1"/>
        </w:sectPr>
      </w:pPr>
    </w:p>
    <w:p w14:paraId="610A8B4E">
      <w:pPr>
        <w:pStyle w:val="13"/>
        <w:spacing w:before="9"/>
        <w:jc w:val="both"/>
        <w:outlineLvl w:val="9"/>
        <w:rPr>
          <w:sz w:val="18"/>
        </w:rPr>
      </w:pPr>
    </w:p>
    <w:p w14:paraId="08A2336C">
      <w:pPr>
        <w:jc w:val="both"/>
        <w:outlineLvl w:val="9"/>
        <w:rPr>
          <w:b/>
          <w:bCs/>
          <w:w w:val="95"/>
          <w:sz w:val="36"/>
          <w:szCs w:val="36"/>
        </w:rPr>
      </w:pPr>
      <w:r>
        <w:rPr>
          <w:b/>
          <w:bCs/>
          <w:w w:val="95"/>
          <w:sz w:val="36"/>
          <w:szCs w:val="36"/>
        </w:rPr>
        <w:t>四、技术标部分</w:t>
      </w:r>
    </w:p>
    <w:p w14:paraId="4DE5676B">
      <w:pPr>
        <w:pStyle w:val="13"/>
        <w:spacing w:before="2"/>
        <w:jc w:val="both"/>
        <w:outlineLvl w:val="9"/>
        <w:rPr>
          <w:b/>
          <w:sz w:val="24"/>
        </w:rPr>
      </w:pPr>
    </w:p>
    <w:p w14:paraId="0C5FDB10">
      <w:pPr>
        <w:pStyle w:val="13"/>
        <w:ind w:right="13"/>
        <w:jc w:val="both"/>
        <w:outlineLvl w:val="9"/>
      </w:pPr>
      <w:r>
        <w:t>（格式自拟）</w:t>
      </w:r>
    </w:p>
    <w:p w14:paraId="2092943D">
      <w:pPr>
        <w:pStyle w:val="13"/>
        <w:jc w:val="both"/>
        <w:outlineLvl w:val="9"/>
        <w:rPr>
          <w:sz w:val="20"/>
        </w:rPr>
      </w:pPr>
    </w:p>
    <w:p w14:paraId="789D3E74">
      <w:pPr>
        <w:pStyle w:val="13"/>
        <w:jc w:val="both"/>
        <w:outlineLvl w:val="9"/>
        <w:rPr>
          <w:sz w:val="20"/>
        </w:rPr>
      </w:pPr>
    </w:p>
    <w:p w14:paraId="1C643821">
      <w:pPr>
        <w:pStyle w:val="13"/>
        <w:jc w:val="both"/>
        <w:outlineLvl w:val="9"/>
        <w:rPr>
          <w:sz w:val="20"/>
        </w:rPr>
      </w:pPr>
    </w:p>
    <w:p w14:paraId="784D6591">
      <w:pPr>
        <w:pStyle w:val="13"/>
        <w:jc w:val="both"/>
        <w:outlineLvl w:val="9"/>
        <w:rPr>
          <w:sz w:val="20"/>
        </w:rPr>
      </w:pPr>
    </w:p>
    <w:p w14:paraId="237F8CA9">
      <w:pPr>
        <w:pStyle w:val="13"/>
        <w:jc w:val="both"/>
        <w:outlineLvl w:val="9"/>
        <w:rPr>
          <w:sz w:val="20"/>
        </w:rPr>
      </w:pPr>
    </w:p>
    <w:p w14:paraId="298C78F7">
      <w:pPr>
        <w:pStyle w:val="13"/>
        <w:jc w:val="both"/>
        <w:outlineLvl w:val="9"/>
        <w:rPr>
          <w:sz w:val="20"/>
        </w:rPr>
      </w:pPr>
    </w:p>
    <w:p w14:paraId="5F5C1547">
      <w:pPr>
        <w:pStyle w:val="13"/>
        <w:jc w:val="both"/>
        <w:outlineLvl w:val="9"/>
        <w:rPr>
          <w:sz w:val="20"/>
        </w:rPr>
      </w:pPr>
    </w:p>
    <w:p w14:paraId="31FD86F5">
      <w:pPr>
        <w:pStyle w:val="13"/>
        <w:jc w:val="both"/>
        <w:outlineLvl w:val="9"/>
        <w:rPr>
          <w:sz w:val="20"/>
        </w:rPr>
      </w:pPr>
    </w:p>
    <w:p w14:paraId="42E27EE9">
      <w:pPr>
        <w:pStyle w:val="13"/>
        <w:jc w:val="both"/>
        <w:outlineLvl w:val="9"/>
        <w:rPr>
          <w:sz w:val="20"/>
        </w:rPr>
      </w:pPr>
    </w:p>
    <w:p w14:paraId="59885780">
      <w:pPr>
        <w:pStyle w:val="13"/>
        <w:jc w:val="both"/>
        <w:outlineLvl w:val="9"/>
        <w:rPr>
          <w:sz w:val="20"/>
        </w:rPr>
      </w:pPr>
    </w:p>
    <w:p w14:paraId="10F3570F">
      <w:pPr>
        <w:pStyle w:val="13"/>
        <w:jc w:val="both"/>
        <w:outlineLvl w:val="9"/>
        <w:rPr>
          <w:sz w:val="20"/>
        </w:rPr>
      </w:pPr>
    </w:p>
    <w:p w14:paraId="61BF5AAE">
      <w:pPr>
        <w:pStyle w:val="13"/>
        <w:jc w:val="both"/>
        <w:outlineLvl w:val="9"/>
        <w:rPr>
          <w:sz w:val="20"/>
        </w:rPr>
      </w:pPr>
    </w:p>
    <w:p w14:paraId="416777FA">
      <w:pPr>
        <w:pStyle w:val="13"/>
        <w:jc w:val="both"/>
        <w:outlineLvl w:val="9"/>
        <w:rPr>
          <w:sz w:val="20"/>
        </w:rPr>
      </w:pPr>
    </w:p>
    <w:p w14:paraId="3DC76F15">
      <w:pPr>
        <w:pStyle w:val="13"/>
        <w:jc w:val="both"/>
        <w:outlineLvl w:val="9"/>
        <w:rPr>
          <w:sz w:val="20"/>
        </w:rPr>
      </w:pPr>
    </w:p>
    <w:p w14:paraId="1F8E0B8B">
      <w:pPr>
        <w:pStyle w:val="13"/>
        <w:jc w:val="both"/>
        <w:outlineLvl w:val="9"/>
        <w:rPr>
          <w:sz w:val="20"/>
        </w:rPr>
      </w:pPr>
    </w:p>
    <w:p w14:paraId="5060F070">
      <w:pPr>
        <w:pStyle w:val="13"/>
        <w:jc w:val="both"/>
        <w:outlineLvl w:val="9"/>
        <w:rPr>
          <w:sz w:val="20"/>
        </w:rPr>
      </w:pPr>
    </w:p>
    <w:p w14:paraId="1A41FC47">
      <w:pPr>
        <w:pStyle w:val="13"/>
        <w:jc w:val="both"/>
        <w:outlineLvl w:val="9"/>
        <w:rPr>
          <w:sz w:val="20"/>
        </w:rPr>
      </w:pPr>
    </w:p>
    <w:p w14:paraId="6BAD571C">
      <w:pPr>
        <w:pStyle w:val="13"/>
        <w:jc w:val="both"/>
        <w:outlineLvl w:val="9"/>
        <w:rPr>
          <w:sz w:val="20"/>
        </w:rPr>
      </w:pPr>
    </w:p>
    <w:p w14:paraId="08B9DCCC">
      <w:pPr>
        <w:pStyle w:val="13"/>
        <w:jc w:val="both"/>
        <w:outlineLvl w:val="9"/>
        <w:rPr>
          <w:sz w:val="20"/>
        </w:rPr>
      </w:pPr>
    </w:p>
    <w:p w14:paraId="6E46BCD5">
      <w:pPr>
        <w:pStyle w:val="13"/>
        <w:spacing w:before="4"/>
        <w:jc w:val="both"/>
        <w:outlineLvl w:val="9"/>
        <w:rPr>
          <w:sz w:val="15"/>
        </w:rPr>
      </w:pPr>
    </w:p>
    <w:p w14:paraId="47E29A98">
      <w:pPr>
        <w:jc w:val="both"/>
        <w:outlineLvl w:val="9"/>
        <w:rPr>
          <w:b/>
          <w:bCs/>
          <w:w w:val="95"/>
          <w:sz w:val="36"/>
          <w:szCs w:val="36"/>
          <w:highlight w:val="none"/>
        </w:rPr>
      </w:pPr>
      <w:r>
        <w:rPr>
          <w:b/>
          <w:bCs/>
          <w:w w:val="95"/>
          <w:sz w:val="36"/>
          <w:szCs w:val="36"/>
          <w:highlight w:val="none"/>
        </w:rPr>
        <w:t>五、供应商类似业绩</w:t>
      </w:r>
    </w:p>
    <w:p w14:paraId="1437ED40">
      <w:pPr>
        <w:spacing w:after="0"/>
        <w:jc w:val="both"/>
        <w:outlineLvl w:val="9"/>
        <w:rPr>
          <w:sz w:val="22"/>
        </w:rPr>
        <w:sectPr>
          <w:pgSz w:w="11910" w:h="16840"/>
          <w:pgMar w:top="1191" w:right="840" w:bottom="1000" w:left="918" w:header="567" w:footer="567" w:gutter="0"/>
          <w:pgNumType w:fmt="decimal"/>
          <w:cols w:space="720" w:num="1"/>
        </w:sectPr>
      </w:pPr>
    </w:p>
    <w:p w14:paraId="79206067">
      <w:pPr>
        <w:jc w:val="both"/>
        <w:outlineLvl w:val="9"/>
        <w:rPr>
          <w:b/>
          <w:bCs/>
          <w:w w:val="95"/>
          <w:sz w:val="36"/>
          <w:szCs w:val="36"/>
        </w:rPr>
      </w:pPr>
      <w:r>
        <w:rPr>
          <w:b/>
          <w:bCs/>
          <w:w w:val="95"/>
          <w:sz w:val="36"/>
          <w:szCs w:val="36"/>
        </w:rPr>
        <w:t>六、供应商基本情况表</w:t>
      </w:r>
    </w:p>
    <w:p w14:paraId="554D48A2">
      <w:pPr>
        <w:pStyle w:val="13"/>
        <w:jc w:val="both"/>
        <w:outlineLvl w:val="9"/>
        <w:rPr>
          <w:rFonts w:hint="eastAsia" w:ascii="宋体" w:hAnsi="宋体" w:eastAsia="宋体" w:cs="宋体"/>
          <w:sz w:val="24"/>
          <w:szCs w:val="24"/>
        </w:rPr>
      </w:pPr>
    </w:p>
    <w:p w14:paraId="735B441D">
      <w:pPr>
        <w:pStyle w:val="13"/>
        <w:spacing w:before="9"/>
        <w:jc w:val="both"/>
        <w:outlineLvl w:val="9"/>
        <w:rPr>
          <w:rFonts w:hint="eastAsia" w:ascii="宋体" w:hAnsi="宋体" w:eastAsia="宋体" w:cs="宋体"/>
          <w:sz w:val="24"/>
          <w:szCs w:val="24"/>
        </w:rPr>
      </w:pPr>
    </w:p>
    <w:tbl>
      <w:tblPr>
        <w:tblStyle w:val="30"/>
        <w:tblW w:w="0" w:type="auto"/>
        <w:tblInd w:w="22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80"/>
        <w:gridCol w:w="1180"/>
        <w:gridCol w:w="2953"/>
        <w:gridCol w:w="1217"/>
        <w:gridCol w:w="2200"/>
      </w:tblGrid>
      <w:tr w14:paraId="1D6477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980" w:type="dxa"/>
            <w:noWrap w:val="0"/>
            <w:vAlign w:val="top"/>
          </w:tcPr>
          <w:p w14:paraId="4F87AF56">
            <w:pPr>
              <w:pStyle w:val="70"/>
              <w:keepNext w:val="0"/>
              <w:keepLines w:val="0"/>
              <w:pageBreakBefore w:val="0"/>
              <w:widowControl w:val="0"/>
              <w:kinsoku/>
              <w:wordWrap/>
              <w:overflowPunct/>
              <w:topLinePunct w:val="0"/>
              <w:autoSpaceDE w:val="0"/>
              <w:autoSpaceDN w:val="0"/>
              <w:bidi w:val="0"/>
              <w:adjustRightInd/>
              <w:snapToGrid/>
              <w:spacing w:before="104"/>
              <w:ind w:left="233" w:right="223"/>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供应商名称</w:t>
            </w:r>
          </w:p>
        </w:tc>
        <w:tc>
          <w:tcPr>
            <w:tcW w:w="7550" w:type="dxa"/>
            <w:gridSpan w:val="4"/>
            <w:noWrap w:val="0"/>
            <w:vAlign w:val="top"/>
          </w:tcPr>
          <w:p w14:paraId="16038757">
            <w:pPr>
              <w:pStyle w:val="70"/>
              <w:keepNext w:val="0"/>
              <w:keepLines w:val="0"/>
              <w:pageBreakBefore w:val="0"/>
              <w:widowControl w:val="0"/>
              <w:kinsoku/>
              <w:wordWrap/>
              <w:overflowPunct/>
              <w:topLinePunct w:val="0"/>
              <w:autoSpaceDE w:val="0"/>
              <w:autoSpaceDN w:val="0"/>
              <w:bidi w:val="0"/>
              <w:adjustRightInd/>
              <w:snapToGrid/>
              <w:jc w:val="both"/>
              <w:textAlignment w:val="auto"/>
              <w:outlineLvl w:val="9"/>
              <w:rPr>
                <w:rFonts w:hint="eastAsia" w:ascii="宋体" w:hAnsi="宋体" w:eastAsia="宋体" w:cs="宋体"/>
                <w:sz w:val="24"/>
                <w:szCs w:val="24"/>
              </w:rPr>
            </w:pPr>
          </w:p>
        </w:tc>
      </w:tr>
      <w:tr w14:paraId="12F1B5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1" w:hRule="atLeast"/>
        </w:trPr>
        <w:tc>
          <w:tcPr>
            <w:tcW w:w="1980" w:type="dxa"/>
            <w:noWrap w:val="0"/>
            <w:vAlign w:val="top"/>
          </w:tcPr>
          <w:p w14:paraId="77DB9283">
            <w:pPr>
              <w:pStyle w:val="70"/>
              <w:keepNext w:val="0"/>
              <w:keepLines w:val="0"/>
              <w:pageBreakBefore w:val="0"/>
              <w:widowControl w:val="0"/>
              <w:kinsoku/>
              <w:wordWrap/>
              <w:overflowPunct/>
              <w:topLinePunct w:val="0"/>
              <w:autoSpaceDE w:val="0"/>
              <w:autoSpaceDN w:val="0"/>
              <w:bidi w:val="0"/>
              <w:adjustRightInd/>
              <w:snapToGrid/>
              <w:spacing w:before="22"/>
              <w:ind w:left="233" w:right="223"/>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注册地址</w:t>
            </w:r>
          </w:p>
        </w:tc>
        <w:tc>
          <w:tcPr>
            <w:tcW w:w="4133" w:type="dxa"/>
            <w:gridSpan w:val="2"/>
            <w:noWrap w:val="0"/>
            <w:vAlign w:val="top"/>
          </w:tcPr>
          <w:p w14:paraId="491F8552">
            <w:pPr>
              <w:pStyle w:val="70"/>
              <w:keepNext w:val="0"/>
              <w:keepLines w:val="0"/>
              <w:pageBreakBefore w:val="0"/>
              <w:widowControl w:val="0"/>
              <w:kinsoku/>
              <w:wordWrap/>
              <w:overflowPunct/>
              <w:topLinePunct w:val="0"/>
              <w:autoSpaceDE w:val="0"/>
              <w:autoSpaceDN w:val="0"/>
              <w:bidi w:val="0"/>
              <w:adjustRightInd/>
              <w:snapToGrid/>
              <w:jc w:val="both"/>
              <w:textAlignment w:val="auto"/>
              <w:outlineLvl w:val="9"/>
              <w:rPr>
                <w:rFonts w:hint="eastAsia" w:ascii="宋体" w:hAnsi="宋体" w:eastAsia="宋体" w:cs="宋体"/>
                <w:sz w:val="24"/>
                <w:szCs w:val="24"/>
              </w:rPr>
            </w:pPr>
          </w:p>
        </w:tc>
        <w:tc>
          <w:tcPr>
            <w:tcW w:w="1217" w:type="dxa"/>
            <w:noWrap w:val="0"/>
            <w:vAlign w:val="center"/>
          </w:tcPr>
          <w:p w14:paraId="2E4B1276">
            <w:pPr>
              <w:pStyle w:val="70"/>
              <w:keepNext w:val="0"/>
              <w:keepLines w:val="0"/>
              <w:pageBreakBefore w:val="0"/>
              <w:widowControl w:val="0"/>
              <w:kinsoku/>
              <w:wordWrap/>
              <w:overflowPunct/>
              <w:topLinePunct w:val="0"/>
              <w:autoSpaceDE w:val="0"/>
              <w:autoSpaceDN w:val="0"/>
              <w:bidi w:val="0"/>
              <w:adjustRightInd/>
              <w:snapToGrid/>
              <w:spacing w:before="22"/>
              <w:ind w:left="107" w:right="9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邮政编码</w:t>
            </w:r>
          </w:p>
        </w:tc>
        <w:tc>
          <w:tcPr>
            <w:tcW w:w="2200" w:type="dxa"/>
            <w:noWrap w:val="0"/>
            <w:vAlign w:val="top"/>
          </w:tcPr>
          <w:p w14:paraId="33F5057B">
            <w:pPr>
              <w:pStyle w:val="70"/>
              <w:keepNext w:val="0"/>
              <w:keepLines w:val="0"/>
              <w:pageBreakBefore w:val="0"/>
              <w:widowControl w:val="0"/>
              <w:kinsoku/>
              <w:wordWrap/>
              <w:overflowPunct/>
              <w:topLinePunct w:val="0"/>
              <w:autoSpaceDE w:val="0"/>
              <w:autoSpaceDN w:val="0"/>
              <w:bidi w:val="0"/>
              <w:adjustRightInd/>
              <w:snapToGrid/>
              <w:jc w:val="both"/>
              <w:textAlignment w:val="auto"/>
              <w:outlineLvl w:val="9"/>
              <w:rPr>
                <w:rFonts w:hint="eastAsia" w:ascii="宋体" w:hAnsi="宋体" w:eastAsia="宋体" w:cs="宋体"/>
                <w:sz w:val="24"/>
                <w:szCs w:val="24"/>
              </w:rPr>
            </w:pPr>
          </w:p>
        </w:tc>
      </w:tr>
      <w:tr w14:paraId="421C18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1980" w:type="dxa"/>
            <w:vMerge w:val="restart"/>
            <w:noWrap w:val="0"/>
            <w:vAlign w:val="center"/>
          </w:tcPr>
          <w:p w14:paraId="28589522">
            <w:pPr>
              <w:pStyle w:val="70"/>
              <w:keepNext w:val="0"/>
              <w:keepLines w:val="0"/>
              <w:pageBreakBefore w:val="0"/>
              <w:widowControl w:val="0"/>
              <w:kinsoku/>
              <w:wordWrap/>
              <w:overflowPunct/>
              <w:topLinePunct w:val="0"/>
              <w:autoSpaceDE w:val="0"/>
              <w:autoSpaceDN w:val="0"/>
              <w:bidi w:val="0"/>
              <w:adjustRightInd/>
              <w:snapToGrid/>
              <w:spacing w:before="152"/>
              <w:ind w:firstLine="240" w:firstLineChars="1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联系方式</w:t>
            </w:r>
          </w:p>
        </w:tc>
        <w:tc>
          <w:tcPr>
            <w:tcW w:w="1180" w:type="dxa"/>
            <w:noWrap w:val="0"/>
            <w:vAlign w:val="center"/>
          </w:tcPr>
          <w:p w14:paraId="348956C4">
            <w:pPr>
              <w:pStyle w:val="70"/>
              <w:keepNext w:val="0"/>
              <w:keepLines w:val="0"/>
              <w:pageBreakBefore w:val="0"/>
              <w:widowControl w:val="0"/>
              <w:kinsoku/>
              <w:wordWrap/>
              <w:overflowPunct/>
              <w:topLinePunct w:val="0"/>
              <w:autoSpaceDE w:val="0"/>
              <w:autoSpaceDN w:val="0"/>
              <w:bidi w:val="0"/>
              <w:adjustRightInd/>
              <w:snapToGrid/>
              <w:spacing w:before="97"/>
              <w:ind w:left="205" w:right="193"/>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联系人</w:t>
            </w:r>
          </w:p>
        </w:tc>
        <w:tc>
          <w:tcPr>
            <w:tcW w:w="2953" w:type="dxa"/>
            <w:noWrap w:val="0"/>
            <w:vAlign w:val="top"/>
          </w:tcPr>
          <w:p w14:paraId="04DF88FB">
            <w:pPr>
              <w:pStyle w:val="70"/>
              <w:keepNext w:val="0"/>
              <w:keepLines w:val="0"/>
              <w:pageBreakBefore w:val="0"/>
              <w:widowControl w:val="0"/>
              <w:kinsoku/>
              <w:wordWrap/>
              <w:overflowPunct/>
              <w:topLinePunct w:val="0"/>
              <w:autoSpaceDE w:val="0"/>
              <w:autoSpaceDN w:val="0"/>
              <w:bidi w:val="0"/>
              <w:adjustRightInd/>
              <w:snapToGrid/>
              <w:jc w:val="both"/>
              <w:textAlignment w:val="auto"/>
              <w:outlineLvl w:val="9"/>
              <w:rPr>
                <w:rFonts w:hint="eastAsia" w:ascii="宋体" w:hAnsi="宋体" w:eastAsia="宋体" w:cs="宋体"/>
                <w:sz w:val="24"/>
                <w:szCs w:val="24"/>
              </w:rPr>
            </w:pPr>
          </w:p>
        </w:tc>
        <w:tc>
          <w:tcPr>
            <w:tcW w:w="1217" w:type="dxa"/>
            <w:noWrap w:val="0"/>
            <w:vAlign w:val="center"/>
          </w:tcPr>
          <w:p w14:paraId="375E9A59">
            <w:pPr>
              <w:pStyle w:val="70"/>
              <w:keepNext w:val="0"/>
              <w:keepLines w:val="0"/>
              <w:pageBreakBefore w:val="0"/>
              <w:widowControl w:val="0"/>
              <w:kinsoku/>
              <w:wordWrap/>
              <w:overflowPunct/>
              <w:topLinePunct w:val="0"/>
              <w:autoSpaceDE w:val="0"/>
              <w:autoSpaceDN w:val="0"/>
              <w:bidi w:val="0"/>
              <w:adjustRightInd/>
              <w:snapToGrid/>
              <w:spacing w:before="97"/>
              <w:ind w:left="104" w:right="9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电话</w:t>
            </w:r>
          </w:p>
        </w:tc>
        <w:tc>
          <w:tcPr>
            <w:tcW w:w="2200" w:type="dxa"/>
            <w:noWrap w:val="0"/>
            <w:vAlign w:val="top"/>
          </w:tcPr>
          <w:p w14:paraId="1B058229">
            <w:pPr>
              <w:pStyle w:val="70"/>
              <w:keepNext w:val="0"/>
              <w:keepLines w:val="0"/>
              <w:pageBreakBefore w:val="0"/>
              <w:widowControl w:val="0"/>
              <w:kinsoku/>
              <w:wordWrap/>
              <w:overflowPunct/>
              <w:topLinePunct w:val="0"/>
              <w:autoSpaceDE w:val="0"/>
              <w:autoSpaceDN w:val="0"/>
              <w:bidi w:val="0"/>
              <w:adjustRightInd/>
              <w:snapToGrid/>
              <w:jc w:val="both"/>
              <w:textAlignment w:val="auto"/>
              <w:outlineLvl w:val="9"/>
              <w:rPr>
                <w:rFonts w:hint="eastAsia" w:ascii="宋体" w:hAnsi="宋体" w:eastAsia="宋体" w:cs="宋体"/>
                <w:sz w:val="24"/>
                <w:szCs w:val="24"/>
              </w:rPr>
            </w:pPr>
          </w:p>
        </w:tc>
      </w:tr>
      <w:tr w14:paraId="1BB15D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980" w:type="dxa"/>
            <w:vMerge w:val="continue"/>
            <w:tcBorders>
              <w:top w:val="nil"/>
            </w:tcBorders>
            <w:noWrap w:val="0"/>
            <w:vAlign w:val="top"/>
          </w:tcPr>
          <w:p w14:paraId="7DF3F91D">
            <w:pPr>
              <w:keepNext w:val="0"/>
              <w:keepLines w:val="0"/>
              <w:pageBreakBefore w:val="0"/>
              <w:widowControl w:val="0"/>
              <w:kinsoku/>
              <w:wordWrap/>
              <w:overflowPunct/>
              <w:topLinePunct w:val="0"/>
              <w:autoSpaceDE w:val="0"/>
              <w:autoSpaceDN w:val="0"/>
              <w:bidi w:val="0"/>
              <w:adjustRightInd/>
              <w:snapToGrid/>
              <w:jc w:val="both"/>
              <w:textAlignment w:val="auto"/>
              <w:outlineLvl w:val="9"/>
              <w:rPr>
                <w:rFonts w:hint="eastAsia" w:ascii="宋体" w:hAnsi="宋体" w:eastAsia="宋体" w:cs="宋体"/>
                <w:sz w:val="24"/>
                <w:szCs w:val="24"/>
              </w:rPr>
            </w:pPr>
          </w:p>
        </w:tc>
        <w:tc>
          <w:tcPr>
            <w:tcW w:w="1180" w:type="dxa"/>
            <w:noWrap w:val="0"/>
            <w:vAlign w:val="center"/>
          </w:tcPr>
          <w:p w14:paraId="69ADA458">
            <w:pPr>
              <w:pStyle w:val="70"/>
              <w:keepNext w:val="0"/>
              <w:keepLines w:val="0"/>
              <w:pageBreakBefore w:val="0"/>
              <w:widowControl w:val="0"/>
              <w:kinsoku/>
              <w:wordWrap/>
              <w:overflowPunct/>
              <w:topLinePunct w:val="0"/>
              <w:autoSpaceDE w:val="0"/>
              <w:autoSpaceDN w:val="0"/>
              <w:bidi w:val="0"/>
              <w:adjustRightInd/>
              <w:snapToGrid/>
              <w:spacing w:before="104"/>
              <w:ind w:left="205" w:right="193"/>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传真</w:t>
            </w:r>
          </w:p>
        </w:tc>
        <w:tc>
          <w:tcPr>
            <w:tcW w:w="2953" w:type="dxa"/>
            <w:noWrap w:val="0"/>
            <w:vAlign w:val="top"/>
          </w:tcPr>
          <w:p w14:paraId="452CB317">
            <w:pPr>
              <w:pStyle w:val="70"/>
              <w:keepNext w:val="0"/>
              <w:keepLines w:val="0"/>
              <w:pageBreakBefore w:val="0"/>
              <w:widowControl w:val="0"/>
              <w:kinsoku/>
              <w:wordWrap/>
              <w:overflowPunct/>
              <w:topLinePunct w:val="0"/>
              <w:autoSpaceDE w:val="0"/>
              <w:autoSpaceDN w:val="0"/>
              <w:bidi w:val="0"/>
              <w:adjustRightInd/>
              <w:snapToGrid/>
              <w:jc w:val="both"/>
              <w:textAlignment w:val="auto"/>
              <w:outlineLvl w:val="9"/>
              <w:rPr>
                <w:rFonts w:hint="eastAsia" w:ascii="宋体" w:hAnsi="宋体" w:eastAsia="宋体" w:cs="宋体"/>
                <w:sz w:val="24"/>
                <w:szCs w:val="24"/>
              </w:rPr>
            </w:pPr>
          </w:p>
        </w:tc>
        <w:tc>
          <w:tcPr>
            <w:tcW w:w="1217" w:type="dxa"/>
            <w:noWrap w:val="0"/>
            <w:vAlign w:val="center"/>
          </w:tcPr>
          <w:p w14:paraId="4C9F8813">
            <w:pPr>
              <w:pStyle w:val="70"/>
              <w:keepNext w:val="0"/>
              <w:keepLines w:val="0"/>
              <w:pageBreakBefore w:val="0"/>
              <w:widowControl w:val="0"/>
              <w:kinsoku/>
              <w:wordWrap/>
              <w:overflowPunct/>
              <w:topLinePunct w:val="0"/>
              <w:autoSpaceDE w:val="0"/>
              <w:autoSpaceDN w:val="0"/>
              <w:bidi w:val="0"/>
              <w:adjustRightInd/>
              <w:snapToGrid/>
              <w:spacing w:before="104"/>
              <w:ind w:left="104" w:right="9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网址</w:t>
            </w:r>
          </w:p>
        </w:tc>
        <w:tc>
          <w:tcPr>
            <w:tcW w:w="2200" w:type="dxa"/>
            <w:noWrap w:val="0"/>
            <w:vAlign w:val="top"/>
          </w:tcPr>
          <w:p w14:paraId="14FF5B7B">
            <w:pPr>
              <w:pStyle w:val="70"/>
              <w:keepNext w:val="0"/>
              <w:keepLines w:val="0"/>
              <w:pageBreakBefore w:val="0"/>
              <w:widowControl w:val="0"/>
              <w:kinsoku/>
              <w:wordWrap/>
              <w:overflowPunct/>
              <w:topLinePunct w:val="0"/>
              <w:autoSpaceDE w:val="0"/>
              <w:autoSpaceDN w:val="0"/>
              <w:bidi w:val="0"/>
              <w:adjustRightInd/>
              <w:snapToGrid/>
              <w:jc w:val="both"/>
              <w:textAlignment w:val="auto"/>
              <w:outlineLvl w:val="9"/>
              <w:rPr>
                <w:rFonts w:hint="eastAsia" w:ascii="宋体" w:hAnsi="宋体" w:eastAsia="宋体" w:cs="宋体"/>
                <w:sz w:val="24"/>
                <w:szCs w:val="24"/>
              </w:rPr>
            </w:pPr>
          </w:p>
        </w:tc>
      </w:tr>
      <w:tr w14:paraId="29FD8D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1" w:hRule="atLeast"/>
        </w:trPr>
        <w:tc>
          <w:tcPr>
            <w:tcW w:w="1980" w:type="dxa"/>
            <w:noWrap w:val="0"/>
            <w:vAlign w:val="top"/>
          </w:tcPr>
          <w:p w14:paraId="30EB4C7C">
            <w:pPr>
              <w:pStyle w:val="70"/>
              <w:keepNext w:val="0"/>
              <w:keepLines w:val="0"/>
              <w:pageBreakBefore w:val="0"/>
              <w:widowControl w:val="0"/>
              <w:kinsoku/>
              <w:wordWrap/>
              <w:overflowPunct/>
              <w:topLinePunct w:val="0"/>
              <w:autoSpaceDE w:val="0"/>
              <w:autoSpaceDN w:val="0"/>
              <w:bidi w:val="0"/>
              <w:adjustRightInd/>
              <w:snapToGrid/>
              <w:spacing w:before="102"/>
              <w:ind w:left="233" w:right="223"/>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组织结构</w:t>
            </w:r>
          </w:p>
        </w:tc>
        <w:tc>
          <w:tcPr>
            <w:tcW w:w="7550" w:type="dxa"/>
            <w:gridSpan w:val="4"/>
            <w:noWrap w:val="0"/>
            <w:vAlign w:val="center"/>
          </w:tcPr>
          <w:p w14:paraId="72C44784">
            <w:pPr>
              <w:pStyle w:val="70"/>
              <w:keepNext w:val="0"/>
              <w:keepLines w:val="0"/>
              <w:pageBreakBefore w:val="0"/>
              <w:widowControl w:val="0"/>
              <w:kinsoku/>
              <w:wordWrap/>
              <w:overflowPunct/>
              <w:topLinePunct w:val="0"/>
              <w:autoSpaceDE w:val="0"/>
              <w:autoSpaceDN w:val="0"/>
              <w:bidi w:val="0"/>
              <w:adjustRightInd/>
              <w:snapToGrid/>
              <w:jc w:val="both"/>
              <w:textAlignment w:val="auto"/>
              <w:outlineLvl w:val="9"/>
              <w:rPr>
                <w:rFonts w:hint="eastAsia" w:ascii="宋体" w:hAnsi="宋体" w:eastAsia="宋体" w:cs="宋体"/>
                <w:sz w:val="24"/>
                <w:szCs w:val="24"/>
              </w:rPr>
            </w:pPr>
          </w:p>
        </w:tc>
      </w:tr>
      <w:tr w14:paraId="55257D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2" w:hRule="atLeast"/>
        </w:trPr>
        <w:tc>
          <w:tcPr>
            <w:tcW w:w="1980" w:type="dxa"/>
            <w:noWrap w:val="0"/>
            <w:vAlign w:val="top"/>
          </w:tcPr>
          <w:p w14:paraId="1AA3EA28">
            <w:pPr>
              <w:pStyle w:val="70"/>
              <w:keepNext w:val="0"/>
              <w:keepLines w:val="0"/>
              <w:pageBreakBefore w:val="0"/>
              <w:widowControl w:val="0"/>
              <w:kinsoku/>
              <w:wordWrap/>
              <w:overflowPunct/>
              <w:topLinePunct w:val="0"/>
              <w:autoSpaceDE w:val="0"/>
              <w:autoSpaceDN w:val="0"/>
              <w:bidi w:val="0"/>
              <w:adjustRightInd/>
              <w:snapToGrid/>
              <w:spacing w:before="99"/>
              <w:ind w:left="233" w:right="223"/>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法定代表人</w:t>
            </w:r>
          </w:p>
        </w:tc>
        <w:tc>
          <w:tcPr>
            <w:tcW w:w="1180" w:type="dxa"/>
            <w:noWrap w:val="0"/>
            <w:vAlign w:val="top"/>
          </w:tcPr>
          <w:p w14:paraId="025B83AE">
            <w:pPr>
              <w:pStyle w:val="70"/>
              <w:keepNext w:val="0"/>
              <w:keepLines w:val="0"/>
              <w:pageBreakBefore w:val="0"/>
              <w:widowControl w:val="0"/>
              <w:kinsoku/>
              <w:wordWrap/>
              <w:overflowPunct/>
              <w:topLinePunct w:val="0"/>
              <w:autoSpaceDE w:val="0"/>
              <w:autoSpaceDN w:val="0"/>
              <w:bidi w:val="0"/>
              <w:adjustRightInd/>
              <w:snapToGrid/>
              <w:spacing w:before="99"/>
              <w:ind w:left="205" w:right="193"/>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姓名</w:t>
            </w:r>
          </w:p>
        </w:tc>
        <w:tc>
          <w:tcPr>
            <w:tcW w:w="2953" w:type="dxa"/>
            <w:noWrap w:val="0"/>
            <w:vAlign w:val="top"/>
          </w:tcPr>
          <w:p w14:paraId="667DA9CC">
            <w:pPr>
              <w:pStyle w:val="70"/>
              <w:keepNext w:val="0"/>
              <w:keepLines w:val="0"/>
              <w:pageBreakBefore w:val="0"/>
              <w:widowControl w:val="0"/>
              <w:kinsoku/>
              <w:wordWrap/>
              <w:overflowPunct/>
              <w:topLinePunct w:val="0"/>
              <w:autoSpaceDE w:val="0"/>
              <w:autoSpaceDN w:val="0"/>
              <w:bidi w:val="0"/>
              <w:adjustRightInd/>
              <w:snapToGrid/>
              <w:jc w:val="both"/>
              <w:textAlignment w:val="auto"/>
              <w:outlineLvl w:val="9"/>
              <w:rPr>
                <w:rFonts w:hint="eastAsia" w:ascii="宋体" w:hAnsi="宋体" w:eastAsia="宋体" w:cs="宋体"/>
                <w:sz w:val="24"/>
                <w:szCs w:val="24"/>
              </w:rPr>
            </w:pPr>
          </w:p>
        </w:tc>
        <w:tc>
          <w:tcPr>
            <w:tcW w:w="1217" w:type="dxa"/>
            <w:noWrap w:val="0"/>
            <w:vAlign w:val="center"/>
          </w:tcPr>
          <w:p w14:paraId="7F122683">
            <w:pPr>
              <w:pStyle w:val="70"/>
              <w:keepNext w:val="0"/>
              <w:keepLines w:val="0"/>
              <w:pageBreakBefore w:val="0"/>
              <w:widowControl w:val="0"/>
              <w:kinsoku/>
              <w:wordWrap/>
              <w:overflowPunct/>
              <w:topLinePunct w:val="0"/>
              <w:autoSpaceDE w:val="0"/>
              <w:autoSpaceDN w:val="0"/>
              <w:bidi w:val="0"/>
              <w:adjustRightInd/>
              <w:snapToGrid/>
              <w:spacing w:before="99"/>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电话</w:t>
            </w:r>
          </w:p>
        </w:tc>
        <w:tc>
          <w:tcPr>
            <w:tcW w:w="2200" w:type="dxa"/>
            <w:noWrap w:val="0"/>
            <w:vAlign w:val="top"/>
          </w:tcPr>
          <w:p w14:paraId="7888083A">
            <w:pPr>
              <w:pStyle w:val="70"/>
              <w:keepNext w:val="0"/>
              <w:keepLines w:val="0"/>
              <w:pageBreakBefore w:val="0"/>
              <w:widowControl w:val="0"/>
              <w:kinsoku/>
              <w:wordWrap/>
              <w:overflowPunct/>
              <w:topLinePunct w:val="0"/>
              <w:autoSpaceDE w:val="0"/>
              <w:autoSpaceDN w:val="0"/>
              <w:bidi w:val="0"/>
              <w:adjustRightInd/>
              <w:snapToGrid/>
              <w:jc w:val="both"/>
              <w:textAlignment w:val="auto"/>
              <w:outlineLvl w:val="9"/>
              <w:rPr>
                <w:rFonts w:hint="eastAsia" w:ascii="宋体" w:hAnsi="宋体" w:eastAsia="宋体" w:cs="宋体"/>
                <w:sz w:val="24"/>
                <w:szCs w:val="24"/>
              </w:rPr>
            </w:pPr>
          </w:p>
        </w:tc>
      </w:tr>
      <w:tr w14:paraId="2C759B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1" w:hRule="atLeast"/>
        </w:trPr>
        <w:tc>
          <w:tcPr>
            <w:tcW w:w="1980" w:type="dxa"/>
            <w:noWrap w:val="0"/>
            <w:vAlign w:val="top"/>
          </w:tcPr>
          <w:p w14:paraId="6D9B3ED2">
            <w:pPr>
              <w:pStyle w:val="70"/>
              <w:keepNext w:val="0"/>
              <w:keepLines w:val="0"/>
              <w:pageBreakBefore w:val="0"/>
              <w:widowControl w:val="0"/>
              <w:kinsoku/>
              <w:wordWrap/>
              <w:overflowPunct/>
              <w:topLinePunct w:val="0"/>
              <w:autoSpaceDE w:val="0"/>
              <w:autoSpaceDN w:val="0"/>
              <w:bidi w:val="0"/>
              <w:adjustRightInd/>
              <w:snapToGrid/>
              <w:spacing w:before="104"/>
              <w:ind w:left="233" w:right="223"/>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成立时间</w:t>
            </w:r>
          </w:p>
        </w:tc>
        <w:tc>
          <w:tcPr>
            <w:tcW w:w="4133" w:type="dxa"/>
            <w:gridSpan w:val="2"/>
            <w:noWrap w:val="0"/>
            <w:vAlign w:val="top"/>
          </w:tcPr>
          <w:p w14:paraId="26B1BFAA">
            <w:pPr>
              <w:pStyle w:val="70"/>
              <w:keepNext w:val="0"/>
              <w:keepLines w:val="0"/>
              <w:pageBreakBefore w:val="0"/>
              <w:widowControl w:val="0"/>
              <w:kinsoku/>
              <w:wordWrap/>
              <w:overflowPunct/>
              <w:topLinePunct w:val="0"/>
              <w:autoSpaceDE w:val="0"/>
              <w:autoSpaceDN w:val="0"/>
              <w:bidi w:val="0"/>
              <w:adjustRightInd/>
              <w:snapToGrid/>
              <w:jc w:val="both"/>
              <w:textAlignment w:val="auto"/>
              <w:outlineLvl w:val="9"/>
              <w:rPr>
                <w:rFonts w:hint="eastAsia" w:ascii="宋体" w:hAnsi="宋体" w:eastAsia="宋体" w:cs="宋体"/>
                <w:sz w:val="24"/>
                <w:szCs w:val="24"/>
              </w:rPr>
            </w:pPr>
          </w:p>
        </w:tc>
        <w:tc>
          <w:tcPr>
            <w:tcW w:w="3417" w:type="dxa"/>
            <w:gridSpan w:val="2"/>
            <w:noWrap w:val="0"/>
            <w:vAlign w:val="top"/>
          </w:tcPr>
          <w:p w14:paraId="69D86E06">
            <w:pPr>
              <w:pStyle w:val="70"/>
              <w:keepNext w:val="0"/>
              <w:keepLines w:val="0"/>
              <w:pageBreakBefore w:val="0"/>
              <w:widowControl w:val="0"/>
              <w:kinsoku/>
              <w:wordWrap/>
              <w:overflowPunct/>
              <w:topLinePunct w:val="0"/>
              <w:autoSpaceDE w:val="0"/>
              <w:autoSpaceDN w:val="0"/>
              <w:bidi w:val="0"/>
              <w:adjustRightInd/>
              <w:snapToGrid/>
              <w:spacing w:before="104"/>
              <w:ind w:right="1674"/>
              <w:jc w:val="both"/>
              <w:textAlignment w:val="auto"/>
              <w:outlineLvl w:val="9"/>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员工总人数：</w:t>
            </w:r>
          </w:p>
        </w:tc>
      </w:tr>
      <w:tr w14:paraId="28CD47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5" w:hRule="atLeast"/>
        </w:trPr>
        <w:tc>
          <w:tcPr>
            <w:tcW w:w="1980" w:type="dxa"/>
            <w:noWrap w:val="0"/>
            <w:vAlign w:val="top"/>
          </w:tcPr>
          <w:p w14:paraId="06617967">
            <w:pPr>
              <w:pStyle w:val="70"/>
              <w:keepNext w:val="0"/>
              <w:keepLines w:val="0"/>
              <w:pageBreakBefore w:val="0"/>
              <w:widowControl w:val="0"/>
              <w:kinsoku/>
              <w:wordWrap/>
              <w:overflowPunct/>
              <w:topLinePunct w:val="0"/>
              <w:autoSpaceDE w:val="0"/>
              <w:autoSpaceDN w:val="0"/>
              <w:bidi w:val="0"/>
              <w:adjustRightInd/>
              <w:snapToGrid/>
              <w:spacing w:before="178"/>
              <w:ind w:left="233" w:right="223"/>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营业执照号</w:t>
            </w:r>
          </w:p>
        </w:tc>
        <w:tc>
          <w:tcPr>
            <w:tcW w:w="7550" w:type="dxa"/>
            <w:gridSpan w:val="4"/>
            <w:noWrap w:val="0"/>
            <w:vAlign w:val="top"/>
          </w:tcPr>
          <w:p w14:paraId="58595967">
            <w:pPr>
              <w:pStyle w:val="70"/>
              <w:keepNext w:val="0"/>
              <w:keepLines w:val="0"/>
              <w:pageBreakBefore w:val="0"/>
              <w:widowControl w:val="0"/>
              <w:kinsoku/>
              <w:wordWrap/>
              <w:overflowPunct/>
              <w:topLinePunct w:val="0"/>
              <w:autoSpaceDE w:val="0"/>
              <w:autoSpaceDN w:val="0"/>
              <w:bidi w:val="0"/>
              <w:adjustRightInd/>
              <w:snapToGrid/>
              <w:jc w:val="both"/>
              <w:textAlignment w:val="auto"/>
              <w:outlineLvl w:val="9"/>
              <w:rPr>
                <w:rFonts w:hint="eastAsia" w:ascii="宋体" w:hAnsi="宋体" w:eastAsia="宋体" w:cs="宋体"/>
                <w:sz w:val="24"/>
                <w:szCs w:val="24"/>
              </w:rPr>
            </w:pPr>
          </w:p>
        </w:tc>
      </w:tr>
      <w:tr w14:paraId="03B1ED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1980" w:type="dxa"/>
            <w:noWrap w:val="0"/>
            <w:vAlign w:val="top"/>
          </w:tcPr>
          <w:p w14:paraId="50797581">
            <w:pPr>
              <w:pStyle w:val="70"/>
              <w:keepNext w:val="0"/>
              <w:keepLines w:val="0"/>
              <w:pageBreakBefore w:val="0"/>
              <w:widowControl w:val="0"/>
              <w:kinsoku/>
              <w:wordWrap/>
              <w:overflowPunct/>
              <w:topLinePunct w:val="0"/>
              <w:autoSpaceDE w:val="0"/>
              <w:autoSpaceDN w:val="0"/>
              <w:bidi w:val="0"/>
              <w:adjustRightInd/>
              <w:snapToGrid/>
              <w:spacing w:before="109"/>
              <w:ind w:left="233" w:right="223"/>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注册资金</w:t>
            </w:r>
          </w:p>
        </w:tc>
        <w:tc>
          <w:tcPr>
            <w:tcW w:w="7550" w:type="dxa"/>
            <w:gridSpan w:val="4"/>
            <w:noWrap w:val="0"/>
            <w:vAlign w:val="top"/>
          </w:tcPr>
          <w:p w14:paraId="7C706F05">
            <w:pPr>
              <w:pStyle w:val="70"/>
              <w:keepNext w:val="0"/>
              <w:keepLines w:val="0"/>
              <w:pageBreakBefore w:val="0"/>
              <w:widowControl w:val="0"/>
              <w:kinsoku/>
              <w:wordWrap/>
              <w:overflowPunct/>
              <w:topLinePunct w:val="0"/>
              <w:autoSpaceDE w:val="0"/>
              <w:autoSpaceDN w:val="0"/>
              <w:bidi w:val="0"/>
              <w:adjustRightInd/>
              <w:snapToGrid/>
              <w:jc w:val="both"/>
              <w:textAlignment w:val="auto"/>
              <w:outlineLvl w:val="9"/>
              <w:rPr>
                <w:rFonts w:hint="eastAsia" w:ascii="宋体" w:hAnsi="宋体" w:eastAsia="宋体" w:cs="宋体"/>
                <w:sz w:val="24"/>
                <w:szCs w:val="24"/>
              </w:rPr>
            </w:pPr>
          </w:p>
        </w:tc>
      </w:tr>
      <w:tr w14:paraId="0A2924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2" w:hRule="atLeast"/>
        </w:trPr>
        <w:tc>
          <w:tcPr>
            <w:tcW w:w="1980" w:type="dxa"/>
            <w:noWrap w:val="0"/>
            <w:vAlign w:val="top"/>
          </w:tcPr>
          <w:p w14:paraId="318BBF2B">
            <w:pPr>
              <w:pStyle w:val="70"/>
              <w:keepNext w:val="0"/>
              <w:keepLines w:val="0"/>
              <w:pageBreakBefore w:val="0"/>
              <w:widowControl w:val="0"/>
              <w:kinsoku/>
              <w:wordWrap/>
              <w:overflowPunct/>
              <w:topLinePunct w:val="0"/>
              <w:autoSpaceDE w:val="0"/>
              <w:autoSpaceDN w:val="0"/>
              <w:bidi w:val="0"/>
              <w:adjustRightInd/>
              <w:snapToGrid/>
              <w:spacing w:before="178"/>
              <w:ind w:left="233" w:right="223"/>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开户银行</w:t>
            </w:r>
          </w:p>
        </w:tc>
        <w:tc>
          <w:tcPr>
            <w:tcW w:w="7550" w:type="dxa"/>
            <w:gridSpan w:val="4"/>
            <w:noWrap w:val="0"/>
            <w:vAlign w:val="top"/>
          </w:tcPr>
          <w:p w14:paraId="7603D2F6">
            <w:pPr>
              <w:pStyle w:val="70"/>
              <w:keepNext w:val="0"/>
              <w:keepLines w:val="0"/>
              <w:pageBreakBefore w:val="0"/>
              <w:widowControl w:val="0"/>
              <w:kinsoku/>
              <w:wordWrap/>
              <w:overflowPunct/>
              <w:topLinePunct w:val="0"/>
              <w:autoSpaceDE w:val="0"/>
              <w:autoSpaceDN w:val="0"/>
              <w:bidi w:val="0"/>
              <w:adjustRightInd/>
              <w:snapToGrid/>
              <w:jc w:val="both"/>
              <w:textAlignment w:val="auto"/>
              <w:outlineLvl w:val="9"/>
              <w:rPr>
                <w:rFonts w:hint="eastAsia" w:ascii="宋体" w:hAnsi="宋体" w:eastAsia="宋体" w:cs="宋体"/>
                <w:sz w:val="24"/>
                <w:szCs w:val="24"/>
              </w:rPr>
            </w:pPr>
          </w:p>
        </w:tc>
      </w:tr>
      <w:tr w14:paraId="46DD27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980" w:type="dxa"/>
            <w:noWrap w:val="0"/>
            <w:vAlign w:val="top"/>
          </w:tcPr>
          <w:p w14:paraId="4E019CDC">
            <w:pPr>
              <w:pStyle w:val="70"/>
              <w:keepNext w:val="0"/>
              <w:keepLines w:val="0"/>
              <w:pageBreakBefore w:val="0"/>
              <w:widowControl w:val="0"/>
              <w:kinsoku/>
              <w:wordWrap/>
              <w:overflowPunct/>
              <w:topLinePunct w:val="0"/>
              <w:autoSpaceDE w:val="0"/>
              <w:autoSpaceDN w:val="0"/>
              <w:bidi w:val="0"/>
              <w:adjustRightInd/>
              <w:snapToGrid/>
              <w:spacing w:before="104"/>
              <w:ind w:left="235" w:right="223"/>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账号</w:t>
            </w:r>
          </w:p>
        </w:tc>
        <w:tc>
          <w:tcPr>
            <w:tcW w:w="7550" w:type="dxa"/>
            <w:gridSpan w:val="4"/>
            <w:noWrap w:val="0"/>
            <w:vAlign w:val="top"/>
          </w:tcPr>
          <w:p w14:paraId="651DDBC2">
            <w:pPr>
              <w:pStyle w:val="70"/>
              <w:keepNext w:val="0"/>
              <w:keepLines w:val="0"/>
              <w:pageBreakBefore w:val="0"/>
              <w:widowControl w:val="0"/>
              <w:kinsoku/>
              <w:wordWrap/>
              <w:overflowPunct/>
              <w:topLinePunct w:val="0"/>
              <w:autoSpaceDE w:val="0"/>
              <w:autoSpaceDN w:val="0"/>
              <w:bidi w:val="0"/>
              <w:adjustRightInd/>
              <w:snapToGrid/>
              <w:jc w:val="both"/>
              <w:textAlignment w:val="auto"/>
              <w:outlineLvl w:val="9"/>
              <w:rPr>
                <w:rFonts w:hint="eastAsia" w:ascii="宋体" w:hAnsi="宋体" w:eastAsia="宋体" w:cs="宋体"/>
                <w:sz w:val="24"/>
                <w:szCs w:val="24"/>
              </w:rPr>
            </w:pPr>
          </w:p>
        </w:tc>
      </w:tr>
      <w:tr w14:paraId="5F622D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7" w:hRule="atLeast"/>
        </w:trPr>
        <w:tc>
          <w:tcPr>
            <w:tcW w:w="1980" w:type="dxa"/>
            <w:noWrap w:val="0"/>
            <w:vAlign w:val="center"/>
          </w:tcPr>
          <w:p w14:paraId="6A0B1D4F">
            <w:pPr>
              <w:pStyle w:val="70"/>
              <w:keepNext w:val="0"/>
              <w:keepLines w:val="0"/>
              <w:pageBreakBefore w:val="0"/>
              <w:widowControl w:val="0"/>
              <w:kinsoku/>
              <w:wordWrap/>
              <w:overflowPunct/>
              <w:topLinePunct w:val="0"/>
              <w:autoSpaceDE w:val="0"/>
              <w:autoSpaceDN w:val="0"/>
              <w:bidi w:val="0"/>
              <w:adjustRightInd/>
              <w:snapToGrid/>
              <w:ind w:right="223"/>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经营范围备注</w:t>
            </w:r>
          </w:p>
        </w:tc>
        <w:tc>
          <w:tcPr>
            <w:tcW w:w="7550" w:type="dxa"/>
            <w:gridSpan w:val="4"/>
            <w:noWrap w:val="0"/>
            <w:vAlign w:val="top"/>
          </w:tcPr>
          <w:p w14:paraId="32525E3F">
            <w:pPr>
              <w:pStyle w:val="70"/>
              <w:keepNext w:val="0"/>
              <w:keepLines w:val="0"/>
              <w:pageBreakBefore w:val="0"/>
              <w:widowControl w:val="0"/>
              <w:kinsoku/>
              <w:wordWrap/>
              <w:overflowPunct/>
              <w:topLinePunct w:val="0"/>
              <w:autoSpaceDE w:val="0"/>
              <w:autoSpaceDN w:val="0"/>
              <w:bidi w:val="0"/>
              <w:adjustRightInd/>
              <w:snapToGrid/>
              <w:jc w:val="both"/>
              <w:textAlignment w:val="auto"/>
              <w:outlineLvl w:val="9"/>
              <w:rPr>
                <w:rFonts w:hint="eastAsia" w:ascii="宋体" w:hAnsi="宋体" w:eastAsia="宋体" w:cs="宋体"/>
                <w:sz w:val="24"/>
                <w:szCs w:val="24"/>
              </w:rPr>
            </w:pPr>
          </w:p>
        </w:tc>
      </w:tr>
    </w:tbl>
    <w:p w14:paraId="69E472B6">
      <w:pPr>
        <w:spacing w:before="6" w:line="362" w:lineRule="auto"/>
        <w:ind w:left="220" w:right="236" w:firstLine="0"/>
        <w:jc w:val="both"/>
        <w:outlineLvl w:val="9"/>
        <w:rPr>
          <w:rFonts w:hint="eastAsia" w:ascii="宋体" w:hAnsi="宋体" w:eastAsia="宋体" w:cs="宋体"/>
          <w:sz w:val="24"/>
          <w:szCs w:val="24"/>
        </w:rPr>
      </w:pPr>
      <w:r>
        <w:rPr>
          <w:rFonts w:hint="eastAsia" w:ascii="宋体" w:hAnsi="宋体" w:eastAsia="宋体" w:cs="宋体"/>
          <w:spacing w:val="-3"/>
          <w:sz w:val="24"/>
          <w:szCs w:val="24"/>
        </w:rPr>
        <w:t>（附企业营业执照，税务登记证或者三证合一的营业执照、资质证书等相关证件的复印件，并</w:t>
      </w:r>
      <w:r>
        <w:rPr>
          <w:rFonts w:hint="eastAsia" w:ascii="宋体" w:hAnsi="宋体" w:eastAsia="宋体" w:cs="宋体"/>
          <w:sz w:val="24"/>
          <w:szCs w:val="24"/>
        </w:rPr>
        <w:t>加盖单位公章）</w:t>
      </w:r>
    </w:p>
    <w:p w14:paraId="0E418DD3">
      <w:pPr>
        <w:spacing w:after="0" w:line="362" w:lineRule="auto"/>
        <w:jc w:val="both"/>
        <w:outlineLvl w:val="9"/>
        <w:rPr>
          <w:rFonts w:hint="eastAsia" w:ascii="宋体" w:hAnsi="宋体" w:eastAsia="宋体" w:cs="宋体"/>
          <w:sz w:val="24"/>
          <w:szCs w:val="24"/>
        </w:rPr>
        <w:sectPr>
          <w:pgSz w:w="11910" w:h="16840"/>
          <w:pgMar w:top="1134" w:right="840" w:bottom="1000" w:left="860" w:header="567" w:footer="567" w:gutter="0"/>
          <w:pgNumType w:fmt="decimal"/>
          <w:cols w:space="720" w:num="1"/>
        </w:sectPr>
      </w:pPr>
    </w:p>
    <w:p w14:paraId="550A32C0">
      <w:pPr>
        <w:jc w:val="both"/>
        <w:outlineLvl w:val="9"/>
        <w:rPr>
          <w:b/>
          <w:bCs/>
          <w:w w:val="95"/>
          <w:sz w:val="36"/>
          <w:szCs w:val="36"/>
        </w:rPr>
      </w:pPr>
      <w:r>
        <w:rPr>
          <w:rFonts w:hint="eastAsia"/>
          <w:b/>
          <w:bCs/>
          <w:w w:val="95"/>
          <w:sz w:val="36"/>
          <w:szCs w:val="36"/>
          <w:lang w:val="en-US" w:eastAsia="zh-CN"/>
        </w:rPr>
        <w:t>七</w:t>
      </w:r>
      <w:r>
        <w:rPr>
          <w:b/>
          <w:bCs/>
          <w:w w:val="95"/>
          <w:sz w:val="36"/>
          <w:szCs w:val="36"/>
        </w:rPr>
        <w:t>、其他需提供的资料</w:t>
      </w:r>
    </w:p>
    <w:p w14:paraId="6F3F6548">
      <w:pPr>
        <w:pStyle w:val="13"/>
        <w:jc w:val="both"/>
        <w:outlineLvl w:val="9"/>
        <w:rPr>
          <w:b/>
          <w:sz w:val="32"/>
        </w:rPr>
      </w:pPr>
    </w:p>
    <w:p w14:paraId="4E9C227F">
      <w:pPr>
        <w:pStyle w:val="13"/>
        <w:spacing w:before="1"/>
        <w:jc w:val="both"/>
        <w:outlineLvl w:val="9"/>
        <w:rPr>
          <w:b/>
          <w:sz w:val="27"/>
        </w:rPr>
      </w:pPr>
    </w:p>
    <w:p w14:paraId="208628EA">
      <w:pPr>
        <w:pStyle w:val="56"/>
        <w:numPr>
          <w:ilvl w:val="0"/>
          <w:numId w:val="0"/>
        </w:numPr>
        <w:tabs>
          <w:tab w:val="left" w:pos="822"/>
          <w:tab w:val="left" w:pos="2620"/>
        </w:tabs>
        <w:spacing w:before="0" w:after="0" w:line="360" w:lineRule="auto"/>
        <w:ind w:right="983" w:rightChars="0"/>
        <w:jc w:val="both"/>
        <w:outlineLvl w:val="9"/>
        <w:rPr>
          <w:sz w:val="24"/>
          <w:szCs w:val="24"/>
        </w:rPr>
      </w:pPr>
      <w:bookmarkStart w:id="108" w:name="_bookmark22"/>
      <w:bookmarkEnd w:id="108"/>
      <w:r>
        <w:rPr>
          <w:rFonts w:hint="eastAsia"/>
          <w:sz w:val="24"/>
          <w:szCs w:val="24"/>
          <w:lang w:eastAsia="zh-CN"/>
        </w:rPr>
        <w:t>（</w:t>
      </w:r>
      <w:r>
        <w:rPr>
          <w:rFonts w:hint="eastAsia"/>
          <w:sz w:val="24"/>
          <w:szCs w:val="24"/>
          <w:lang w:val="en-US" w:eastAsia="zh-CN"/>
        </w:rPr>
        <w:t>1）</w:t>
      </w:r>
      <w:r>
        <w:rPr>
          <w:rFonts w:ascii="宋体" w:hAnsi="宋体" w:eastAsia="宋体" w:cs="宋体"/>
          <w:sz w:val="24"/>
          <w:szCs w:val="24"/>
        </w:rPr>
        <w:t>参加本次政府采购活动前三年内，在经营活动中没有重大违法犯罪记录的承诺函</w:t>
      </w:r>
    </w:p>
    <w:p w14:paraId="24D0BB6B">
      <w:pPr>
        <w:pStyle w:val="56"/>
        <w:numPr>
          <w:ilvl w:val="0"/>
          <w:numId w:val="0"/>
        </w:numPr>
        <w:tabs>
          <w:tab w:val="left" w:pos="822"/>
          <w:tab w:val="left" w:pos="2620"/>
        </w:tabs>
        <w:spacing w:before="0" w:after="0" w:line="360" w:lineRule="auto"/>
        <w:ind w:left="220" w:leftChars="0" w:right="983" w:rightChars="0"/>
        <w:jc w:val="both"/>
        <w:outlineLvl w:val="9"/>
        <w:rPr>
          <w:sz w:val="24"/>
          <w:szCs w:val="24"/>
        </w:rPr>
      </w:pPr>
      <w:r>
        <w:rPr>
          <w:sz w:val="24"/>
          <w:szCs w:val="24"/>
        </w:rPr>
        <w:t>致：（采购人）</w:t>
      </w:r>
    </w:p>
    <w:p w14:paraId="10E78C78">
      <w:pPr>
        <w:pStyle w:val="13"/>
        <w:spacing w:before="9"/>
        <w:jc w:val="both"/>
        <w:outlineLvl w:val="9"/>
        <w:rPr>
          <w:sz w:val="24"/>
          <w:szCs w:val="24"/>
        </w:rPr>
      </w:pPr>
    </w:p>
    <w:p w14:paraId="67E2BC4C">
      <w:pPr>
        <w:spacing w:before="1" w:line="360" w:lineRule="auto"/>
        <w:ind w:left="220" w:right="237" w:firstLine="464" w:firstLineChars="200"/>
        <w:jc w:val="both"/>
        <w:outlineLvl w:val="9"/>
        <w:rPr>
          <w:sz w:val="24"/>
          <w:szCs w:val="24"/>
        </w:rPr>
      </w:pPr>
      <w:r>
        <w:rPr>
          <w:spacing w:val="-4"/>
          <w:sz w:val="24"/>
          <w:szCs w:val="24"/>
        </w:rPr>
        <w:t>我公司保证在参加政府采购活动前三年内在经营活动中没有重大违法记录。我公司保证所述内</w:t>
      </w:r>
      <w:r>
        <w:rPr>
          <w:sz w:val="24"/>
          <w:szCs w:val="24"/>
        </w:rPr>
        <w:t>容真实、有效，并对此声明内容的真实性负法律责任并愿意承担相应责任。</w:t>
      </w:r>
    </w:p>
    <w:p w14:paraId="7EB34650">
      <w:pPr>
        <w:pStyle w:val="13"/>
        <w:spacing w:before="9"/>
        <w:jc w:val="both"/>
        <w:outlineLvl w:val="9"/>
        <w:rPr>
          <w:sz w:val="24"/>
          <w:szCs w:val="24"/>
        </w:rPr>
      </w:pPr>
    </w:p>
    <w:p w14:paraId="4B4EA9B5">
      <w:pPr>
        <w:spacing w:before="0"/>
        <w:ind w:left="340" w:right="0" w:firstLine="0"/>
        <w:jc w:val="both"/>
        <w:outlineLvl w:val="9"/>
        <w:rPr>
          <w:sz w:val="24"/>
          <w:szCs w:val="24"/>
        </w:rPr>
      </w:pPr>
      <w:r>
        <w:rPr>
          <w:sz w:val="24"/>
          <w:szCs w:val="24"/>
        </w:rPr>
        <w:t>特此声明！</w:t>
      </w:r>
    </w:p>
    <w:p w14:paraId="6E6A0A41">
      <w:pPr>
        <w:pStyle w:val="13"/>
        <w:jc w:val="both"/>
        <w:outlineLvl w:val="9"/>
        <w:rPr>
          <w:sz w:val="24"/>
          <w:szCs w:val="24"/>
        </w:rPr>
      </w:pPr>
    </w:p>
    <w:p w14:paraId="43EEF016">
      <w:pPr>
        <w:pStyle w:val="13"/>
        <w:spacing w:before="11"/>
        <w:jc w:val="both"/>
        <w:outlineLvl w:val="9"/>
        <w:rPr>
          <w:sz w:val="24"/>
          <w:szCs w:val="24"/>
        </w:rPr>
      </w:pPr>
    </w:p>
    <w:p w14:paraId="2341C519">
      <w:pPr>
        <w:spacing w:before="0" w:line="360" w:lineRule="auto"/>
        <w:ind w:right="0" w:firstLine="240" w:firstLineChars="100"/>
        <w:jc w:val="both"/>
        <w:outlineLvl w:val="9"/>
        <w:rPr>
          <w:sz w:val="24"/>
          <w:szCs w:val="24"/>
        </w:rPr>
      </w:pPr>
      <w:r>
        <w:rPr>
          <w:sz w:val="24"/>
          <w:szCs w:val="24"/>
        </w:rPr>
        <w:t>投标人名称：（电子签章）</w:t>
      </w:r>
    </w:p>
    <w:p w14:paraId="17755693">
      <w:pPr>
        <w:spacing w:before="0" w:line="360" w:lineRule="auto"/>
        <w:ind w:left="220" w:right="3143" w:firstLine="0"/>
        <w:jc w:val="both"/>
        <w:outlineLvl w:val="9"/>
        <w:rPr>
          <w:rFonts w:hint="eastAsia"/>
          <w:sz w:val="24"/>
          <w:szCs w:val="24"/>
        </w:rPr>
      </w:pPr>
      <w:r>
        <w:rPr>
          <w:rFonts w:hint="eastAsia"/>
          <w:sz w:val="24"/>
          <w:szCs w:val="24"/>
        </w:rPr>
        <w:t>法定代表人或其委托代理人：（电子签章/授权代表签字）</w:t>
      </w:r>
    </w:p>
    <w:p w14:paraId="7344D0AA">
      <w:pPr>
        <w:spacing w:before="0" w:line="360" w:lineRule="auto"/>
        <w:ind w:left="220" w:right="3143" w:firstLine="0"/>
        <w:jc w:val="both"/>
        <w:outlineLvl w:val="9"/>
        <w:rPr>
          <w:sz w:val="24"/>
          <w:szCs w:val="24"/>
        </w:rPr>
      </w:pPr>
      <w:r>
        <w:rPr>
          <w:sz w:val="24"/>
          <w:szCs w:val="24"/>
        </w:rPr>
        <w:t>日期：年月日</w:t>
      </w:r>
    </w:p>
    <w:p w14:paraId="4E94B100">
      <w:pPr>
        <w:pStyle w:val="13"/>
        <w:jc w:val="both"/>
        <w:outlineLvl w:val="9"/>
        <w:rPr>
          <w:sz w:val="20"/>
        </w:rPr>
      </w:pPr>
    </w:p>
    <w:p w14:paraId="718940AA">
      <w:pPr>
        <w:pStyle w:val="13"/>
        <w:spacing w:before="2"/>
        <w:jc w:val="both"/>
        <w:outlineLvl w:val="9"/>
        <w:rPr>
          <w:sz w:val="18"/>
        </w:rPr>
      </w:pPr>
    </w:p>
    <w:p w14:paraId="280F823F">
      <w:pPr>
        <w:pStyle w:val="56"/>
        <w:numPr>
          <w:ilvl w:val="0"/>
          <w:numId w:val="0"/>
        </w:numPr>
        <w:tabs>
          <w:tab w:val="left" w:pos="925"/>
        </w:tabs>
        <w:spacing w:before="62" w:after="0" w:line="240" w:lineRule="auto"/>
        <w:ind w:left="220" w:leftChars="0" w:right="0" w:rightChars="0"/>
        <w:jc w:val="both"/>
        <w:outlineLvl w:val="9"/>
        <w:rPr>
          <w:sz w:val="24"/>
          <w:szCs w:val="24"/>
        </w:rPr>
      </w:pPr>
      <w:bookmarkStart w:id="109" w:name="_bookmark23"/>
      <w:bookmarkEnd w:id="109"/>
      <w:r>
        <w:rPr>
          <w:rFonts w:hint="eastAsia"/>
          <w:sz w:val="24"/>
          <w:szCs w:val="24"/>
          <w:lang w:eastAsia="zh-CN"/>
        </w:rPr>
        <w:t>（</w:t>
      </w:r>
      <w:r>
        <w:rPr>
          <w:rFonts w:hint="eastAsia"/>
          <w:sz w:val="24"/>
          <w:szCs w:val="24"/>
          <w:lang w:val="en-US" w:eastAsia="zh-CN"/>
        </w:rPr>
        <w:t>2）</w:t>
      </w:r>
      <w:r>
        <w:rPr>
          <w:sz w:val="24"/>
          <w:szCs w:val="24"/>
        </w:rPr>
        <w:t>信用要求证明材料</w:t>
      </w:r>
    </w:p>
    <w:p w14:paraId="621AE9F2">
      <w:pPr>
        <w:pStyle w:val="13"/>
        <w:spacing w:before="2"/>
        <w:jc w:val="both"/>
        <w:outlineLvl w:val="9"/>
        <w:rPr>
          <w:sz w:val="24"/>
          <w:szCs w:val="24"/>
        </w:rPr>
      </w:pPr>
    </w:p>
    <w:p w14:paraId="33420F38">
      <w:pPr>
        <w:pStyle w:val="56"/>
        <w:numPr>
          <w:ilvl w:val="0"/>
          <w:numId w:val="0"/>
        </w:numPr>
        <w:tabs>
          <w:tab w:val="left" w:pos="925"/>
        </w:tabs>
        <w:spacing w:before="0" w:after="0" w:line="240" w:lineRule="auto"/>
        <w:ind w:left="220" w:leftChars="0" w:right="0" w:rightChars="0"/>
        <w:jc w:val="both"/>
        <w:outlineLvl w:val="9"/>
        <w:rPr>
          <w:sz w:val="24"/>
          <w:szCs w:val="24"/>
        </w:rPr>
      </w:pPr>
      <w:bookmarkStart w:id="110" w:name="_bookmark24"/>
      <w:bookmarkEnd w:id="110"/>
      <w:r>
        <w:rPr>
          <w:rFonts w:hint="eastAsia"/>
          <w:sz w:val="24"/>
          <w:szCs w:val="24"/>
          <w:lang w:eastAsia="zh-CN"/>
        </w:rPr>
        <w:t>（</w:t>
      </w:r>
      <w:r>
        <w:rPr>
          <w:rFonts w:hint="eastAsia"/>
          <w:sz w:val="24"/>
          <w:szCs w:val="24"/>
          <w:lang w:val="en-US" w:eastAsia="zh-CN"/>
        </w:rPr>
        <w:t>3）</w:t>
      </w:r>
      <w:r>
        <w:rPr>
          <w:sz w:val="24"/>
          <w:szCs w:val="24"/>
        </w:rPr>
        <w:t>反商业贿赂承诺书</w:t>
      </w:r>
    </w:p>
    <w:p w14:paraId="30A05182">
      <w:pPr>
        <w:pStyle w:val="13"/>
        <w:spacing w:before="4"/>
        <w:jc w:val="both"/>
        <w:outlineLvl w:val="9"/>
        <w:rPr>
          <w:sz w:val="24"/>
          <w:szCs w:val="24"/>
        </w:rPr>
      </w:pPr>
    </w:p>
    <w:p w14:paraId="33F0CED7">
      <w:pPr>
        <w:spacing w:before="0"/>
        <w:ind w:left="220" w:right="0" w:firstLine="0"/>
        <w:jc w:val="both"/>
        <w:outlineLvl w:val="9"/>
        <w:rPr>
          <w:sz w:val="24"/>
          <w:szCs w:val="24"/>
        </w:rPr>
      </w:pPr>
      <w:r>
        <w:rPr>
          <w:sz w:val="24"/>
          <w:szCs w:val="24"/>
        </w:rPr>
        <w:t>我公司承诺：</w:t>
      </w:r>
    </w:p>
    <w:p w14:paraId="27BF30E6">
      <w:pPr>
        <w:spacing w:before="151" w:line="360" w:lineRule="auto"/>
        <w:ind w:left="220" w:right="4823" w:firstLine="0"/>
        <w:jc w:val="both"/>
        <w:outlineLvl w:val="9"/>
        <w:rPr>
          <w:sz w:val="24"/>
          <w:szCs w:val="24"/>
        </w:rPr>
      </w:pPr>
      <w:r>
        <w:rPr>
          <w:spacing w:val="-7"/>
          <w:sz w:val="24"/>
          <w:szCs w:val="24"/>
        </w:rPr>
        <w:t xml:space="preserve">在 </w:t>
      </w:r>
      <w:r>
        <w:rPr>
          <w:sz w:val="24"/>
          <w:szCs w:val="24"/>
        </w:rPr>
        <w:t>（项目名称）招标活动中，我公司保证做到：</w:t>
      </w:r>
      <w:r>
        <w:rPr>
          <w:spacing w:val="-117"/>
          <w:sz w:val="24"/>
          <w:szCs w:val="24"/>
        </w:rPr>
        <w:t xml:space="preserve"> </w:t>
      </w:r>
      <w:r>
        <w:rPr>
          <w:sz w:val="24"/>
          <w:szCs w:val="24"/>
        </w:rPr>
        <w:t>一、公平竞争参加本次招标活动。</w:t>
      </w:r>
    </w:p>
    <w:p w14:paraId="20E3A577">
      <w:pPr>
        <w:spacing w:before="0" w:line="360" w:lineRule="auto"/>
        <w:ind w:left="220" w:right="238" w:firstLine="0"/>
        <w:jc w:val="both"/>
        <w:outlineLvl w:val="9"/>
        <w:rPr>
          <w:sz w:val="24"/>
          <w:szCs w:val="24"/>
        </w:rPr>
      </w:pPr>
      <w:r>
        <w:rPr>
          <w:spacing w:val="-3"/>
          <w:sz w:val="24"/>
          <w:szCs w:val="24"/>
        </w:rPr>
        <w:t>二、杜绝任何形式的商业贿赂行为。不向国家工作人员、政府招标代理机构工作人员、评审专家及其亲属提供礼品礼金、有价证券、购物券、回扣、佣金、咨询费、劳务费、赞助费、宣传</w:t>
      </w:r>
      <w:r>
        <w:rPr>
          <w:sz w:val="24"/>
          <w:szCs w:val="24"/>
        </w:rPr>
        <w:t>费、宴请；不为其报销各种消费凭证，不支付其旅游、娱乐等费用。</w:t>
      </w:r>
    </w:p>
    <w:p w14:paraId="062A7557">
      <w:pPr>
        <w:spacing w:before="0" w:line="357" w:lineRule="auto"/>
        <w:ind w:left="220" w:right="239" w:firstLine="0"/>
        <w:jc w:val="both"/>
        <w:outlineLvl w:val="9"/>
        <w:rPr>
          <w:sz w:val="24"/>
          <w:szCs w:val="24"/>
        </w:rPr>
      </w:pPr>
      <w:r>
        <w:rPr>
          <w:spacing w:val="-3"/>
          <w:sz w:val="24"/>
          <w:szCs w:val="24"/>
        </w:rPr>
        <w:t>三、若出现上述行为，我公司及参与投标的工作人员愿意接受按照国家法律法规等有关规定给</w:t>
      </w:r>
      <w:r>
        <w:rPr>
          <w:sz w:val="24"/>
          <w:szCs w:val="24"/>
        </w:rPr>
        <w:t>予的处罚。</w:t>
      </w:r>
    </w:p>
    <w:p w14:paraId="686334B6">
      <w:pPr>
        <w:pStyle w:val="13"/>
        <w:jc w:val="both"/>
        <w:outlineLvl w:val="9"/>
        <w:rPr>
          <w:sz w:val="24"/>
          <w:szCs w:val="24"/>
        </w:rPr>
      </w:pPr>
    </w:p>
    <w:p w14:paraId="38516B90">
      <w:pPr>
        <w:pStyle w:val="13"/>
        <w:spacing w:before="8"/>
        <w:jc w:val="both"/>
        <w:outlineLvl w:val="9"/>
        <w:rPr>
          <w:sz w:val="23"/>
        </w:rPr>
      </w:pPr>
    </w:p>
    <w:p w14:paraId="6F2DB5C8">
      <w:pPr>
        <w:spacing w:before="0" w:line="360" w:lineRule="auto"/>
        <w:ind w:left="220" w:right="3863" w:firstLine="0"/>
        <w:jc w:val="both"/>
        <w:outlineLvl w:val="9"/>
        <w:rPr>
          <w:sz w:val="24"/>
        </w:rPr>
      </w:pPr>
      <w:r>
        <w:rPr>
          <w:spacing w:val="-1"/>
          <w:sz w:val="24"/>
        </w:rPr>
        <w:t>公司法人代表或委托代理人</w:t>
      </w:r>
      <w:r>
        <w:rPr>
          <w:sz w:val="24"/>
        </w:rPr>
        <w:t>（电子签章/授权代表签字）：</w:t>
      </w:r>
      <w:r>
        <w:rPr>
          <w:spacing w:val="-117"/>
          <w:sz w:val="24"/>
        </w:rPr>
        <w:t xml:space="preserve"> </w:t>
      </w:r>
      <w:r>
        <w:rPr>
          <w:sz w:val="24"/>
        </w:rPr>
        <w:t>投标单位（公章）：</w:t>
      </w:r>
    </w:p>
    <w:p w14:paraId="0DE03D66">
      <w:pPr>
        <w:pStyle w:val="13"/>
        <w:ind w:firstLine="240" w:firstLineChars="100"/>
        <w:jc w:val="both"/>
        <w:outlineLvl w:val="9"/>
        <w:rPr>
          <w:sz w:val="24"/>
        </w:rPr>
      </w:pPr>
      <w:r>
        <w:rPr>
          <w:sz w:val="24"/>
          <w:szCs w:val="24"/>
        </w:rPr>
        <w:t>日期：年月日</w:t>
      </w:r>
    </w:p>
    <w:p w14:paraId="4AF43B54">
      <w:pPr>
        <w:pStyle w:val="13"/>
        <w:spacing w:before="8"/>
        <w:jc w:val="both"/>
        <w:outlineLvl w:val="9"/>
        <w:rPr>
          <w:sz w:val="30"/>
        </w:rPr>
      </w:pPr>
    </w:p>
    <w:p w14:paraId="1BD20C02">
      <w:pPr>
        <w:pStyle w:val="13"/>
        <w:spacing w:before="8"/>
        <w:jc w:val="both"/>
        <w:outlineLvl w:val="9"/>
        <w:rPr>
          <w:sz w:val="30"/>
        </w:rPr>
      </w:pPr>
    </w:p>
    <w:p w14:paraId="1E7D639E">
      <w:pPr>
        <w:pStyle w:val="45"/>
      </w:pPr>
    </w:p>
    <w:p w14:paraId="488DB023">
      <w:pPr>
        <w:pStyle w:val="56"/>
        <w:numPr>
          <w:ilvl w:val="0"/>
          <w:numId w:val="0"/>
        </w:numPr>
        <w:tabs>
          <w:tab w:val="left" w:pos="925"/>
        </w:tabs>
        <w:spacing w:before="0" w:after="0" w:line="240" w:lineRule="auto"/>
        <w:ind w:left="220" w:leftChars="0" w:right="0" w:rightChars="0"/>
        <w:jc w:val="both"/>
        <w:outlineLvl w:val="9"/>
        <w:rPr>
          <w:sz w:val="24"/>
          <w:szCs w:val="24"/>
        </w:rPr>
      </w:pPr>
      <w:r>
        <w:rPr>
          <w:rFonts w:hint="eastAsia"/>
          <w:sz w:val="24"/>
          <w:szCs w:val="24"/>
          <w:lang w:eastAsia="zh-CN"/>
        </w:rPr>
        <w:t>（</w:t>
      </w:r>
      <w:r>
        <w:rPr>
          <w:rFonts w:hint="eastAsia"/>
          <w:sz w:val="24"/>
          <w:szCs w:val="24"/>
          <w:lang w:val="en-US" w:eastAsia="zh-CN"/>
        </w:rPr>
        <w:t>4）</w:t>
      </w:r>
      <w:r>
        <w:rPr>
          <w:sz w:val="24"/>
          <w:szCs w:val="24"/>
        </w:rPr>
        <w:t>磋商文件内容确认书</w:t>
      </w:r>
    </w:p>
    <w:p w14:paraId="789B3E55">
      <w:pPr>
        <w:spacing w:before="130"/>
        <w:ind w:left="220" w:right="0" w:firstLine="0"/>
        <w:jc w:val="both"/>
        <w:outlineLvl w:val="9"/>
        <w:rPr>
          <w:sz w:val="24"/>
          <w:szCs w:val="24"/>
        </w:rPr>
      </w:pPr>
      <w:r>
        <w:rPr>
          <w:sz w:val="24"/>
          <w:szCs w:val="24"/>
        </w:rPr>
        <w:t>（采购人名称）：</w:t>
      </w:r>
    </w:p>
    <w:p w14:paraId="4275EECF">
      <w:pPr>
        <w:pStyle w:val="13"/>
        <w:jc w:val="both"/>
        <w:outlineLvl w:val="9"/>
        <w:rPr>
          <w:sz w:val="24"/>
          <w:szCs w:val="24"/>
        </w:rPr>
      </w:pPr>
    </w:p>
    <w:p w14:paraId="4E62A1A0">
      <w:pPr>
        <w:pStyle w:val="13"/>
        <w:spacing w:before="9"/>
        <w:jc w:val="both"/>
        <w:outlineLvl w:val="9"/>
        <w:rPr>
          <w:sz w:val="24"/>
          <w:szCs w:val="24"/>
        </w:rPr>
      </w:pPr>
    </w:p>
    <w:p w14:paraId="1979C760">
      <w:pPr>
        <w:spacing w:before="0" w:line="360" w:lineRule="auto"/>
        <w:ind w:left="220" w:right="240" w:firstLine="468" w:firstLineChars="200"/>
        <w:jc w:val="both"/>
        <w:outlineLvl w:val="9"/>
        <w:rPr>
          <w:sz w:val="24"/>
          <w:szCs w:val="24"/>
        </w:rPr>
      </w:pPr>
      <w:r>
        <w:rPr>
          <w:spacing w:val="-3"/>
          <w:sz w:val="24"/>
          <w:szCs w:val="24"/>
        </w:rPr>
        <w:t>我方已经详细阅读整个磋商文件的内容，对本磋商文件的内容没有任何异议，全部同意并接受</w:t>
      </w:r>
      <w:r>
        <w:rPr>
          <w:sz w:val="24"/>
          <w:szCs w:val="24"/>
        </w:rPr>
        <w:t>且我方保证在磋商活动结束后不对本磋商文件的任何内容提出异议。</w:t>
      </w:r>
    </w:p>
    <w:p w14:paraId="0322FE5D">
      <w:pPr>
        <w:pStyle w:val="13"/>
        <w:jc w:val="both"/>
        <w:outlineLvl w:val="9"/>
        <w:rPr>
          <w:sz w:val="24"/>
          <w:szCs w:val="24"/>
        </w:rPr>
      </w:pPr>
    </w:p>
    <w:p w14:paraId="34C37157">
      <w:pPr>
        <w:pStyle w:val="13"/>
        <w:jc w:val="both"/>
        <w:outlineLvl w:val="9"/>
        <w:rPr>
          <w:sz w:val="24"/>
          <w:szCs w:val="24"/>
        </w:rPr>
      </w:pPr>
    </w:p>
    <w:p w14:paraId="12DF5DE8">
      <w:pPr>
        <w:pStyle w:val="13"/>
        <w:spacing w:before="9"/>
        <w:jc w:val="both"/>
        <w:outlineLvl w:val="9"/>
        <w:rPr>
          <w:sz w:val="24"/>
          <w:szCs w:val="24"/>
        </w:rPr>
      </w:pPr>
    </w:p>
    <w:p w14:paraId="7626BB06">
      <w:pPr>
        <w:keepNext w:val="0"/>
        <w:keepLines w:val="0"/>
        <w:pageBreakBefore w:val="0"/>
        <w:widowControl w:val="0"/>
        <w:kinsoku/>
        <w:wordWrap/>
        <w:overflowPunct/>
        <w:topLinePunct w:val="0"/>
        <w:autoSpaceDE w:val="0"/>
        <w:autoSpaceDN w:val="0"/>
        <w:bidi w:val="0"/>
        <w:adjustRightInd/>
        <w:snapToGrid/>
        <w:spacing w:before="1" w:line="360" w:lineRule="auto"/>
        <w:ind w:left="221" w:right="0" w:firstLine="0"/>
        <w:jc w:val="both"/>
        <w:textAlignment w:val="auto"/>
        <w:outlineLvl w:val="9"/>
        <w:rPr>
          <w:sz w:val="24"/>
          <w:szCs w:val="24"/>
        </w:rPr>
      </w:pPr>
      <w:r>
        <w:rPr>
          <w:sz w:val="24"/>
          <w:szCs w:val="24"/>
        </w:rPr>
        <w:t>投标人名称：（电子签章）</w:t>
      </w:r>
    </w:p>
    <w:p w14:paraId="6AF7736C">
      <w:pPr>
        <w:keepNext w:val="0"/>
        <w:keepLines w:val="0"/>
        <w:pageBreakBefore w:val="0"/>
        <w:widowControl w:val="0"/>
        <w:kinsoku/>
        <w:wordWrap/>
        <w:overflowPunct/>
        <w:topLinePunct w:val="0"/>
        <w:autoSpaceDE w:val="0"/>
        <w:autoSpaceDN w:val="0"/>
        <w:bidi w:val="0"/>
        <w:adjustRightInd/>
        <w:snapToGrid/>
        <w:spacing w:before="0" w:line="360" w:lineRule="auto"/>
        <w:ind w:left="221" w:right="0" w:firstLine="0"/>
        <w:jc w:val="both"/>
        <w:textAlignment w:val="auto"/>
        <w:outlineLvl w:val="9"/>
        <w:rPr>
          <w:rFonts w:hint="eastAsia"/>
          <w:sz w:val="24"/>
          <w:szCs w:val="24"/>
        </w:rPr>
      </w:pPr>
      <w:r>
        <w:rPr>
          <w:rFonts w:hint="eastAsia"/>
          <w:sz w:val="24"/>
          <w:szCs w:val="24"/>
        </w:rPr>
        <w:t>法定代表人或其委托代理人：（电子签章/授权代表签字）</w:t>
      </w:r>
    </w:p>
    <w:p w14:paraId="58F3AF7F">
      <w:pPr>
        <w:keepNext w:val="0"/>
        <w:keepLines w:val="0"/>
        <w:pageBreakBefore w:val="0"/>
        <w:widowControl w:val="0"/>
        <w:kinsoku/>
        <w:wordWrap/>
        <w:overflowPunct/>
        <w:topLinePunct w:val="0"/>
        <w:autoSpaceDE w:val="0"/>
        <w:autoSpaceDN w:val="0"/>
        <w:bidi w:val="0"/>
        <w:adjustRightInd/>
        <w:snapToGrid/>
        <w:spacing w:before="0" w:line="360" w:lineRule="auto"/>
        <w:ind w:left="221" w:right="0" w:firstLine="0"/>
        <w:jc w:val="both"/>
        <w:textAlignment w:val="auto"/>
        <w:outlineLvl w:val="9"/>
        <w:rPr>
          <w:sz w:val="24"/>
          <w:szCs w:val="24"/>
        </w:rPr>
      </w:pPr>
      <w:r>
        <w:rPr>
          <w:sz w:val="24"/>
          <w:szCs w:val="24"/>
        </w:rPr>
        <w:t>日 期：</w:t>
      </w:r>
      <w:r>
        <w:rPr>
          <w:spacing w:val="-1"/>
          <w:sz w:val="24"/>
          <w:szCs w:val="24"/>
        </w:rPr>
        <w:t xml:space="preserve"> </w:t>
      </w:r>
      <w:r>
        <w:rPr>
          <w:sz w:val="24"/>
          <w:szCs w:val="24"/>
        </w:rPr>
        <w:t>年</w:t>
      </w:r>
      <w:r>
        <w:rPr>
          <w:rFonts w:hint="eastAsia"/>
          <w:sz w:val="24"/>
          <w:szCs w:val="24"/>
          <w:lang w:val="en-US" w:eastAsia="zh-CN"/>
        </w:rPr>
        <w:t xml:space="preserve"> </w:t>
      </w:r>
      <w:r>
        <w:rPr>
          <w:sz w:val="24"/>
          <w:szCs w:val="24"/>
        </w:rPr>
        <w:tab/>
      </w:r>
      <w:r>
        <w:rPr>
          <w:sz w:val="24"/>
          <w:szCs w:val="24"/>
        </w:rPr>
        <w:t>月</w:t>
      </w:r>
      <w:r>
        <w:rPr>
          <w:sz w:val="24"/>
          <w:szCs w:val="24"/>
        </w:rPr>
        <w:tab/>
      </w:r>
      <w:r>
        <w:rPr>
          <w:sz w:val="24"/>
          <w:szCs w:val="24"/>
        </w:rPr>
        <w:t>日</w:t>
      </w:r>
    </w:p>
    <w:p w14:paraId="688C4E1C">
      <w:pPr>
        <w:keepNext w:val="0"/>
        <w:keepLines w:val="0"/>
        <w:pageBreakBefore w:val="0"/>
        <w:widowControl w:val="0"/>
        <w:kinsoku/>
        <w:wordWrap/>
        <w:overflowPunct/>
        <w:topLinePunct w:val="0"/>
        <w:autoSpaceDE w:val="0"/>
        <w:autoSpaceDN w:val="0"/>
        <w:bidi w:val="0"/>
        <w:adjustRightInd/>
        <w:snapToGrid/>
        <w:spacing w:before="0" w:line="360" w:lineRule="auto"/>
        <w:ind w:left="221" w:right="0" w:firstLine="0"/>
        <w:jc w:val="both"/>
        <w:textAlignment w:val="auto"/>
        <w:outlineLvl w:val="9"/>
        <w:rPr>
          <w:sz w:val="24"/>
          <w:szCs w:val="24"/>
        </w:rPr>
      </w:pPr>
    </w:p>
    <w:p w14:paraId="120C554B">
      <w:pPr>
        <w:keepNext w:val="0"/>
        <w:keepLines w:val="0"/>
        <w:pageBreakBefore w:val="0"/>
        <w:widowControl w:val="0"/>
        <w:kinsoku/>
        <w:wordWrap/>
        <w:overflowPunct/>
        <w:topLinePunct w:val="0"/>
        <w:autoSpaceDE w:val="0"/>
        <w:autoSpaceDN w:val="0"/>
        <w:bidi w:val="0"/>
        <w:adjustRightInd/>
        <w:snapToGrid/>
        <w:spacing w:before="0" w:line="360" w:lineRule="auto"/>
        <w:ind w:left="221" w:right="0" w:firstLine="0"/>
        <w:jc w:val="both"/>
        <w:textAlignment w:val="auto"/>
        <w:outlineLvl w:val="9"/>
        <w:rPr>
          <w:sz w:val="24"/>
          <w:szCs w:val="24"/>
        </w:rPr>
      </w:pPr>
    </w:p>
    <w:p w14:paraId="7886F5D5">
      <w:pPr>
        <w:pStyle w:val="56"/>
        <w:keepNext w:val="0"/>
        <w:keepLines w:val="0"/>
        <w:pageBreakBefore w:val="0"/>
        <w:widowControl w:val="0"/>
        <w:numPr>
          <w:ilvl w:val="0"/>
          <w:numId w:val="0"/>
        </w:numPr>
        <w:tabs>
          <w:tab w:val="left" w:pos="925"/>
        </w:tabs>
        <w:kinsoku/>
        <w:wordWrap/>
        <w:overflowPunct/>
        <w:topLinePunct w:val="0"/>
        <w:autoSpaceDE w:val="0"/>
        <w:autoSpaceDN w:val="0"/>
        <w:bidi w:val="0"/>
        <w:adjustRightInd/>
        <w:snapToGrid/>
        <w:spacing w:before="28" w:after="0" w:line="360" w:lineRule="auto"/>
        <w:ind w:left="221" w:leftChars="0" w:right="5362" w:rightChars="0"/>
        <w:jc w:val="both"/>
        <w:textAlignment w:val="auto"/>
        <w:outlineLvl w:val="9"/>
        <w:rPr>
          <w:sz w:val="24"/>
          <w:szCs w:val="24"/>
        </w:rPr>
      </w:pPr>
      <w:r>
        <w:rPr>
          <w:rFonts w:hint="eastAsia"/>
          <w:spacing w:val="-1"/>
          <w:sz w:val="24"/>
          <w:szCs w:val="24"/>
          <w:lang w:eastAsia="zh-CN"/>
        </w:rPr>
        <w:t>（</w:t>
      </w:r>
      <w:r>
        <w:rPr>
          <w:rFonts w:hint="eastAsia"/>
          <w:spacing w:val="-1"/>
          <w:sz w:val="24"/>
          <w:szCs w:val="24"/>
          <w:lang w:val="en-US" w:eastAsia="zh-CN"/>
        </w:rPr>
        <w:t>5）</w:t>
      </w:r>
      <w:r>
        <w:rPr>
          <w:spacing w:val="-1"/>
          <w:sz w:val="24"/>
          <w:szCs w:val="24"/>
        </w:rPr>
        <w:t>中标服务费承诺书、投标承诺函</w:t>
      </w:r>
    </w:p>
    <w:p w14:paraId="124D6E3C">
      <w:pPr>
        <w:pStyle w:val="56"/>
        <w:keepNext w:val="0"/>
        <w:keepLines w:val="0"/>
        <w:pageBreakBefore w:val="0"/>
        <w:widowControl w:val="0"/>
        <w:numPr>
          <w:ilvl w:val="0"/>
          <w:numId w:val="0"/>
        </w:numPr>
        <w:tabs>
          <w:tab w:val="left" w:pos="925"/>
        </w:tabs>
        <w:kinsoku/>
        <w:wordWrap/>
        <w:overflowPunct/>
        <w:topLinePunct w:val="0"/>
        <w:autoSpaceDE w:val="0"/>
        <w:autoSpaceDN w:val="0"/>
        <w:bidi w:val="0"/>
        <w:adjustRightInd/>
        <w:snapToGrid/>
        <w:spacing w:before="28" w:after="0" w:line="360" w:lineRule="auto"/>
        <w:ind w:left="221" w:leftChars="0" w:right="5362" w:rightChars="0"/>
        <w:jc w:val="both"/>
        <w:textAlignment w:val="auto"/>
        <w:outlineLvl w:val="9"/>
        <w:rPr>
          <w:sz w:val="24"/>
          <w:szCs w:val="24"/>
        </w:rPr>
      </w:pPr>
      <w:r>
        <w:rPr>
          <w:b/>
          <w:sz w:val="24"/>
          <w:szCs w:val="24"/>
        </w:rPr>
        <w:t>中标服务费承诺书</w:t>
      </w:r>
    </w:p>
    <w:p w14:paraId="4D6112FE">
      <w:pPr>
        <w:keepNext w:val="0"/>
        <w:keepLines w:val="0"/>
        <w:pageBreakBefore w:val="0"/>
        <w:widowControl w:val="0"/>
        <w:kinsoku/>
        <w:wordWrap/>
        <w:overflowPunct/>
        <w:topLinePunct w:val="0"/>
        <w:autoSpaceDE w:val="0"/>
        <w:autoSpaceDN w:val="0"/>
        <w:bidi w:val="0"/>
        <w:adjustRightInd/>
        <w:snapToGrid/>
        <w:spacing w:before="0" w:line="360" w:lineRule="auto"/>
        <w:ind w:left="220" w:right="0" w:firstLine="0"/>
        <w:jc w:val="both"/>
        <w:textAlignment w:val="auto"/>
        <w:outlineLvl w:val="9"/>
        <w:rPr>
          <w:sz w:val="24"/>
          <w:szCs w:val="24"/>
        </w:rPr>
      </w:pPr>
      <w:r>
        <w:rPr>
          <w:sz w:val="24"/>
          <w:szCs w:val="24"/>
        </w:rPr>
        <w:t>致：（招标代理公司）</w:t>
      </w:r>
    </w:p>
    <w:p w14:paraId="2AFEEF9F">
      <w:pPr>
        <w:keepNext w:val="0"/>
        <w:keepLines w:val="0"/>
        <w:pageBreakBefore w:val="0"/>
        <w:widowControl w:val="0"/>
        <w:tabs>
          <w:tab w:val="left" w:pos="6118"/>
        </w:tabs>
        <w:kinsoku/>
        <w:wordWrap/>
        <w:overflowPunct/>
        <w:topLinePunct w:val="0"/>
        <w:autoSpaceDE w:val="0"/>
        <w:autoSpaceDN w:val="0"/>
        <w:bidi w:val="0"/>
        <w:adjustRightInd/>
        <w:snapToGrid/>
        <w:spacing w:before="4" w:line="360" w:lineRule="auto"/>
        <w:ind w:left="220" w:right="237" w:firstLine="480" w:firstLineChars="200"/>
        <w:jc w:val="both"/>
        <w:textAlignment w:val="auto"/>
        <w:outlineLvl w:val="9"/>
        <w:rPr>
          <w:sz w:val="24"/>
          <w:szCs w:val="24"/>
        </w:rPr>
      </w:pPr>
      <w:r>
        <w:rPr>
          <w:sz w:val="24"/>
          <w:szCs w:val="24"/>
        </w:rPr>
        <w:t>我们在贵公司组织的</w:t>
      </w:r>
      <w:r>
        <w:rPr>
          <w:rFonts w:hint="eastAsia"/>
          <w:sz w:val="24"/>
          <w:szCs w:val="24"/>
          <w:lang w:val="en-US" w:eastAsia="zh-CN"/>
        </w:rPr>
        <w:t xml:space="preserve"> </w:t>
      </w:r>
      <w:r>
        <w:rPr>
          <w:rFonts w:hint="eastAsia"/>
          <w:sz w:val="24"/>
          <w:szCs w:val="24"/>
          <w:u w:val="single"/>
          <w:lang w:val="en-US" w:eastAsia="zh-CN"/>
        </w:rPr>
        <w:t xml:space="preserve">        </w:t>
      </w:r>
      <w:r>
        <w:rPr>
          <w:sz w:val="24"/>
          <w:szCs w:val="24"/>
        </w:rPr>
        <w:t>项目中若中标，我们保证在领取中标通知书时向贵公司一次性支付该项目的中标服务费。</w:t>
      </w:r>
    </w:p>
    <w:p w14:paraId="4F52EB50">
      <w:pPr>
        <w:keepNext w:val="0"/>
        <w:keepLines w:val="0"/>
        <w:pageBreakBefore w:val="0"/>
        <w:widowControl w:val="0"/>
        <w:kinsoku/>
        <w:wordWrap/>
        <w:overflowPunct/>
        <w:topLinePunct w:val="0"/>
        <w:autoSpaceDE w:val="0"/>
        <w:autoSpaceDN w:val="0"/>
        <w:bidi w:val="0"/>
        <w:adjustRightInd/>
        <w:snapToGrid/>
        <w:spacing w:before="1" w:line="360" w:lineRule="auto"/>
        <w:ind w:left="220" w:right="0" w:firstLine="0"/>
        <w:jc w:val="both"/>
        <w:textAlignment w:val="auto"/>
        <w:outlineLvl w:val="9"/>
        <w:rPr>
          <w:sz w:val="24"/>
          <w:szCs w:val="24"/>
        </w:rPr>
      </w:pPr>
      <w:r>
        <w:rPr>
          <w:sz w:val="24"/>
          <w:szCs w:val="24"/>
        </w:rPr>
        <w:t>特此承诺！</w:t>
      </w:r>
    </w:p>
    <w:p w14:paraId="3CD829A1">
      <w:pPr>
        <w:keepNext w:val="0"/>
        <w:keepLines w:val="0"/>
        <w:pageBreakBefore w:val="0"/>
        <w:widowControl w:val="0"/>
        <w:tabs>
          <w:tab w:val="left" w:pos="5740"/>
          <w:tab w:val="left" w:pos="6275"/>
        </w:tabs>
        <w:kinsoku/>
        <w:wordWrap/>
        <w:overflowPunct/>
        <w:topLinePunct w:val="0"/>
        <w:autoSpaceDE w:val="0"/>
        <w:autoSpaceDN w:val="0"/>
        <w:bidi w:val="0"/>
        <w:adjustRightInd/>
        <w:snapToGrid/>
        <w:spacing w:before="4" w:line="360" w:lineRule="auto"/>
        <w:ind w:left="220" w:right="3023" w:firstLine="0"/>
        <w:jc w:val="both"/>
        <w:textAlignment w:val="auto"/>
        <w:outlineLvl w:val="9"/>
        <w:rPr>
          <w:sz w:val="24"/>
          <w:szCs w:val="24"/>
        </w:rPr>
      </w:pPr>
      <w:r>
        <w:rPr>
          <w:sz w:val="24"/>
          <w:szCs w:val="24"/>
        </w:rPr>
        <w:t>承诺方公司名称</w:t>
      </w:r>
      <w:r>
        <w:rPr>
          <w:rFonts w:hint="eastAsia"/>
          <w:sz w:val="24"/>
          <w:szCs w:val="24"/>
          <w:lang w:eastAsia="zh-CN"/>
        </w:rPr>
        <w:t>：</w:t>
      </w:r>
      <w:r>
        <w:rPr>
          <w:spacing w:val="-1"/>
          <w:sz w:val="24"/>
          <w:szCs w:val="24"/>
        </w:rPr>
        <w:t>（</w:t>
      </w:r>
      <w:r>
        <w:rPr>
          <w:sz w:val="24"/>
          <w:szCs w:val="24"/>
        </w:rPr>
        <w:t>电子签章）</w:t>
      </w:r>
    </w:p>
    <w:p w14:paraId="5A38C481">
      <w:pPr>
        <w:keepNext w:val="0"/>
        <w:keepLines w:val="0"/>
        <w:pageBreakBefore w:val="0"/>
        <w:widowControl w:val="0"/>
        <w:tabs>
          <w:tab w:val="left" w:pos="5740"/>
          <w:tab w:val="left" w:pos="6275"/>
        </w:tabs>
        <w:kinsoku/>
        <w:wordWrap/>
        <w:overflowPunct/>
        <w:topLinePunct w:val="0"/>
        <w:autoSpaceDE w:val="0"/>
        <w:autoSpaceDN w:val="0"/>
        <w:bidi w:val="0"/>
        <w:adjustRightInd/>
        <w:snapToGrid/>
        <w:spacing w:before="4" w:line="360" w:lineRule="auto"/>
        <w:ind w:left="220" w:right="3023" w:firstLine="0"/>
        <w:jc w:val="both"/>
        <w:textAlignment w:val="auto"/>
        <w:outlineLvl w:val="9"/>
        <w:rPr>
          <w:rFonts w:ascii="Times New Roman" w:eastAsia="Times New Roman"/>
          <w:sz w:val="24"/>
          <w:szCs w:val="24"/>
        </w:rPr>
      </w:pPr>
      <w:r>
        <w:rPr>
          <w:spacing w:val="-117"/>
          <w:sz w:val="24"/>
          <w:szCs w:val="24"/>
        </w:rPr>
        <w:t xml:space="preserve"> </w:t>
      </w:r>
      <w:r>
        <w:rPr>
          <w:sz w:val="24"/>
          <w:szCs w:val="24"/>
        </w:rPr>
        <w:t>地址：</w:t>
      </w:r>
    </w:p>
    <w:p w14:paraId="1885823B">
      <w:pPr>
        <w:keepNext w:val="0"/>
        <w:keepLines w:val="0"/>
        <w:pageBreakBefore w:val="0"/>
        <w:widowControl w:val="0"/>
        <w:tabs>
          <w:tab w:val="left" w:pos="3635"/>
        </w:tabs>
        <w:kinsoku/>
        <w:wordWrap/>
        <w:overflowPunct/>
        <w:topLinePunct w:val="0"/>
        <w:autoSpaceDE w:val="0"/>
        <w:autoSpaceDN w:val="0"/>
        <w:bidi w:val="0"/>
        <w:adjustRightInd/>
        <w:snapToGrid/>
        <w:spacing w:before="0" w:line="360" w:lineRule="auto"/>
        <w:ind w:left="220" w:right="38" w:firstLine="0"/>
        <w:jc w:val="both"/>
        <w:textAlignment w:val="auto"/>
        <w:outlineLvl w:val="9"/>
        <w:rPr>
          <w:sz w:val="24"/>
          <w:szCs w:val="24"/>
        </w:rPr>
      </w:pPr>
      <w:r>
        <w:rPr>
          <w:sz w:val="24"/>
          <w:szCs w:val="24"/>
        </w:rPr>
        <w:t>电话：</w:t>
      </w:r>
    </w:p>
    <w:p w14:paraId="26DD2674">
      <w:pPr>
        <w:keepNext w:val="0"/>
        <w:keepLines w:val="0"/>
        <w:pageBreakBefore w:val="0"/>
        <w:widowControl w:val="0"/>
        <w:tabs>
          <w:tab w:val="left" w:pos="3635"/>
        </w:tabs>
        <w:kinsoku/>
        <w:wordWrap/>
        <w:overflowPunct/>
        <w:topLinePunct w:val="0"/>
        <w:autoSpaceDE w:val="0"/>
        <w:autoSpaceDN w:val="0"/>
        <w:bidi w:val="0"/>
        <w:adjustRightInd/>
        <w:snapToGrid/>
        <w:spacing w:before="0" w:line="360" w:lineRule="auto"/>
        <w:ind w:left="220" w:right="38" w:firstLine="0"/>
        <w:jc w:val="both"/>
        <w:textAlignment w:val="auto"/>
        <w:outlineLvl w:val="9"/>
        <w:rPr>
          <w:rFonts w:ascii="Times New Roman" w:eastAsia="Times New Roman"/>
          <w:sz w:val="24"/>
          <w:szCs w:val="24"/>
        </w:rPr>
      </w:pPr>
      <w:r>
        <w:rPr>
          <w:sz w:val="24"/>
          <w:szCs w:val="24"/>
        </w:rPr>
        <w:t>电传：</w:t>
      </w:r>
    </w:p>
    <w:p w14:paraId="1EEDF072">
      <w:pPr>
        <w:keepNext w:val="0"/>
        <w:keepLines w:val="0"/>
        <w:pageBreakBefore w:val="0"/>
        <w:widowControl w:val="0"/>
        <w:tabs>
          <w:tab w:val="left" w:pos="2554"/>
        </w:tabs>
        <w:kinsoku/>
        <w:wordWrap/>
        <w:overflowPunct/>
        <w:topLinePunct w:val="0"/>
        <w:autoSpaceDE w:val="0"/>
        <w:autoSpaceDN w:val="0"/>
        <w:bidi w:val="0"/>
        <w:adjustRightInd/>
        <w:snapToGrid/>
        <w:spacing w:before="0" w:line="360" w:lineRule="auto"/>
        <w:ind w:left="0" w:right="0" w:firstLine="240" w:firstLineChars="100"/>
        <w:jc w:val="both"/>
        <w:textAlignment w:val="auto"/>
        <w:outlineLvl w:val="9"/>
        <w:rPr>
          <w:sz w:val="24"/>
          <w:szCs w:val="24"/>
          <w:u w:val="single"/>
        </w:rPr>
      </w:pPr>
      <w:r>
        <w:rPr>
          <w:sz w:val="24"/>
          <w:szCs w:val="24"/>
        </w:rPr>
        <w:t>传真：</w:t>
      </w:r>
    </w:p>
    <w:p w14:paraId="0249C553">
      <w:pPr>
        <w:keepNext w:val="0"/>
        <w:keepLines w:val="0"/>
        <w:pageBreakBefore w:val="0"/>
        <w:widowControl w:val="0"/>
        <w:tabs>
          <w:tab w:val="left" w:pos="2554"/>
        </w:tabs>
        <w:kinsoku/>
        <w:wordWrap/>
        <w:overflowPunct/>
        <w:topLinePunct w:val="0"/>
        <w:autoSpaceDE w:val="0"/>
        <w:autoSpaceDN w:val="0"/>
        <w:bidi w:val="0"/>
        <w:adjustRightInd/>
        <w:snapToGrid/>
        <w:spacing w:before="0" w:line="360" w:lineRule="auto"/>
        <w:ind w:left="0" w:right="0" w:firstLine="240" w:firstLineChars="100"/>
        <w:jc w:val="both"/>
        <w:textAlignment w:val="auto"/>
        <w:outlineLvl w:val="9"/>
        <w:rPr>
          <w:rFonts w:ascii="Times New Roman" w:eastAsia="Times New Roman"/>
          <w:sz w:val="24"/>
          <w:szCs w:val="24"/>
        </w:rPr>
      </w:pPr>
      <w:r>
        <w:rPr>
          <w:sz w:val="24"/>
          <w:szCs w:val="24"/>
        </w:rPr>
        <w:t>邮编：</w:t>
      </w:r>
    </w:p>
    <w:p w14:paraId="3BBD9DC8">
      <w:pPr>
        <w:keepNext w:val="0"/>
        <w:keepLines w:val="0"/>
        <w:pageBreakBefore w:val="0"/>
        <w:widowControl w:val="0"/>
        <w:tabs>
          <w:tab w:val="left" w:pos="4835"/>
          <w:tab w:val="left" w:pos="9103"/>
        </w:tabs>
        <w:kinsoku/>
        <w:wordWrap/>
        <w:overflowPunct/>
        <w:topLinePunct w:val="0"/>
        <w:autoSpaceDE w:val="0"/>
        <w:autoSpaceDN w:val="0"/>
        <w:bidi w:val="0"/>
        <w:adjustRightInd/>
        <w:snapToGrid/>
        <w:spacing w:before="3" w:line="360" w:lineRule="auto"/>
        <w:ind w:left="220" w:right="1100" w:firstLine="0"/>
        <w:jc w:val="both"/>
        <w:textAlignment w:val="auto"/>
        <w:outlineLvl w:val="9"/>
        <w:rPr>
          <w:sz w:val="24"/>
          <w:szCs w:val="24"/>
        </w:rPr>
      </w:pPr>
    </w:p>
    <w:p w14:paraId="494B59B1">
      <w:pPr>
        <w:keepNext w:val="0"/>
        <w:keepLines w:val="0"/>
        <w:pageBreakBefore w:val="0"/>
        <w:widowControl w:val="0"/>
        <w:tabs>
          <w:tab w:val="left" w:pos="4835"/>
          <w:tab w:val="left" w:pos="9103"/>
        </w:tabs>
        <w:kinsoku/>
        <w:wordWrap/>
        <w:overflowPunct/>
        <w:topLinePunct w:val="0"/>
        <w:autoSpaceDE w:val="0"/>
        <w:autoSpaceDN w:val="0"/>
        <w:bidi w:val="0"/>
        <w:adjustRightInd/>
        <w:snapToGrid/>
        <w:spacing w:before="3" w:line="360" w:lineRule="auto"/>
        <w:ind w:left="220" w:right="1100" w:firstLine="0"/>
        <w:jc w:val="both"/>
        <w:textAlignment w:val="auto"/>
        <w:outlineLvl w:val="9"/>
        <w:rPr>
          <w:rFonts w:ascii="Times New Roman" w:eastAsia="Times New Roman"/>
          <w:sz w:val="24"/>
          <w:szCs w:val="24"/>
          <w:u w:val="single"/>
        </w:rPr>
      </w:pPr>
      <w:r>
        <w:rPr>
          <w:sz w:val="24"/>
          <w:szCs w:val="24"/>
        </w:rPr>
        <w:t>承诺方法定代表人或委托代理人签字（法人电子签章</w:t>
      </w:r>
      <w:r>
        <w:rPr>
          <w:rFonts w:ascii="Times New Roman" w:eastAsia="Times New Roman"/>
          <w:sz w:val="24"/>
          <w:szCs w:val="24"/>
        </w:rPr>
        <w:t>/</w:t>
      </w:r>
      <w:r>
        <w:rPr>
          <w:sz w:val="24"/>
          <w:szCs w:val="24"/>
        </w:rPr>
        <w:t>委托代理人签字）：</w:t>
      </w:r>
      <w:r>
        <w:rPr>
          <w:rFonts w:ascii="Times New Roman" w:eastAsia="Times New Roman"/>
          <w:sz w:val="24"/>
          <w:szCs w:val="24"/>
          <w:u w:val="single"/>
        </w:rPr>
        <w:t xml:space="preserve"> </w:t>
      </w:r>
      <w:r>
        <w:rPr>
          <w:rFonts w:ascii="Times New Roman" w:eastAsia="Times New Roman"/>
          <w:sz w:val="24"/>
          <w:szCs w:val="24"/>
          <w:u w:val="single"/>
        </w:rPr>
        <w:tab/>
      </w:r>
    </w:p>
    <w:p w14:paraId="31AA2E8B">
      <w:pPr>
        <w:keepNext w:val="0"/>
        <w:keepLines w:val="0"/>
        <w:pageBreakBefore w:val="0"/>
        <w:widowControl w:val="0"/>
        <w:tabs>
          <w:tab w:val="left" w:pos="4835"/>
          <w:tab w:val="left" w:pos="9103"/>
        </w:tabs>
        <w:kinsoku/>
        <w:wordWrap/>
        <w:overflowPunct/>
        <w:topLinePunct w:val="0"/>
        <w:autoSpaceDE w:val="0"/>
        <w:autoSpaceDN w:val="0"/>
        <w:bidi w:val="0"/>
        <w:adjustRightInd/>
        <w:snapToGrid/>
        <w:spacing w:before="3" w:line="360" w:lineRule="auto"/>
        <w:ind w:left="220" w:right="1100" w:firstLine="0"/>
        <w:jc w:val="both"/>
        <w:textAlignment w:val="auto"/>
        <w:outlineLvl w:val="9"/>
        <w:rPr>
          <w:rFonts w:ascii="Times New Roman" w:eastAsia="Times New Roman"/>
          <w:sz w:val="24"/>
          <w:szCs w:val="24"/>
        </w:rPr>
      </w:pPr>
      <w:r>
        <w:rPr>
          <w:sz w:val="24"/>
          <w:szCs w:val="24"/>
        </w:rPr>
        <w:t>承诺日期：</w:t>
      </w:r>
    </w:p>
    <w:p w14:paraId="1153E812">
      <w:pPr>
        <w:pStyle w:val="56"/>
        <w:keepNext w:val="0"/>
        <w:keepLines w:val="0"/>
        <w:pageBreakBefore w:val="0"/>
        <w:widowControl w:val="0"/>
        <w:numPr>
          <w:ilvl w:val="0"/>
          <w:numId w:val="0"/>
        </w:numPr>
        <w:tabs>
          <w:tab w:val="left" w:pos="925"/>
        </w:tabs>
        <w:kinsoku/>
        <w:wordWrap/>
        <w:overflowPunct/>
        <w:topLinePunct w:val="0"/>
        <w:autoSpaceDE w:val="0"/>
        <w:autoSpaceDN w:val="0"/>
        <w:bidi w:val="0"/>
        <w:adjustRightInd/>
        <w:snapToGrid/>
        <w:spacing w:before="28" w:after="0" w:line="360" w:lineRule="auto"/>
        <w:ind w:left="221" w:leftChars="0" w:right="5362" w:rightChars="0"/>
        <w:jc w:val="both"/>
        <w:textAlignment w:val="auto"/>
        <w:outlineLvl w:val="9"/>
        <w:rPr>
          <w:b/>
          <w:sz w:val="24"/>
          <w:szCs w:val="24"/>
        </w:rPr>
      </w:pPr>
    </w:p>
    <w:p w14:paraId="40A22514">
      <w:pPr>
        <w:pStyle w:val="56"/>
        <w:keepNext w:val="0"/>
        <w:keepLines w:val="0"/>
        <w:pageBreakBefore w:val="0"/>
        <w:widowControl w:val="0"/>
        <w:numPr>
          <w:ilvl w:val="0"/>
          <w:numId w:val="0"/>
        </w:numPr>
        <w:tabs>
          <w:tab w:val="left" w:pos="925"/>
        </w:tabs>
        <w:kinsoku/>
        <w:wordWrap/>
        <w:overflowPunct/>
        <w:topLinePunct w:val="0"/>
        <w:autoSpaceDE w:val="0"/>
        <w:autoSpaceDN w:val="0"/>
        <w:bidi w:val="0"/>
        <w:adjustRightInd/>
        <w:snapToGrid/>
        <w:spacing w:before="28" w:after="0" w:line="360" w:lineRule="auto"/>
        <w:ind w:left="221" w:leftChars="0" w:right="5362" w:rightChars="0"/>
        <w:jc w:val="both"/>
        <w:textAlignment w:val="auto"/>
        <w:outlineLvl w:val="9"/>
        <w:rPr>
          <w:b/>
          <w:sz w:val="24"/>
          <w:szCs w:val="24"/>
        </w:rPr>
      </w:pPr>
    </w:p>
    <w:p w14:paraId="4C3EFF3A">
      <w:pPr>
        <w:pStyle w:val="56"/>
        <w:keepNext w:val="0"/>
        <w:keepLines w:val="0"/>
        <w:pageBreakBefore w:val="0"/>
        <w:widowControl w:val="0"/>
        <w:numPr>
          <w:ilvl w:val="0"/>
          <w:numId w:val="0"/>
        </w:numPr>
        <w:tabs>
          <w:tab w:val="left" w:pos="925"/>
        </w:tabs>
        <w:kinsoku/>
        <w:wordWrap/>
        <w:overflowPunct/>
        <w:topLinePunct w:val="0"/>
        <w:autoSpaceDE w:val="0"/>
        <w:autoSpaceDN w:val="0"/>
        <w:bidi w:val="0"/>
        <w:adjustRightInd/>
        <w:snapToGrid/>
        <w:spacing w:before="28" w:after="0" w:line="360" w:lineRule="auto"/>
        <w:ind w:left="221" w:leftChars="0" w:right="5362" w:rightChars="0"/>
        <w:jc w:val="both"/>
        <w:textAlignment w:val="auto"/>
        <w:outlineLvl w:val="9"/>
        <w:rPr>
          <w:b/>
          <w:sz w:val="24"/>
          <w:szCs w:val="24"/>
        </w:rPr>
      </w:pPr>
    </w:p>
    <w:p w14:paraId="16C78A8E">
      <w:pPr>
        <w:pStyle w:val="56"/>
        <w:keepNext w:val="0"/>
        <w:keepLines w:val="0"/>
        <w:pageBreakBefore w:val="0"/>
        <w:widowControl w:val="0"/>
        <w:numPr>
          <w:ilvl w:val="0"/>
          <w:numId w:val="0"/>
        </w:numPr>
        <w:tabs>
          <w:tab w:val="left" w:pos="925"/>
        </w:tabs>
        <w:kinsoku/>
        <w:wordWrap/>
        <w:overflowPunct/>
        <w:topLinePunct w:val="0"/>
        <w:autoSpaceDE w:val="0"/>
        <w:autoSpaceDN w:val="0"/>
        <w:bidi w:val="0"/>
        <w:adjustRightInd/>
        <w:snapToGrid/>
        <w:spacing w:before="28" w:after="0" w:line="360" w:lineRule="auto"/>
        <w:ind w:left="221" w:leftChars="0" w:right="5362" w:rightChars="0"/>
        <w:jc w:val="both"/>
        <w:textAlignment w:val="auto"/>
        <w:outlineLvl w:val="9"/>
        <w:rPr>
          <w:b/>
          <w:sz w:val="24"/>
          <w:szCs w:val="24"/>
        </w:rPr>
      </w:pPr>
    </w:p>
    <w:p w14:paraId="2D6A62EB">
      <w:pPr>
        <w:pStyle w:val="56"/>
        <w:keepNext w:val="0"/>
        <w:keepLines w:val="0"/>
        <w:pageBreakBefore w:val="0"/>
        <w:widowControl w:val="0"/>
        <w:numPr>
          <w:ilvl w:val="0"/>
          <w:numId w:val="0"/>
        </w:numPr>
        <w:tabs>
          <w:tab w:val="left" w:pos="925"/>
        </w:tabs>
        <w:kinsoku/>
        <w:wordWrap/>
        <w:overflowPunct/>
        <w:topLinePunct w:val="0"/>
        <w:autoSpaceDE w:val="0"/>
        <w:autoSpaceDN w:val="0"/>
        <w:bidi w:val="0"/>
        <w:adjustRightInd/>
        <w:snapToGrid/>
        <w:spacing w:before="28" w:after="0" w:line="360" w:lineRule="auto"/>
        <w:ind w:left="221" w:leftChars="0" w:right="5362" w:rightChars="0"/>
        <w:jc w:val="both"/>
        <w:textAlignment w:val="auto"/>
        <w:outlineLvl w:val="9"/>
        <w:rPr>
          <w:b/>
          <w:sz w:val="24"/>
          <w:szCs w:val="24"/>
        </w:rPr>
      </w:pPr>
    </w:p>
    <w:p w14:paraId="15CE9EDD">
      <w:pPr>
        <w:pStyle w:val="56"/>
        <w:keepNext w:val="0"/>
        <w:keepLines w:val="0"/>
        <w:pageBreakBefore w:val="0"/>
        <w:widowControl w:val="0"/>
        <w:numPr>
          <w:ilvl w:val="0"/>
          <w:numId w:val="0"/>
        </w:numPr>
        <w:tabs>
          <w:tab w:val="left" w:pos="925"/>
        </w:tabs>
        <w:kinsoku/>
        <w:wordWrap/>
        <w:overflowPunct/>
        <w:topLinePunct w:val="0"/>
        <w:autoSpaceDE w:val="0"/>
        <w:autoSpaceDN w:val="0"/>
        <w:bidi w:val="0"/>
        <w:adjustRightInd/>
        <w:snapToGrid/>
        <w:spacing w:before="28" w:after="0" w:line="360" w:lineRule="auto"/>
        <w:ind w:left="221" w:leftChars="0" w:right="5362" w:rightChars="0"/>
        <w:jc w:val="both"/>
        <w:textAlignment w:val="auto"/>
        <w:outlineLvl w:val="9"/>
        <w:rPr>
          <w:b/>
          <w:sz w:val="24"/>
          <w:szCs w:val="24"/>
        </w:rPr>
      </w:pPr>
      <w:r>
        <w:rPr>
          <w:b/>
          <w:sz w:val="24"/>
          <w:szCs w:val="24"/>
        </w:rPr>
        <w:t>投标承诺函</w:t>
      </w:r>
    </w:p>
    <w:p w14:paraId="4A7F58DE">
      <w:pPr>
        <w:keepNext w:val="0"/>
        <w:keepLines w:val="0"/>
        <w:pageBreakBefore w:val="0"/>
        <w:widowControl w:val="0"/>
        <w:kinsoku/>
        <w:wordWrap/>
        <w:overflowPunct/>
        <w:topLinePunct w:val="0"/>
        <w:autoSpaceDE w:val="0"/>
        <w:autoSpaceDN w:val="0"/>
        <w:bidi w:val="0"/>
        <w:adjustRightInd/>
        <w:snapToGrid/>
        <w:spacing w:before="142" w:line="360" w:lineRule="auto"/>
        <w:ind w:right="0"/>
        <w:jc w:val="both"/>
        <w:textAlignment w:val="auto"/>
        <w:outlineLvl w:val="9"/>
        <w:rPr>
          <w:sz w:val="24"/>
          <w:szCs w:val="24"/>
        </w:rPr>
      </w:pPr>
      <w:r>
        <w:rPr>
          <w:sz w:val="24"/>
          <w:szCs w:val="24"/>
        </w:rPr>
        <w:t>致（采购人及采购代理机构）：</w:t>
      </w:r>
    </w:p>
    <w:p w14:paraId="72F24493">
      <w:pPr>
        <w:keepNext w:val="0"/>
        <w:keepLines w:val="0"/>
        <w:pageBreakBefore w:val="0"/>
        <w:widowControl w:val="0"/>
        <w:kinsoku/>
        <w:wordWrap/>
        <w:overflowPunct/>
        <w:topLinePunct w:val="0"/>
        <w:autoSpaceDE w:val="0"/>
        <w:autoSpaceDN w:val="0"/>
        <w:bidi w:val="0"/>
        <w:adjustRightInd/>
        <w:snapToGrid/>
        <w:spacing w:before="0" w:line="357" w:lineRule="auto"/>
        <w:ind w:left="220" w:right="239" w:firstLine="468" w:firstLineChars="200"/>
        <w:jc w:val="both"/>
        <w:textAlignment w:val="auto"/>
        <w:outlineLvl w:val="9"/>
        <w:rPr>
          <w:spacing w:val="-3"/>
          <w:sz w:val="24"/>
        </w:rPr>
      </w:pPr>
      <w:r>
        <w:rPr>
          <w:spacing w:val="-3"/>
          <w:sz w:val="24"/>
        </w:rPr>
        <w:t>我公司作为本次采购项目的投标人，根据招标文件要求，现郑重承诺如下：</w:t>
      </w:r>
    </w:p>
    <w:p w14:paraId="6F2D95B3">
      <w:pPr>
        <w:keepNext w:val="0"/>
        <w:keepLines w:val="0"/>
        <w:pageBreakBefore w:val="0"/>
        <w:widowControl w:val="0"/>
        <w:kinsoku/>
        <w:wordWrap/>
        <w:overflowPunct/>
        <w:topLinePunct w:val="0"/>
        <w:autoSpaceDE w:val="0"/>
        <w:autoSpaceDN w:val="0"/>
        <w:bidi w:val="0"/>
        <w:adjustRightInd/>
        <w:snapToGrid/>
        <w:spacing w:before="0" w:line="357" w:lineRule="auto"/>
        <w:ind w:left="220" w:right="239" w:firstLine="468" w:firstLineChars="200"/>
        <w:jc w:val="both"/>
        <w:textAlignment w:val="auto"/>
        <w:outlineLvl w:val="9"/>
        <w:rPr>
          <w:spacing w:val="-3"/>
          <w:sz w:val="24"/>
        </w:rPr>
      </w:pPr>
      <w:r>
        <w:rPr>
          <w:spacing w:val="-3"/>
          <w:sz w:val="24"/>
        </w:rPr>
        <w:t>一、具备《中华人民共和国政府采购法》第二十二条第一款和本项目规定的条件：</w:t>
      </w:r>
    </w:p>
    <w:p w14:paraId="197AD620">
      <w:pPr>
        <w:keepNext w:val="0"/>
        <w:keepLines w:val="0"/>
        <w:pageBreakBefore w:val="0"/>
        <w:widowControl w:val="0"/>
        <w:kinsoku/>
        <w:wordWrap/>
        <w:overflowPunct/>
        <w:topLinePunct w:val="0"/>
        <w:autoSpaceDE w:val="0"/>
        <w:autoSpaceDN w:val="0"/>
        <w:bidi w:val="0"/>
        <w:adjustRightInd/>
        <w:snapToGrid/>
        <w:spacing w:before="0" w:line="357" w:lineRule="auto"/>
        <w:ind w:left="220" w:right="239" w:firstLine="468" w:firstLineChars="200"/>
        <w:jc w:val="both"/>
        <w:textAlignment w:val="auto"/>
        <w:outlineLvl w:val="9"/>
        <w:rPr>
          <w:spacing w:val="-3"/>
          <w:sz w:val="24"/>
        </w:rPr>
      </w:pPr>
      <w:r>
        <w:rPr>
          <w:spacing w:val="-3"/>
          <w:sz w:val="24"/>
        </w:rPr>
        <w:t>（一）具有独立承担民事责任的能力；</w:t>
      </w:r>
    </w:p>
    <w:p w14:paraId="4BBFDEC4">
      <w:pPr>
        <w:keepNext w:val="0"/>
        <w:keepLines w:val="0"/>
        <w:pageBreakBefore w:val="0"/>
        <w:widowControl w:val="0"/>
        <w:kinsoku/>
        <w:wordWrap/>
        <w:overflowPunct/>
        <w:topLinePunct w:val="0"/>
        <w:autoSpaceDE w:val="0"/>
        <w:autoSpaceDN w:val="0"/>
        <w:bidi w:val="0"/>
        <w:adjustRightInd/>
        <w:snapToGrid/>
        <w:spacing w:before="0" w:line="357" w:lineRule="auto"/>
        <w:ind w:left="220" w:right="239" w:firstLine="468" w:firstLineChars="200"/>
        <w:jc w:val="both"/>
        <w:textAlignment w:val="auto"/>
        <w:outlineLvl w:val="9"/>
        <w:rPr>
          <w:spacing w:val="-3"/>
          <w:sz w:val="24"/>
        </w:rPr>
      </w:pPr>
      <w:r>
        <w:rPr>
          <w:spacing w:val="-3"/>
          <w:sz w:val="24"/>
        </w:rPr>
        <w:t>（二）具有良好的商业信誉和健全的财务会计制度；</w:t>
      </w:r>
    </w:p>
    <w:p w14:paraId="3105FC11">
      <w:pPr>
        <w:keepNext w:val="0"/>
        <w:keepLines w:val="0"/>
        <w:pageBreakBefore w:val="0"/>
        <w:widowControl w:val="0"/>
        <w:kinsoku/>
        <w:wordWrap/>
        <w:overflowPunct/>
        <w:topLinePunct w:val="0"/>
        <w:autoSpaceDE w:val="0"/>
        <w:autoSpaceDN w:val="0"/>
        <w:bidi w:val="0"/>
        <w:adjustRightInd/>
        <w:snapToGrid/>
        <w:spacing w:before="0" w:line="357" w:lineRule="auto"/>
        <w:ind w:left="220" w:right="239" w:firstLine="468" w:firstLineChars="200"/>
        <w:jc w:val="both"/>
        <w:textAlignment w:val="auto"/>
        <w:outlineLvl w:val="9"/>
        <w:rPr>
          <w:spacing w:val="-3"/>
          <w:sz w:val="24"/>
        </w:rPr>
      </w:pPr>
      <w:r>
        <w:rPr>
          <w:spacing w:val="-3"/>
          <w:sz w:val="24"/>
        </w:rPr>
        <w:t>（三）具有履行合同所必需的设备和专业技术能力；</w:t>
      </w:r>
    </w:p>
    <w:p w14:paraId="56A52850">
      <w:pPr>
        <w:keepNext w:val="0"/>
        <w:keepLines w:val="0"/>
        <w:pageBreakBefore w:val="0"/>
        <w:widowControl w:val="0"/>
        <w:kinsoku/>
        <w:wordWrap/>
        <w:overflowPunct/>
        <w:topLinePunct w:val="0"/>
        <w:autoSpaceDE w:val="0"/>
        <w:autoSpaceDN w:val="0"/>
        <w:bidi w:val="0"/>
        <w:adjustRightInd/>
        <w:snapToGrid/>
        <w:spacing w:before="0" w:line="357" w:lineRule="auto"/>
        <w:ind w:left="220" w:right="239" w:firstLine="468" w:firstLineChars="200"/>
        <w:jc w:val="both"/>
        <w:textAlignment w:val="auto"/>
        <w:outlineLvl w:val="9"/>
        <w:rPr>
          <w:spacing w:val="-3"/>
          <w:sz w:val="24"/>
        </w:rPr>
      </w:pPr>
      <w:r>
        <w:rPr>
          <w:spacing w:val="-3"/>
          <w:sz w:val="24"/>
        </w:rPr>
        <w:t>（四）有依法缴纳税收和社会保障资金的良好记录；</w:t>
      </w:r>
    </w:p>
    <w:p w14:paraId="61E995DD">
      <w:pPr>
        <w:keepNext w:val="0"/>
        <w:keepLines w:val="0"/>
        <w:pageBreakBefore w:val="0"/>
        <w:widowControl w:val="0"/>
        <w:kinsoku/>
        <w:wordWrap/>
        <w:overflowPunct/>
        <w:topLinePunct w:val="0"/>
        <w:autoSpaceDE w:val="0"/>
        <w:autoSpaceDN w:val="0"/>
        <w:bidi w:val="0"/>
        <w:adjustRightInd/>
        <w:snapToGrid/>
        <w:spacing w:before="0" w:line="357" w:lineRule="auto"/>
        <w:ind w:left="220" w:right="239" w:firstLine="468" w:firstLineChars="200"/>
        <w:jc w:val="both"/>
        <w:textAlignment w:val="auto"/>
        <w:outlineLvl w:val="9"/>
        <w:rPr>
          <w:spacing w:val="-3"/>
          <w:sz w:val="24"/>
        </w:rPr>
      </w:pPr>
      <w:r>
        <w:rPr>
          <w:spacing w:val="-3"/>
          <w:sz w:val="24"/>
        </w:rPr>
        <w:t>（五）参加政府采购活动前三年内，在经营活动中没有重大违法记录；</w:t>
      </w:r>
    </w:p>
    <w:p w14:paraId="4BA4E90D">
      <w:pPr>
        <w:keepNext w:val="0"/>
        <w:keepLines w:val="0"/>
        <w:pageBreakBefore w:val="0"/>
        <w:widowControl w:val="0"/>
        <w:kinsoku/>
        <w:wordWrap/>
        <w:overflowPunct/>
        <w:topLinePunct w:val="0"/>
        <w:autoSpaceDE w:val="0"/>
        <w:autoSpaceDN w:val="0"/>
        <w:bidi w:val="0"/>
        <w:adjustRightInd/>
        <w:snapToGrid/>
        <w:spacing w:before="0" w:line="357" w:lineRule="auto"/>
        <w:ind w:left="220" w:right="239" w:firstLine="468" w:firstLineChars="200"/>
        <w:jc w:val="both"/>
        <w:textAlignment w:val="auto"/>
        <w:outlineLvl w:val="9"/>
        <w:rPr>
          <w:spacing w:val="-3"/>
          <w:sz w:val="24"/>
        </w:rPr>
      </w:pPr>
      <w:r>
        <w:rPr>
          <w:spacing w:val="-3"/>
          <w:sz w:val="24"/>
        </w:rPr>
        <w:t>（六）法律、行政法规规定的其他条件；</w:t>
      </w:r>
    </w:p>
    <w:p w14:paraId="1AB0A2EB">
      <w:pPr>
        <w:keepNext w:val="0"/>
        <w:keepLines w:val="0"/>
        <w:pageBreakBefore w:val="0"/>
        <w:widowControl w:val="0"/>
        <w:kinsoku/>
        <w:wordWrap/>
        <w:overflowPunct/>
        <w:topLinePunct w:val="0"/>
        <w:autoSpaceDE w:val="0"/>
        <w:autoSpaceDN w:val="0"/>
        <w:bidi w:val="0"/>
        <w:adjustRightInd/>
        <w:snapToGrid/>
        <w:spacing w:before="0" w:line="357" w:lineRule="auto"/>
        <w:ind w:left="220" w:right="239" w:firstLine="468" w:firstLineChars="200"/>
        <w:jc w:val="both"/>
        <w:textAlignment w:val="auto"/>
        <w:outlineLvl w:val="9"/>
        <w:rPr>
          <w:spacing w:val="-3"/>
          <w:sz w:val="24"/>
        </w:rPr>
      </w:pPr>
      <w:r>
        <w:rPr>
          <w:spacing w:val="-3"/>
          <w:sz w:val="24"/>
        </w:rPr>
        <w:t>（七）根据采购项目提出的特殊条件。</w:t>
      </w:r>
    </w:p>
    <w:p w14:paraId="14D7A481">
      <w:pPr>
        <w:keepNext w:val="0"/>
        <w:keepLines w:val="0"/>
        <w:pageBreakBefore w:val="0"/>
        <w:widowControl w:val="0"/>
        <w:kinsoku/>
        <w:wordWrap/>
        <w:overflowPunct/>
        <w:topLinePunct w:val="0"/>
        <w:autoSpaceDE w:val="0"/>
        <w:autoSpaceDN w:val="0"/>
        <w:bidi w:val="0"/>
        <w:adjustRightInd/>
        <w:snapToGrid/>
        <w:spacing w:before="0" w:line="357" w:lineRule="auto"/>
        <w:ind w:left="220" w:right="239" w:firstLine="468" w:firstLineChars="200"/>
        <w:jc w:val="both"/>
        <w:textAlignment w:val="auto"/>
        <w:outlineLvl w:val="9"/>
        <w:rPr>
          <w:spacing w:val="-3"/>
          <w:sz w:val="24"/>
        </w:rPr>
      </w:pPr>
      <w:r>
        <w:rPr>
          <w:spacing w:val="-3"/>
          <w:sz w:val="24"/>
        </w:rPr>
        <w:t>二、完全接受和满足本项目招标文件中规定的实质性要求，如对招标文件有异议，已经在投标截止时间届满前依法进行维权救济，不存在对招标文件有异议的同时又参加投标以求侥幸中标或者为实现其他非法目的的行为。</w:t>
      </w:r>
    </w:p>
    <w:p w14:paraId="683BDC8B">
      <w:pPr>
        <w:keepNext w:val="0"/>
        <w:keepLines w:val="0"/>
        <w:pageBreakBefore w:val="0"/>
        <w:widowControl w:val="0"/>
        <w:kinsoku/>
        <w:wordWrap/>
        <w:overflowPunct/>
        <w:topLinePunct w:val="0"/>
        <w:autoSpaceDE w:val="0"/>
        <w:autoSpaceDN w:val="0"/>
        <w:bidi w:val="0"/>
        <w:adjustRightInd/>
        <w:snapToGrid/>
        <w:spacing w:before="0" w:line="357" w:lineRule="auto"/>
        <w:ind w:left="220" w:right="239" w:firstLine="468" w:firstLineChars="200"/>
        <w:jc w:val="both"/>
        <w:textAlignment w:val="auto"/>
        <w:outlineLvl w:val="9"/>
        <w:rPr>
          <w:spacing w:val="-3"/>
          <w:sz w:val="24"/>
        </w:rPr>
      </w:pPr>
      <w:r>
        <w:rPr>
          <w:spacing w:val="-3"/>
          <w:sz w:val="24"/>
        </w:rPr>
        <w:t>三、参加本次招标采购活动，不存在与单位负责人为同一人或者存在直接控股、管理关系的其他供应商参与同一合同项下的政府采购活动的行为。</w:t>
      </w:r>
    </w:p>
    <w:p w14:paraId="164A1622">
      <w:pPr>
        <w:keepNext w:val="0"/>
        <w:keepLines w:val="0"/>
        <w:pageBreakBefore w:val="0"/>
        <w:widowControl w:val="0"/>
        <w:kinsoku/>
        <w:wordWrap/>
        <w:overflowPunct/>
        <w:topLinePunct w:val="0"/>
        <w:autoSpaceDE w:val="0"/>
        <w:autoSpaceDN w:val="0"/>
        <w:bidi w:val="0"/>
        <w:adjustRightInd/>
        <w:snapToGrid/>
        <w:spacing w:before="0" w:line="357" w:lineRule="auto"/>
        <w:ind w:left="220" w:right="239" w:firstLine="468" w:firstLineChars="200"/>
        <w:jc w:val="both"/>
        <w:textAlignment w:val="auto"/>
        <w:outlineLvl w:val="9"/>
        <w:rPr>
          <w:spacing w:val="-3"/>
          <w:sz w:val="24"/>
        </w:rPr>
      </w:pPr>
      <w:r>
        <w:rPr>
          <w:spacing w:val="-3"/>
          <w:sz w:val="24"/>
        </w:rPr>
        <w:t>四、参加本次招标采购活动，不存在为采购项目提供整体设计、规范编制或者项目管理、监理、检测等服务的行为。</w:t>
      </w:r>
    </w:p>
    <w:p w14:paraId="4470B377">
      <w:pPr>
        <w:keepNext w:val="0"/>
        <w:keepLines w:val="0"/>
        <w:pageBreakBefore w:val="0"/>
        <w:widowControl w:val="0"/>
        <w:kinsoku/>
        <w:wordWrap/>
        <w:overflowPunct/>
        <w:topLinePunct w:val="0"/>
        <w:autoSpaceDE w:val="0"/>
        <w:autoSpaceDN w:val="0"/>
        <w:bidi w:val="0"/>
        <w:adjustRightInd/>
        <w:snapToGrid/>
        <w:spacing w:before="0" w:line="357" w:lineRule="auto"/>
        <w:ind w:left="220" w:right="239" w:firstLine="468" w:firstLineChars="200"/>
        <w:jc w:val="both"/>
        <w:textAlignment w:val="auto"/>
        <w:outlineLvl w:val="9"/>
        <w:rPr>
          <w:spacing w:val="-3"/>
          <w:sz w:val="24"/>
        </w:rPr>
      </w:pPr>
      <w:r>
        <w:rPr>
          <w:spacing w:val="-3"/>
          <w:sz w:val="24"/>
        </w:rPr>
        <w:t>五、参加本次招标采购活动，不存在和其他供应商在同一合同项下的采购项目中，同时委托同一个自然人、同一家庭的人员、同一单位的人员作为代理人的行为。</w:t>
      </w:r>
    </w:p>
    <w:p w14:paraId="5A2A7B63">
      <w:pPr>
        <w:keepNext w:val="0"/>
        <w:keepLines w:val="0"/>
        <w:pageBreakBefore w:val="0"/>
        <w:widowControl w:val="0"/>
        <w:kinsoku/>
        <w:wordWrap/>
        <w:overflowPunct/>
        <w:topLinePunct w:val="0"/>
        <w:autoSpaceDE w:val="0"/>
        <w:autoSpaceDN w:val="0"/>
        <w:bidi w:val="0"/>
        <w:adjustRightInd/>
        <w:snapToGrid/>
        <w:spacing w:before="0" w:line="357" w:lineRule="auto"/>
        <w:ind w:left="220" w:right="239" w:firstLine="468" w:firstLineChars="200"/>
        <w:jc w:val="both"/>
        <w:textAlignment w:val="auto"/>
        <w:outlineLvl w:val="9"/>
        <w:rPr>
          <w:spacing w:val="-3"/>
          <w:sz w:val="24"/>
        </w:rPr>
      </w:pPr>
      <w:r>
        <w:rPr>
          <w:spacing w:val="-3"/>
          <w:sz w:val="24"/>
        </w:rPr>
        <w:t>六、投标人参加本次政府采购活动要求在近三年内投标人和其法定代表人没有行贿犯罪行为。</w:t>
      </w:r>
    </w:p>
    <w:p w14:paraId="11D61886">
      <w:pPr>
        <w:keepNext w:val="0"/>
        <w:keepLines w:val="0"/>
        <w:pageBreakBefore w:val="0"/>
        <w:widowControl w:val="0"/>
        <w:kinsoku/>
        <w:wordWrap/>
        <w:overflowPunct/>
        <w:topLinePunct w:val="0"/>
        <w:autoSpaceDE w:val="0"/>
        <w:autoSpaceDN w:val="0"/>
        <w:bidi w:val="0"/>
        <w:adjustRightInd/>
        <w:snapToGrid/>
        <w:spacing w:before="0" w:line="357" w:lineRule="auto"/>
        <w:ind w:left="220" w:right="239" w:firstLine="468" w:firstLineChars="200"/>
        <w:jc w:val="both"/>
        <w:textAlignment w:val="auto"/>
        <w:outlineLvl w:val="9"/>
        <w:rPr>
          <w:spacing w:val="-3"/>
          <w:sz w:val="24"/>
        </w:rPr>
      </w:pPr>
      <w:r>
        <w:rPr>
          <w:spacing w:val="-3"/>
          <w:sz w:val="24"/>
        </w:rPr>
        <w:t>七、参加本次招标采购活动，不存在联合体投标。</w:t>
      </w:r>
    </w:p>
    <w:p w14:paraId="2106C373">
      <w:pPr>
        <w:keepNext w:val="0"/>
        <w:keepLines w:val="0"/>
        <w:pageBreakBefore w:val="0"/>
        <w:widowControl w:val="0"/>
        <w:kinsoku/>
        <w:wordWrap/>
        <w:overflowPunct/>
        <w:topLinePunct w:val="0"/>
        <w:autoSpaceDE w:val="0"/>
        <w:autoSpaceDN w:val="0"/>
        <w:bidi w:val="0"/>
        <w:adjustRightInd/>
        <w:snapToGrid/>
        <w:spacing w:before="0" w:line="357" w:lineRule="auto"/>
        <w:ind w:left="220" w:right="239" w:firstLine="468" w:firstLineChars="200"/>
        <w:jc w:val="both"/>
        <w:textAlignment w:val="auto"/>
        <w:outlineLvl w:val="9"/>
        <w:rPr>
          <w:spacing w:val="-3"/>
          <w:sz w:val="24"/>
        </w:rPr>
      </w:pPr>
      <w:r>
        <w:rPr>
          <w:spacing w:val="-3"/>
          <w:sz w:val="24"/>
        </w:rPr>
        <w:t>八、投标文件中提供的能够给予我公司带来优惠、好处的任何材料资料和技术、服务、商务等响应承诺情况都是真实的、有效的、合法的。</w:t>
      </w:r>
    </w:p>
    <w:p w14:paraId="206F33F4">
      <w:pPr>
        <w:keepNext w:val="0"/>
        <w:keepLines w:val="0"/>
        <w:pageBreakBefore w:val="0"/>
        <w:widowControl w:val="0"/>
        <w:kinsoku/>
        <w:wordWrap/>
        <w:overflowPunct/>
        <w:topLinePunct w:val="0"/>
        <w:autoSpaceDE w:val="0"/>
        <w:autoSpaceDN w:val="0"/>
        <w:bidi w:val="0"/>
        <w:adjustRightInd/>
        <w:snapToGrid/>
        <w:spacing w:before="0" w:line="357" w:lineRule="auto"/>
        <w:ind w:left="220" w:right="239" w:firstLine="468" w:firstLineChars="200"/>
        <w:jc w:val="both"/>
        <w:textAlignment w:val="auto"/>
        <w:outlineLvl w:val="9"/>
        <w:rPr>
          <w:spacing w:val="-3"/>
          <w:sz w:val="24"/>
        </w:rPr>
      </w:pPr>
      <w:r>
        <w:rPr>
          <w:spacing w:val="-3"/>
          <w:sz w:val="24"/>
        </w:rPr>
        <w:t>九、如本项目评标过程中需要提供样品，则我公司提供的样品即为中标后将要提供的中标产品，我公司对提供样品的性能和质量负责，因样品存在缺陷或者不符合招标文件要求导致未能中标的，我公司愿意承担相应不利后果。（如提供样品）</w:t>
      </w:r>
    </w:p>
    <w:p w14:paraId="24FA8E67">
      <w:pPr>
        <w:keepNext w:val="0"/>
        <w:keepLines w:val="0"/>
        <w:pageBreakBefore w:val="0"/>
        <w:widowControl w:val="0"/>
        <w:kinsoku/>
        <w:wordWrap/>
        <w:overflowPunct/>
        <w:topLinePunct w:val="0"/>
        <w:autoSpaceDE w:val="0"/>
        <w:autoSpaceDN w:val="0"/>
        <w:bidi w:val="0"/>
        <w:adjustRightInd/>
        <w:snapToGrid/>
        <w:spacing w:before="0" w:line="357" w:lineRule="auto"/>
        <w:ind w:left="220" w:right="239" w:firstLine="468" w:firstLineChars="200"/>
        <w:jc w:val="both"/>
        <w:textAlignment w:val="auto"/>
        <w:outlineLvl w:val="9"/>
        <w:rPr>
          <w:spacing w:val="-3"/>
          <w:sz w:val="24"/>
        </w:rPr>
      </w:pPr>
      <w:r>
        <w:rPr>
          <w:spacing w:val="-3"/>
          <w:sz w:val="24"/>
        </w:rPr>
        <w:t>十、存在以下行为之一的愿意接受相关部门的处理：</w:t>
      </w:r>
    </w:p>
    <w:p w14:paraId="10DC130B">
      <w:pPr>
        <w:keepNext w:val="0"/>
        <w:keepLines w:val="0"/>
        <w:pageBreakBefore w:val="0"/>
        <w:widowControl w:val="0"/>
        <w:kinsoku/>
        <w:wordWrap/>
        <w:overflowPunct/>
        <w:topLinePunct w:val="0"/>
        <w:autoSpaceDE w:val="0"/>
        <w:autoSpaceDN w:val="0"/>
        <w:bidi w:val="0"/>
        <w:adjustRightInd/>
        <w:snapToGrid/>
        <w:spacing w:before="0" w:line="357" w:lineRule="auto"/>
        <w:ind w:left="220" w:right="239" w:firstLine="468" w:firstLineChars="200"/>
        <w:jc w:val="both"/>
        <w:textAlignment w:val="auto"/>
        <w:outlineLvl w:val="9"/>
        <w:rPr>
          <w:spacing w:val="-3"/>
          <w:sz w:val="24"/>
        </w:rPr>
      </w:pPr>
      <w:r>
        <w:rPr>
          <w:spacing w:val="-3"/>
          <w:sz w:val="24"/>
        </w:rPr>
        <w:t>（一）投标有效期内撤销投标文件的；</w:t>
      </w:r>
    </w:p>
    <w:p w14:paraId="75EF1B0B">
      <w:pPr>
        <w:keepNext w:val="0"/>
        <w:keepLines w:val="0"/>
        <w:pageBreakBefore w:val="0"/>
        <w:widowControl w:val="0"/>
        <w:kinsoku/>
        <w:wordWrap/>
        <w:overflowPunct/>
        <w:topLinePunct w:val="0"/>
        <w:autoSpaceDE w:val="0"/>
        <w:autoSpaceDN w:val="0"/>
        <w:bidi w:val="0"/>
        <w:adjustRightInd/>
        <w:snapToGrid/>
        <w:spacing w:before="0" w:line="357" w:lineRule="auto"/>
        <w:ind w:left="220" w:right="239" w:firstLine="468" w:firstLineChars="200"/>
        <w:jc w:val="both"/>
        <w:textAlignment w:val="auto"/>
        <w:outlineLvl w:val="9"/>
        <w:rPr>
          <w:spacing w:val="-3"/>
          <w:sz w:val="24"/>
        </w:rPr>
      </w:pPr>
      <w:r>
        <w:rPr>
          <w:spacing w:val="-3"/>
          <w:sz w:val="24"/>
        </w:rPr>
        <w:t>（二）在采购人确定中标人以前放弃中标候选资格的；</w:t>
      </w:r>
    </w:p>
    <w:p w14:paraId="355C0E96">
      <w:pPr>
        <w:keepNext w:val="0"/>
        <w:keepLines w:val="0"/>
        <w:pageBreakBefore w:val="0"/>
        <w:widowControl w:val="0"/>
        <w:kinsoku/>
        <w:wordWrap/>
        <w:overflowPunct/>
        <w:topLinePunct w:val="0"/>
        <w:autoSpaceDE w:val="0"/>
        <w:autoSpaceDN w:val="0"/>
        <w:bidi w:val="0"/>
        <w:adjustRightInd/>
        <w:snapToGrid/>
        <w:spacing w:before="0" w:line="357" w:lineRule="auto"/>
        <w:ind w:left="220" w:right="239" w:firstLine="468" w:firstLineChars="200"/>
        <w:jc w:val="both"/>
        <w:textAlignment w:val="auto"/>
        <w:outlineLvl w:val="9"/>
        <w:rPr>
          <w:spacing w:val="-3"/>
          <w:sz w:val="24"/>
        </w:rPr>
      </w:pPr>
      <w:r>
        <w:rPr>
          <w:spacing w:val="-3"/>
          <w:sz w:val="24"/>
        </w:rPr>
        <w:t>（三）由于中标人的原因未能按照招标文件的规定与采购人签订合同；</w:t>
      </w:r>
    </w:p>
    <w:p w14:paraId="09657883">
      <w:pPr>
        <w:keepNext w:val="0"/>
        <w:keepLines w:val="0"/>
        <w:pageBreakBefore w:val="0"/>
        <w:widowControl w:val="0"/>
        <w:kinsoku/>
        <w:wordWrap/>
        <w:overflowPunct/>
        <w:topLinePunct w:val="0"/>
        <w:autoSpaceDE w:val="0"/>
        <w:autoSpaceDN w:val="0"/>
        <w:bidi w:val="0"/>
        <w:adjustRightInd/>
        <w:snapToGrid/>
        <w:spacing w:before="0" w:line="357" w:lineRule="auto"/>
        <w:ind w:left="220" w:right="239" w:firstLine="468" w:firstLineChars="200"/>
        <w:jc w:val="both"/>
        <w:textAlignment w:val="auto"/>
        <w:outlineLvl w:val="9"/>
        <w:rPr>
          <w:spacing w:val="-3"/>
          <w:sz w:val="24"/>
        </w:rPr>
      </w:pPr>
      <w:r>
        <w:rPr>
          <w:spacing w:val="-3"/>
          <w:sz w:val="24"/>
        </w:rPr>
        <w:t>（四）由于中标人的原因未能按照招标文件的规定交纳履约保证金；</w:t>
      </w:r>
    </w:p>
    <w:p w14:paraId="0F3A8656">
      <w:pPr>
        <w:keepNext w:val="0"/>
        <w:keepLines w:val="0"/>
        <w:pageBreakBefore w:val="0"/>
        <w:widowControl w:val="0"/>
        <w:kinsoku/>
        <w:wordWrap/>
        <w:overflowPunct/>
        <w:topLinePunct w:val="0"/>
        <w:autoSpaceDE w:val="0"/>
        <w:autoSpaceDN w:val="0"/>
        <w:bidi w:val="0"/>
        <w:adjustRightInd/>
        <w:snapToGrid/>
        <w:spacing w:before="0" w:line="357" w:lineRule="auto"/>
        <w:ind w:left="220" w:right="239" w:firstLine="468" w:firstLineChars="200"/>
        <w:jc w:val="both"/>
        <w:textAlignment w:val="auto"/>
        <w:outlineLvl w:val="9"/>
        <w:rPr>
          <w:spacing w:val="-3"/>
          <w:sz w:val="24"/>
        </w:rPr>
      </w:pPr>
      <w:r>
        <w:rPr>
          <w:spacing w:val="-3"/>
          <w:sz w:val="24"/>
        </w:rPr>
        <w:t>（五）在投标文件中提供虚假材料谋取中标；</w:t>
      </w:r>
    </w:p>
    <w:p w14:paraId="285082F5">
      <w:pPr>
        <w:keepNext w:val="0"/>
        <w:keepLines w:val="0"/>
        <w:pageBreakBefore w:val="0"/>
        <w:widowControl w:val="0"/>
        <w:kinsoku/>
        <w:wordWrap/>
        <w:overflowPunct/>
        <w:topLinePunct w:val="0"/>
        <w:autoSpaceDE w:val="0"/>
        <w:autoSpaceDN w:val="0"/>
        <w:bidi w:val="0"/>
        <w:adjustRightInd/>
        <w:snapToGrid/>
        <w:spacing w:before="0" w:line="357" w:lineRule="auto"/>
        <w:ind w:left="220" w:right="239" w:firstLine="468" w:firstLineChars="200"/>
        <w:jc w:val="both"/>
        <w:textAlignment w:val="auto"/>
        <w:outlineLvl w:val="9"/>
        <w:rPr>
          <w:spacing w:val="-3"/>
          <w:sz w:val="24"/>
        </w:rPr>
      </w:pPr>
      <w:r>
        <w:rPr>
          <w:spacing w:val="-3"/>
          <w:sz w:val="24"/>
        </w:rPr>
        <w:t>（六）与采购人、其他供应商或者采购代理机构恶意串通的；</w:t>
      </w:r>
    </w:p>
    <w:p w14:paraId="14D23358">
      <w:pPr>
        <w:keepNext w:val="0"/>
        <w:keepLines w:val="0"/>
        <w:pageBreakBefore w:val="0"/>
        <w:widowControl w:val="0"/>
        <w:kinsoku/>
        <w:wordWrap/>
        <w:overflowPunct/>
        <w:topLinePunct w:val="0"/>
        <w:autoSpaceDE w:val="0"/>
        <w:autoSpaceDN w:val="0"/>
        <w:bidi w:val="0"/>
        <w:adjustRightInd/>
        <w:snapToGrid/>
        <w:spacing w:before="0" w:line="357" w:lineRule="auto"/>
        <w:ind w:left="220" w:right="239" w:firstLine="468" w:firstLineChars="200"/>
        <w:jc w:val="both"/>
        <w:textAlignment w:val="auto"/>
        <w:outlineLvl w:val="9"/>
        <w:rPr>
          <w:spacing w:val="-3"/>
          <w:sz w:val="24"/>
        </w:rPr>
      </w:pPr>
      <w:r>
        <w:rPr>
          <w:spacing w:val="-3"/>
          <w:sz w:val="24"/>
        </w:rPr>
        <w:t>（七）投标有效期内，投标人在政府采购活动中有违法、违规、违纪行为。</w:t>
      </w:r>
    </w:p>
    <w:p w14:paraId="032E33BD">
      <w:pPr>
        <w:keepNext w:val="0"/>
        <w:keepLines w:val="0"/>
        <w:pageBreakBefore w:val="0"/>
        <w:widowControl w:val="0"/>
        <w:kinsoku/>
        <w:wordWrap/>
        <w:overflowPunct/>
        <w:topLinePunct w:val="0"/>
        <w:autoSpaceDE w:val="0"/>
        <w:autoSpaceDN w:val="0"/>
        <w:bidi w:val="0"/>
        <w:adjustRightInd/>
        <w:snapToGrid/>
        <w:spacing w:before="0" w:line="357" w:lineRule="auto"/>
        <w:ind w:left="220" w:right="239" w:firstLine="468" w:firstLineChars="200"/>
        <w:jc w:val="both"/>
        <w:textAlignment w:val="auto"/>
        <w:outlineLvl w:val="9"/>
        <w:rPr>
          <w:spacing w:val="-3"/>
          <w:sz w:val="24"/>
        </w:rPr>
      </w:pPr>
      <w:r>
        <w:rPr>
          <w:spacing w:val="-3"/>
          <w:sz w:val="24"/>
        </w:rPr>
        <w:t>由此产生的一切法律后果和责任由我公司承担,给采购人造成损失的，由我司赔偿采购人相关的损失。我公司声明放弃对此提出任何异议和追索的权利。</w:t>
      </w:r>
    </w:p>
    <w:p w14:paraId="3E1040D5">
      <w:pPr>
        <w:keepNext w:val="0"/>
        <w:keepLines w:val="0"/>
        <w:pageBreakBefore w:val="0"/>
        <w:widowControl w:val="0"/>
        <w:kinsoku/>
        <w:wordWrap/>
        <w:overflowPunct/>
        <w:topLinePunct w:val="0"/>
        <w:autoSpaceDE w:val="0"/>
        <w:autoSpaceDN w:val="0"/>
        <w:bidi w:val="0"/>
        <w:adjustRightInd/>
        <w:snapToGrid/>
        <w:spacing w:before="0" w:line="357" w:lineRule="auto"/>
        <w:ind w:left="220" w:right="239" w:firstLine="468" w:firstLineChars="200"/>
        <w:jc w:val="both"/>
        <w:textAlignment w:val="auto"/>
        <w:outlineLvl w:val="9"/>
        <w:rPr>
          <w:spacing w:val="-3"/>
          <w:sz w:val="24"/>
        </w:rPr>
      </w:pPr>
      <w:r>
        <w:rPr>
          <w:spacing w:val="-3"/>
          <w:sz w:val="24"/>
        </w:rPr>
        <w:t>本公司对上述承诺的内容事项真实性负责。如经查实上述承诺的内容事项存在虚假，我公司愿意接受以提供虚假材料谋取中标追究法律责任。</w:t>
      </w:r>
    </w:p>
    <w:p w14:paraId="63AA87CE">
      <w:pPr>
        <w:pStyle w:val="13"/>
        <w:spacing w:before="6"/>
        <w:jc w:val="both"/>
        <w:outlineLvl w:val="9"/>
        <w:rPr>
          <w:sz w:val="35"/>
        </w:rPr>
      </w:pPr>
    </w:p>
    <w:p w14:paraId="15D8D866">
      <w:pPr>
        <w:spacing w:before="0" w:line="360" w:lineRule="auto"/>
        <w:ind w:left="220" w:right="3863" w:firstLine="0"/>
        <w:jc w:val="both"/>
        <w:outlineLvl w:val="9"/>
        <w:rPr>
          <w:spacing w:val="-1"/>
          <w:sz w:val="24"/>
        </w:rPr>
      </w:pPr>
      <w:r>
        <w:rPr>
          <w:spacing w:val="-1"/>
          <w:sz w:val="24"/>
        </w:rPr>
        <w:t>投标人名称：（电子签章）</w:t>
      </w:r>
    </w:p>
    <w:p w14:paraId="7552C263">
      <w:pPr>
        <w:spacing w:before="0" w:line="360" w:lineRule="auto"/>
        <w:ind w:left="220" w:right="3863" w:firstLine="0"/>
        <w:jc w:val="both"/>
        <w:outlineLvl w:val="9"/>
        <w:rPr>
          <w:spacing w:val="-1"/>
          <w:sz w:val="24"/>
        </w:rPr>
      </w:pPr>
      <w:r>
        <w:rPr>
          <w:rFonts w:hint="eastAsia"/>
          <w:spacing w:val="-1"/>
          <w:sz w:val="24"/>
        </w:rPr>
        <w:t>法定代表人或其委托代理人：（电子签章/授权代表签字）</w:t>
      </w:r>
    </w:p>
    <w:p w14:paraId="2B7484A1">
      <w:pPr>
        <w:spacing w:before="0" w:line="360" w:lineRule="auto"/>
        <w:ind w:left="220" w:right="3863" w:firstLine="0"/>
        <w:jc w:val="both"/>
        <w:outlineLvl w:val="9"/>
        <w:rPr>
          <w:rFonts w:hint="default"/>
          <w:spacing w:val="-1"/>
          <w:sz w:val="24"/>
          <w:lang w:val="en-US" w:eastAsia="zh-CN"/>
        </w:rPr>
      </w:pPr>
      <w:r>
        <w:rPr>
          <w:spacing w:val="-1"/>
          <w:sz w:val="24"/>
        </w:rPr>
        <w:t>日期：</w:t>
      </w:r>
      <w:r>
        <w:rPr>
          <w:rFonts w:hint="eastAsia"/>
          <w:spacing w:val="-1"/>
          <w:sz w:val="24"/>
          <w:lang w:val="en-US" w:eastAsia="zh-CN"/>
        </w:rPr>
        <w:t>年月日</w:t>
      </w:r>
    </w:p>
    <w:p w14:paraId="76B5B2C2">
      <w:pPr>
        <w:pStyle w:val="13"/>
        <w:jc w:val="both"/>
        <w:outlineLvl w:val="9"/>
        <w:rPr>
          <w:sz w:val="24"/>
        </w:rPr>
      </w:pPr>
    </w:p>
    <w:p w14:paraId="5F29681B">
      <w:pPr>
        <w:pStyle w:val="13"/>
        <w:spacing w:before="7"/>
        <w:jc w:val="both"/>
        <w:outlineLvl w:val="9"/>
        <w:rPr>
          <w:sz w:val="24"/>
          <w:szCs w:val="24"/>
        </w:rPr>
      </w:pPr>
    </w:p>
    <w:p w14:paraId="335A2080">
      <w:pPr>
        <w:pStyle w:val="56"/>
        <w:numPr>
          <w:ilvl w:val="0"/>
          <w:numId w:val="0"/>
        </w:numPr>
        <w:tabs>
          <w:tab w:val="left" w:pos="929"/>
        </w:tabs>
        <w:spacing w:before="0" w:after="0" w:line="240" w:lineRule="auto"/>
        <w:ind w:left="220" w:leftChars="0" w:right="0" w:rightChars="0"/>
        <w:jc w:val="both"/>
        <w:outlineLvl w:val="9"/>
        <w:rPr>
          <w:b/>
          <w:color w:val="0000FF"/>
          <w:w w:val="95"/>
          <w:sz w:val="24"/>
          <w:szCs w:val="24"/>
        </w:rPr>
      </w:pPr>
      <w:bookmarkStart w:id="111" w:name="_bookmark25"/>
      <w:bookmarkEnd w:id="111"/>
      <w:r>
        <w:rPr>
          <w:rFonts w:hint="eastAsia" w:cs="宋体"/>
          <w:spacing w:val="-1"/>
          <w:sz w:val="24"/>
          <w:szCs w:val="24"/>
          <w:lang w:val="en-US" w:eastAsia="zh-CN"/>
        </w:rPr>
        <w:t>（6）</w:t>
      </w:r>
      <w:r>
        <w:rPr>
          <w:rFonts w:ascii="宋体" w:hAnsi="宋体" w:eastAsia="宋体" w:cs="宋体"/>
          <w:spacing w:val="-1"/>
          <w:sz w:val="24"/>
          <w:szCs w:val="24"/>
          <w:lang w:val="en-US" w:eastAsia="zh-CN"/>
        </w:rPr>
        <w:t>投标人认为需附的以及招标文件要求的其他资料</w:t>
      </w:r>
    </w:p>
    <w:p w14:paraId="73D34598">
      <w:pPr>
        <w:pStyle w:val="13"/>
        <w:rPr>
          <w:b/>
          <w:color w:val="000000" w:themeColor="text1"/>
          <w:w w:val="95"/>
          <w:sz w:val="24"/>
          <w14:textFill>
            <w14:solidFill>
              <w14:schemeClr w14:val="tx1"/>
            </w14:solidFill>
          </w14:textFill>
        </w:rPr>
      </w:pPr>
    </w:p>
    <w:p w14:paraId="50856DA7">
      <w:pPr>
        <w:pStyle w:val="25"/>
        <w:rPr>
          <w:b/>
          <w:color w:val="0000FF"/>
          <w:w w:val="95"/>
          <w:sz w:val="28"/>
        </w:rPr>
      </w:pPr>
    </w:p>
    <w:p w14:paraId="66A3CF8F">
      <w:pPr>
        <w:pStyle w:val="29"/>
        <w:spacing w:line="360" w:lineRule="auto"/>
        <w:ind w:left="0" w:leftChars="0" w:firstLine="0" w:firstLineChars="0"/>
        <w:rPr>
          <w:rFonts w:ascii="宋体" w:hAnsi="宋体"/>
        </w:rPr>
      </w:pPr>
    </w:p>
    <w:p w14:paraId="2ACB3188">
      <w:pPr>
        <w:widowControl/>
        <w:jc w:val="left"/>
      </w:pPr>
      <w:r>
        <w:br w:type="page"/>
      </w:r>
    </w:p>
    <w:p w14:paraId="5CBC63D2">
      <w:pPr>
        <w:pStyle w:val="13"/>
        <w:keepNext w:val="0"/>
        <w:keepLines w:val="0"/>
        <w:pageBreakBefore w:val="0"/>
        <w:widowControl/>
        <w:kinsoku/>
        <w:wordWrap w:val="0"/>
        <w:overflowPunct/>
        <w:topLinePunct w:val="0"/>
        <w:autoSpaceDE w:val="0"/>
        <w:autoSpaceDN w:val="0"/>
        <w:bidi w:val="0"/>
        <w:adjustRightInd w:val="0"/>
        <w:snapToGrid w:val="0"/>
        <w:spacing w:line="360" w:lineRule="auto"/>
        <w:ind w:left="0" w:right="0"/>
        <w:jc w:val="center"/>
        <w:textAlignment w:val="baseline"/>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pacing w:val="-2"/>
          <w:sz w:val="36"/>
          <w:szCs w:val="36"/>
          <w:lang w:val="en-US" w:eastAsia="zh-CN"/>
          <w14:textOutline w14:w="2311" w14:cap="flat" w14:cmpd="sng" w14:algn="ctr">
            <w14:solidFill>
              <w14:srgbClr w14:val="000000"/>
            </w14:solidFill>
            <w14:prstDash w14:val="solid"/>
            <w14:miter w14:val="0"/>
          </w14:textOutline>
        </w:rPr>
        <w:t>八</w:t>
      </w:r>
      <w:r>
        <w:rPr>
          <w:rFonts w:hint="eastAsia" w:asciiTheme="minorEastAsia" w:hAnsiTheme="minorEastAsia" w:eastAsiaTheme="minorEastAsia" w:cstheme="minorEastAsia"/>
          <w:spacing w:val="-2"/>
          <w:sz w:val="36"/>
          <w:szCs w:val="36"/>
          <w:lang w:eastAsia="zh-CN"/>
          <w14:textOutline w14:w="2311" w14:cap="flat" w14:cmpd="sng" w14:algn="ctr">
            <w14:solidFill>
              <w14:srgbClr w14:val="000000"/>
            </w14:solidFill>
            <w14:prstDash w14:val="solid"/>
            <w14:miter w14:val="0"/>
          </w14:textOutline>
        </w:rPr>
        <w:t>、</w:t>
      </w:r>
      <w:r>
        <w:rPr>
          <w:rFonts w:hint="eastAsia" w:asciiTheme="minorEastAsia" w:hAnsiTheme="minorEastAsia" w:eastAsiaTheme="minorEastAsia" w:cstheme="minorEastAsia"/>
          <w:spacing w:val="-2"/>
          <w:sz w:val="36"/>
          <w:szCs w:val="36"/>
          <w14:textOutline w14:w="2306" w14:cap="flat" w14:cmpd="sng">
            <w14:solidFill>
              <w14:srgbClr w14:val="000000"/>
            </w14:solidFill>
            <w14:prstDash w14:val="solid"/>
            <w14:miter w14:val="0"/>
          </w14:textOutline>
        </w:rPr>
        <w:t>中小企业声明函（服务）格式</w:t>
      </w:r>
    </w:p>
    <w:p w14:paraId="16E2865D">
      <w:pPr>
        <w:keepNext w:val="0"/>
        <w:keepLines w:val="0"/>
        <w:pageBreakBefore w:val="0"/>
        <w:widowControl/>
        <w:kinsoku/>
        <w:wordWrap w:val="0"/>
        <w:overflowPunct/>
        <w:topLinePunct w:val="0"/>
        <w:autoSpaceDE w:val="0"/>
        <w:autoSpaceDN w:val="0"/>
        <w:bidi w:val="0"/>
        <w:adjustRightInd w:val="0"/>
        <w:snapToGrid w:val="0"/>
        <w:spacing w:line="360" w:lineRule="auto"/>
        <w:ind w:left="0" w:right="0"/>
        <w:jc w:val="both"/>
        <w:textAlignment w:val="baseline"/>
        <w:rPr>
          <w:rFonts w:hint="eastAsia" w:asciiTheme="minorEastAsia" w:hAnsiTheme="minorEastAsia" w:eastAsiaTheme="minorEastAsia" w:cstheme="minorEastAsia"/>
          <w:sz w:val="21"/>
        </w:rPr>
      </w:pPr>
    </w:p>
    <w:p w14:paraId="0360A44C">
      <w:pPr>
        <w:pStyle w:val="13"/>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505"/>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本公司（联合体）郑重声明，根据《政府采购促进中小企业发展管理办法》（财</w:t>
      </w:r>
      <w:r>
        <w:rPr>
          <w:rFonts w:hint="eastAsia" w:asciiTheme="minorEastAsia" w:hAnsiTheme="minorEastAsia" w:eastAsiaTheme="minorEastAsia" w:cstheme="minorEastAsia"/>
          <w:spacing w:val="10"/>
          <w:sz w:val="24"/>
          <w:szCs w:val="24"/>
        </w:rPr>
        <w:t>库﹝2020﹞46 号）</w:t>
      </w:r>
      <w:r>
        <w:rPr>
          <w:rFonts w:hint="eastAsia" w:asciiTheme="minorEastAsia" w:hAnsiTheme="minorEastAsia" w:eastAsiaTheme="minorEastAsia" w:cstheme="minorEastAsia"/>
          <w:spacing w:val="-66"/>
          <w:sz w:val="24"/>
          <w:szCs w:val="24"/>
        </w:rPr>
        <w:t xml:space="preserve"> </w:t>
      </w:r>
      <w:r>
        <w:rPr>
          <w:rFonts w:hint="eastAsia" w:asciiTheme="minorEastAsia" w:hAnsiTheme="minorEastAsia" w:eastAsiaTheme="minorEastAsia" w:cstheme="minorEastAsia"/>
          <w:spacing w:val="10"/>
          <w:sz w:val="24"/>
          <w:szCs w:val="24"/>
        </w:rPr>
        <w:t>的规定，本公司（联合体）参加（单位名称）</w:t>
      </w:r>
      <w:r>
        <w:rPr>
          <w:rFonts w:hint="eastAsia" w:asciiTheme="minorEastAsia" w:hAnsiTheme="minorEastAsia" w:eastAsiaTheme="minorEastAsia" w:cstheme="minorEastAsia"/>
          <w:spacing w:val="-67"/>
          <w:sz w:val="24"/>
          <w:szCs w:val="24"/>
        </w:rPr>
        <w:t xml:space="preserve"> </w:t>
      </w:r>
      <w:r>
        <w:rPr>
          <w:rFonts w:hint="eastAsia" w:asciiTheme="minorEastAsia" w:hAnsiTheme="minorEastAsia" w:eastAsiaTheme="minorEastAsia" w:cstheme="minorEastAsia"/>
          <w:spacing w:val="10"/>
          <w:sz w:val="24"/>
          <w:szCs w:val="24"/>
        </w:rPr>
        <w:t>的（项目</w:t>
      </w:r>
      <w:r>
        <w:rPr>
          <w:rFonts w:hint="eastAsia" w:asciiTheme="minorEastAsia" w:hAnsiTheme="minorEastAsia" w:eastAsiaTheme="minorEastAsia" w:cstheme="minorEastAsia"/>
          <w:spacing w:val="9"/>
          <w:sz w:val="24"/>
          <w:szCs w:val="24"/>
        </w:rPr>
        <w:t>名称）</w:t>
      </w:r>
      <w:r>
        <w:rPr>
          <w:rFonts w:hint="eastAsia" w:asciiTheme="minorEastAsia" w:hAnsiTheme="minorEastAsia" w:eastAsiaTheme="minorEastAsia" w:cstheme="minorEastAsia"/>
          <w:spacing w:val="12"/>
          <w:sz w:val="24"/>
          <w:szCs w:val="24"/>
        </w:rPr>
        <w:t>采购活动，工程的施工单位全部为符合政策要求</w:t>
      </w:r>
      <w:r>
        <w:rPr>
          <w:rFonts w:hint="eastAsia" w:asciiTheme="minorEastAsia" w:hAnsiTheme="minorEastAsia" w:eastAsiaTheme="minorEastAsia" w:cstheme="minorEastAsia"/>
          <w:spacing w:val="11"/>
          <w:sz w:val="24"/>
          <w:szCs w:val="24"/>
        </w:rPr>
        <w:t>的中小企业（或者：服务全部由符</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pacing w:val="5"/>
          <w:sz w:val="24"/>
          <w:szCs w:val="24"/>
        </w:rPr>
        <w:t>合政策要求的中小企业承接）。相关企业（含联合体中的中小企业</w:t>
      </w:r>
      <w:r>
        <w:rPr>
          <w:rFonts w:hint="eastAsia" w:asciiTheme="minorEastAsia" w:hAnsiTheme="minorEastAsia" w:eastAsiaTheme="minorEastAsia" w:cstheme="minorEastAsia"/>
          <w:spacing w:val="4"/>
          <w:sz w:val="24"/>
          <w:szCs w:val="24"/>
        </w:rPr>
        <w:t>、签订分包意向协</w:t>
      </w:r>
      <w:r>
        <w:rPr>
          <w:rFonts w:hint="eastAsia" w:asciiTheme="minorEastAsia" w:hAnsiTheme="minorEastAsia" w:eastAsiaTheme="minorEastAsia" w:cstheme="minorEastAsia"/>
          <w:spacing w:val="6"/>
          <w:sz w:val="24"/>
          <w:szCs w:val="24"/>
        </w:rPr>
        <w:t>议的中小企业）</w:t>
      </w:r>
      <w:r>
        <w:rPr>
          <w:rFonts w:hint="eastAsia" w:asciiTheme="minorEastAsia" w:hAnsiTheme="minorEastAsia" w:eastAsiaTheme="minorEastAsia" w:cstheme="minorEastAsia"/>
          <w:spacing w:val="-65"/>
          <w:sz w:val="24"/>
          <w:szCs w:val="24"/>
        </w:rPr>
        <w:t xml:space="preserve"> </w:t>
      </w:r>
      <w:r>
        <w:rPr>
          <w:rFonts w:hint="eastAsia" w:asciiTheme="minorEastAsia" w:hAnsiTheme="minorEastAsia" w:eastAsiaTheme="minorEastAsia" w:cstheme="minorEastAsia"/>
          <w:spacing w:val="6"/>
          <w:sz w:val="24"/>
          <w:szCs w:val="24"/>
        </w:rPr>
        <w:t>的具体情况如下：</w:t>
      </w:r>
    </w:p>
    <w:p w14:paraId="5892908E">
      <w:pPr>
        <w:pStyle w:val="13"/>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518"/>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8"/>
          <w:sz w:val="24"/>
          <w:szCs w:val="24"/>
        </w:rPr>
        <w:t>1.</w:t>
      </w:r>
      <w:r>
        <w:rPr>
          <w:rFonts w:hint="eastAsia" w:asciiTheme="minorEastAsia" w:hAnsiTheme="minorEastAsia" w:eastAsiaTheme="minorEastAsia" w:cstheme="minorEastAsia"/>
          <w:spacing w:val="8"/>
          <w:sz w:val="24"/>
          <w:szCs w:val="24"/>
          <w:u w:val="single" w:color="auto"/>
        </w:rPr>
        <w:t>（标的名称</w:t>
      </w:r>
      <w:r>
        <w:rPr>
          <w:rFonts w:hint="eastAsia" w:asciiTheme="minorEastAsia" w:hAnsiTheme="minorEastAsia" w:eastAsiaTheme="minorEastAsia" w:cstheme="minorEastAsia"/>
          <w:spacing w:val="-48"/>
          <w:sz w:val="24"/>
          <w:szCs w:val="24"/>
          <w:u w:val="single" w:color="auto"/>
        </w:rPr>
        <w:t>）</w:t>
      </w:r>
      <w:r>
        <w:rPr>
          <w:rFonts w:hint="eastAsia" w:asciiTheme="minorEastAsia" w:hAnsiTheme="minorEastAsia" w:eastAsiaTheme="minorEastAsia" w:cstheme="minorEastAsia"/>
          <w:spacing w:val="-48"/>
          <w:sz w:val="24"/>
          <w:szCs w:val="24"/>
        </w:rPr>
        <w:t>，</w:t>
      </w:r>
      <w:r>
        <w:rPr>
          <w:rFonts w:hint="eastAsia" w:asciiTheme="minorEastAsia" w:hAnsiTheme="minorEastAsia" w:eastAsiaTheme="minorEastAsia" w:cstheme="minorEastAsia"/>
          <w:spacing w:val="8"/>
          <w:sz w:val="24"/>
          <w:szCs w:val="24"/>
        </w:rPr>
        <w:t>属于</w:t>
      </w:r>
      <w:r>
        <w:rPr>
          <w:rFonts w:hint="eastAsia" w:asciiTheme="minorEastAsia" w:hAnsiTheme="minorEastAsia" w:eastAsiaTheme="minorEastAsia" w:cstheme="minorEastAsia"/>
          <w:spacing w:val="8"/>
          <w:sz w:val="24"/>
          <w:szCs w:val="24"/>
          <w:u w:val="single" w:color="auto"/>
        </w:rPr>
        <w:t>（采购文件中明确的所属行业）</w:t>
      </w:r>
      <w:r>
        <w:rPr>
          <w:rFonts w:hint="eastAsia" w:asciiTheme="minorEastAsia" w:hAnsiTheme="minorEastAsia" w:eastAsiaTheme="minorEastAsia" w:cstheme="minorEastAsia"/>
          <w:spacing w:val="8"/>
          <w:sz w:val="24"/>
          <w:szCs w:val="24"/>
        </w:rPr>
        <w:t>行业；承建</w:t>
      </w:r>
      <w:r>
        <w:rPr>
          <w:rFonts w:hint="eastAsia" w:asciiTheme="minorEastAsia" w:hAnsiTheme="minorEastAsia" w:eastAsiaTheme="minorEastAsia" w:cstheme="minorEastAsia"/>
          <w:spacing w:val="7"/>
          <w:sz w:val="24"/>
          <w:szCs w:val="24"/>
        </w:rPr>
        <w:t>（承接）企业</w:t>
      </w:r>
      <w:r>
        <w:rPr>
          <w:rFonts w:hint="eastAsia" w:asciiTheme="minorEastAsia" w:hAnsiTheme="minorEastAsia" w:eastAsiaTheme="minorEastAsia" w:cstheme="minorEastAsia"/>
          <w:spacing w:val="1"/>
          <w:sz w:val="24"/>
          <w:szCs w:val="24"/>
        </w:rPr>
        <w:t xml:space="preserve"> </w:t>
      </w:r>
      <w:r>
        <w:rPr>
          <w:rFonts w:hint="eastAsia" w:asciiTheme="minorEastAsia" w:hAnsiTheme="minorEastAsia" w:eastAsiaTheme="minorEastAsia" w:cstheme="minorEastAsia"/>
          <w:spacing w:val="7"/>
          <w:sz w:val="24"/>
          <w:szCs w:val="24"/>
        </w:rPr>
        <w:t>为</w:t>
      </w:r>
      <w:r>
        <w:rPr>
          <w:rFonts w:hint="eastAsia" w:asciiTheme="minorEastAsia" w:hAnsiTheme="minorEastAsia" w:eastAsiaTheme="minorEastAsia" w:cstheme="minorEastAsia"/>
          <w:spacing w:val="7"/>
          <w:sz w:val="24"/>
          <w:szCs w:val="24"/>
          <w:u w:val="single" w:color="auto"/>
        </w:rPr>
        <w:t>（企业名称</w:t>
      </w:r>
      <w:r>
        <w:rPr>
          <w:rFonts w:hint="eastAsia" w:asciiTheme="minorEastAsia" w:hAnsiTheme="minorEastAsia" w:eastAsiaTheme="minorEastAsia" w:cstheme="minorEastAsia"/>
          <w:spacing w:val="-25"/>
          <w:sz w:val="24"/>
          <w:szCs w:val="24"/>
          <w:u w:val="single" w:color="auto"/>
        </w:rPr>
        <w:t>）</w:t>
      </w:r>
      <w:r>
        <w:rPr>
          <w:rFonts w:hint="eastAsia" w:asciiTheme="minorEastAsia" w:hAnsiTheme="minorEastAsia" w:eastAsiaTheme="minorEastAsia" w:cstheme="minorEastAsia"/>
          <w:spacing w:val="-25"/>
          <w:sz w:val="24"/>
          <w:szCs w:val="24"/>
        </w:rPr>
        <w:t>，</w:t>
      </w:r>
      <w:r>
        <w:rPr>
          <w:rFonts w:hint="eastAsia" w:asciiTheme="minorEastAsia" w:hAnsiTheme="minorEastAsia" w:eastAsiaTheme="minorEastAsia" w:cstheme="minorEastAsia"/>
          <w:spacing w:val="7"/>
          <w:sz w:val="24"/>
          <w:szCs w:val="24"/>
        </w:rPr>
        <w:t>从业人员</w:t>
      </w:r>
      <w:r>
        <w:rPr>
          <w:rFonts w:hint="eastAsia" w:asciiTheme="minorEastAsia" w:hAnsiTheme="minorEastAsia" w:eastAsiaTheme="minorEastAsia" w:cstheme="minorEastAsia"/>
          <w:spacing w:val="-105"/>
          <w:sz w:val="24"/>
          <w:szCs w:val="24"/>
        </w:rPr>
        <w:t xml:space="preserve"> </w:t>
      </w:r>
      <w:r>
        <w:rPr>
          <w:rFonts w:hint="eastAsia" w:asciiTheme="minorEastAsia" w:hAnsiTheme="minorEastAsia" w:eastAsiaTheme="minorEastAsia" w:cstheme="minorEastAsia"/>
          <w:spacing w:val="5"/>
          <w:sz w:val="24"/>
          <w:szCs w:val="24"/>
          <w:u w:val="single" w:color="auto"/>
        </w:rPr>
        <w:t xml:space="preserve">      </w:t>
      </w:r>
      <w:r>
        <w:rPr>
          <w:rFonts w:hint="eastAsia" w:asciiTheme="minorEastAsia" w:hAnsiTheme="minorEastAsia" w:eastAsiaTheme="minorEastAsia" w:cstheme="minorEastAsia"/>
          <w:spacing w:val="-96"/>
          <w:sz w:val="24"/>
          <w:szCs w:val="24"/>
        </w:rPr>
        <w:t xml:space="preserve"> </w:t>
      </w:r>
      <w:r>
        <w:rPr>
          <w:rFonts w:hint="eastAsia" w:asciiTheme="minorEastAsia" w:hAnsiTheme="minorEastAsia" w:eastAsiaTheme="minorEastAsia" w:cstheme="minorEastAsia"/>
          <w:spacing w:val="7"/>
          <w:sz w:val="24"/>
          <w:szCs w:val="24"/>
        </w:rPr>
        <w:t>人，</w:t>
      </w:r>
      <w:r>
        <w:rPr>
          <w:rFonts w:hint="eastAsia" w:asciiTheme="minorEastAsia" w:hAnsiTheme="minorEastAsia" w:eastAsiaTheme="minorEastAsia" w:cstheme="minorEastAsia"/>
          <w:spacing w:val="-70"/>
          <w:sz w:val="24"/>
          <w:szCs w:val="24"/>
        </w:rPr>
        <w:t xml:space="preserve"> </w:t>
      </w:r>
      <w:r>
        <w:rPr>
          <w:rFonts w:hint="eastAsia" w:asciiTheme="minorEastAsia" w:hAnsiTheme="minorEastAsia" w:eastAsiaTheme="minorEastAsia" w:cstheme="minorEastAsia"/>
          <w:spacing w:val="7"/>
          <w:sz w:val="24"/>
          <w:szCs w:val="24"/>
        </w:rPr>
        <w:t>营业收入为</w:t>
      </w:r>
      <w:r>
        <w:rPr>
          <w:rFonts w:hint="eastAsia" w:asciiTheme="minorEastAsia" w:hAnsiTheme="minorEastAsia" w:eastAsiaTheme="minorEastAsia" w:cstheme="minorEastAsia"/>
          <w:spacing w:val="-108"/>
          <w:sz w:val="24"/>
          <w:szCs w:val="24"/>
        </w:rPr>
        <w:t xml:space="preserve"> </w:t>
      </w:r>
      <w:r>
        <w:rPr>
          <w:rFonts w:hint="eastAsia" w:asciiTheme="minorEastAsia" w:hAnsiTheme="minorEastAsia" w:eastAsiaTheme="minorEastAsia" w:cstheme="minorEastAsia"/>
          <w:spacing w:val="5"/>
          <w:sz w:val="24"/>
          <w:szCs w:val="24"/>
          <w:u w:val="single" w:color="auto"/>
        </w:rPr>
        <w:t xml:space="preserve">      </w:t>
      </w:r>
      <w:r>
        <w:rPr>
          <w:rFonts w:hint="eastAsia" w:asciiTheme="minorEastAsia" w:hAnsiTheme="minorEastAsia" w:eastAsiaTheme="minorEastAsia" w:cstheme="minorEastAsia"/>
          <w:spacing w:val="-91"/>
          <w:sz w:val="24"/>
          <w:szCs w:val="24"/>
        </w:rPr>
        <w:t xml:space="preserve"> </w:t>
      </w:r>
      <w:r>
        <w:rPr>
          <w:rFonts w:hint="eastAsia" w:asciiTheme="minorEastAsia" w:hAnsiTheme="minorEastAsia" w:eastAsiaTheme="minorEastAsia" w:cstheme="minorEastAsia"/>
          <w:spacing w:val="7"/>
          <w:sz w:val="24"/>
          <w:szCs w:val="24"/>
        </w:rPr>
        <w:t>万元，</w:t>
      </w:r>
      <w:r>
        <w:rPr>
          <w:rFonts w:hint="eastAsia" w:asciiTheme="minorEastAsia" w:hAnsiTheme="minorEastAsia" w:eastAsiaTheme="minorEastAsia" w:cstheme="minorEastAsia"/>
          <w:spacing w:val="-70"/>
          <w:sz w:val="24"/>
          <w:szCs w:val="24"/>
        </w:rPr>
        <w:t xml:space="preserve"> </w:t>
      </w:r>
      <w:r>
        <w:rPr>
          <w:rFonts w:hint="eastAsia" w:asciiTheme="minorEastAsia" w:hAnsiTheme="minorEastAsia" w:eastAsiaTheme="minorEastAsia" w:cstheme="minorEastAsia"/>
          <w:spacing w:val="7"/>
          <w:sz w:val="24"/>
          <w:szCs w:val="24"/>
        </w:rPr>
        <w:t>资产总额为</w:t>
      </w:r>
      <w:r>
        <w:rPr>
          <w:rFonts w:hint="eastAsia" w:asciiTheme="minorEastAsia" w:hAnsiTheme="minorEastAsia" w:eastAsiaTheme="minorEastAsia" w:cstheme="minorEastAsia"/>
          <w:spacing w:val="-107"/>
          <w:sz w:val="24"/>
          <w:szCs w:val="24"/>
        </w:rPr>
        <w:t xml:space="preserve">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pacing w:val="8"/>
          <w:sz w:val="24"/>
          <w:szCs w:val="24"/>
        </w:rPr>
        <w:t>万元</w:t>
      </w:r>
      <w:r>
        <w:rPr>
          <w:rFonts w:hint="eastAsia" w:asciiTheme="minorEastAsia" w:hAnsiTheme="minorEastAsia" w:eastAsiaTheme="minorEastAsia" w:cstheme="minorEastAsia"/>
          <w:spacing w:val="-26"/>
          <w:sz w:val="24"/>
          <w:szCs w:val="24"/>
        </w:rPr>
        <w:t xml:space="preserve"> </w:t>
      </w:r>
      <w:r>
        <w:rPr>
          <w:rFonts w:hint="eastAsia" w:asciiTheme="minorEastAsia" w:hAnsiTheme="minorEastAsia" w:eastAsiaTheme="minorEastAsia" w:cstheme="minorEastAsia"/>
          <w:spacing w:val="8"/>
          <w:position w:val="6"/>
          <w:sz w:val="16"/>
          <w:szCs w:val="16"/>
        </w:rPr>
        <w:t>1</w:t>
      </w:r>
      <w:r>
        <w:rPr>
          <w:rFonts w:hint="eastAsia" w:asciiTheme="minorEastAsia" w:hAnsiTheme="minorEastAsia" w:eastAsiaTheme="minorEastAsia" w:cstheme="minorEastAsia"/>
          <w:spacing w:val="-12"/>
          <w:position w:val="6"/>
          <w:sz w:val="16"/>
          <w:szCs w:val="16"/>
        </w:rPr>
        <w:t xml:space="preserve"> </w:t>
      </w:r>
      <w:r>
        <w:rPr>
          <w:rFonts w:hint="eastAsia" w:asciiTheme="minorEastAsia" w:hAnsiTheme="minorEastAsia" w:eastAsiaTheme="minorEastAsia" w:cstheme="minorEastAsia"/>
          <w:spacing w:val="8"/>
          <w:sz w:val="24"/>
          <w:szCs w:val="24"/>
        </w:rPr>
        <w:t>，属于</w:t>
      </w:r>
      <w:r>
        <w:rPr>
          <w:rFonts w:hint="eastAsia" w:asciiTheme="minorEastAsia" w:hAnsiTheme="minorEastAsia" w:eastAsiaTheme="minorEastAsia" w:cstheme="minorEastAsia"/>
          <w:spacing w:val="8"/>
          <w:sz w:val="24"/>
          <w:szCs w:val="24"/>
          <w:u w:val="single" w:color="auto"/>
        </w:rPr>
        <w:t>（中型企业、小型企业、微型企业</w:t>
      </w:r>
      <w:r>
        <w:rPr>
          <w:rFonts w:hint="eastAsia" w:asciiTheme="minorEastAsia" w:hAnsiTheme="minorEastAsia" w:eastAsiaTheme="minorEastAsia" w:cstheme="minorEastAsia"/>
          <w:spacing w:val="-50"/>
          <w:sz w:val="24"/>
          <w:szCs w:val="24"/>
          <w:u w:val="single" w:color="auto"/>
        </w:rPr>
        <w:t>）</w:t>
      </w:r>
      <w:r>
        <w:rPr>
          <w:rFonts w:hint="eastAsia" w:asciiTheme="minorEastAsia" w:hAnsiTheme="minorEastAsia" w:eastAsiaTheme="minorEastAsia" w:cstheme="minorEastAsia"/>
          <w:spacing w:val="-50"/>
          <w:sz w:val="24"/>
          <w:szCs w:val="24"/>
        </w:rPr>
        <w:t>；</w:t>
      </w:r>
    </w:p>
    <w:p w14:paraId="1AFD2394">
      <w:pPr>
        <w:pStyle w:val="13"/>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509"/>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8"/>
          <w:sz w:val="24"/>
          <w:szCs w:val="24"/>
        </w:rPr>
        <w:t>2.</w:t>
      </w:r>
      <w:r>
        <w:rPr>
          <w:rFonts w:hint="eastAsia" w:asciiTheme="minorEastAsia" w:hAnsiTheme="minorEastAsia" w:eastAsiaTheme="minorEastAsia" w:cstheme="minorEastAsia"/>
          <w:spacing w:val="8"/>
          <w:sz w:val="24"/>
          <w:szCs w:val="24"/>
          <w:u w:val="single" w:color="auto"/>
        </w:rPr>
        <w:t>（标的名称</w:t>
      </w:r>
      <w:r>
        <w:rPr>
          <w:rFonts w:hint="eastAsia" w:asciiTheme="minorEastAsia" w:hAnsiTheme="minorEastAsia" w:eastAsiaTheme="minorEastAsia" w:cstheme="minorEastAsia"/>
          <w:spacing w:val="-46"/>
          <w:sz w:val="24"/>
          <w:szCs w:val="24"/>
          <w:u w:val="single" w:color="auto"/>
        </w:rPr>
        <w:t>）</w:t>
      </w:r>
      <w:r>
        <w:rPr>
          <w:rFonts w:hint="eastAsia" w:asciiTheme="minorEastAsia" w:hAnsiTheme="minorEastAsia" w:eastAsiaTheme="minorEastAsia" w:cstheme="minorEastAsia"/>
          <w:spacing w:val="-46"/>
          <w:sz w:val="24"/>
          <w:szCs w:val="24"/>
        </w:rPr>
        <w:t>，</w:t>
      </w:r>
      <w:r>
        <w:rPr>
          <w:rFonts w:hint="eastAsia" w:asciiTheme="minorEastAsia" w:hAnsiTheme="minorEastAsia" w:eastAsiaTheme="minorEastAsia" w:cstheme="minorEastAsia"/>
          <w:spacing w:val="8"/>
          <w:sz w:val="24"/>
          <w:szCs w:val="24"/>
        </w:rPr>
        <w:t>属于</w:t>
      </w:r>
      <w:r>
        <w:rPr>
          <w:rFonts w:hint="eastAsia" w:asciiTheme="minorEastAsia" w:hAnsiTheme="minorEastAsia" w:eastAsiaTheme="minorEastAsia" w:cstheme="minorEastAsia"/>
          <w:spacing w:val="8"/>
          <w:sz w:val="24"/>
          <w:szCs w:val="24"/>
          <w:u w:val="single" w:color="auto"/>
        </w:rPr>
        <w:t>（采购文件中明确的所属行业）</w:t>
      </w:r>
      <w:r>
        <w:rPr>
          <w:rFonts w:hint="eastAsia" w:asciiTheme="minorEastAsia" w:hAnsiTheme="minorEastAsia" w:eastAsiaTheme="minorEastAsia" w:cstheme="minorEastAsia"/>
          <w:spacing w:val="8"/>
          <w:sz w:val="24"/>
          <w:szCs w:val="24"/>
        </w:rPr>
        <w:t>行业；承建（承接）企业</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pacing w:val="7"/>
          <w:sz w:val="24"/>
          <w:szCs w:val="24"/>
        </w:rPr>
        <w:t>为</w:t>
      </w:r>
      <w:r>
        <w:rPr>
          <w:rFonts w:hint="eastAsia" w:asciiTheme="minorEastAsia" w:hAnsiTheme="minorEastAsia" w:eastAsiaTheme="minorEastAsia" w:cstheme="minorEastAsia"/>
          <w:spacing w:val="7"/>
          <w:sz w:val="24"/>
          <w:szCs w:val="24"/>
          <w:u w:val="single" w:color="auto"/>
        </w:rPr>
        <w:t>（企业名称</w:t>
      </w:r>
      <w:r>
        <w:rPr>
          <w:rFonts w:hint="eastAsia" w:asciiTheme="minorEastAsia" w:hAnsiTheme="minorEastAsia" w:eastAsiaTheme="minorEastAsia" w:cstheme="minorEastAsia"/>
          <w:spacing w:val="-25"/>
          <w:sz w:val="24"/>
          <w:szCs w:val="24"/>
          <w:u w:val="single" w:color="auto"/>
        </w:rPr>
        <w:t>）</w:t>
      </w:r>
      <w:r>
        <w:rPr>
          <w:rFonts w:hint="eastAsia" w:asciiTheme="minorEastAsia" w:hAnsiTheme="minorEastAsia" w:eastAsiaTheme="minorEastAsia" w:cstheme="minorEastAsia"/>
          <w:spacing w:val="-25"/>
          <w:sz w:val="24"/>
          <w:szCs w:val="24"/>
        </w:rPr>
        <w:t>，</w:t>
      </w:r>
      <w:r>
        <w:rPr>
          <w:rFonts w:hint="eastAsia" w:asciiTheme="minorEastAsia" w:hAnsiTheme="minorEastAsia" w:eastAsiaTheme="minorEastAsia" w:cstheme="minorEastAsia"/>
          <w:spacing w:val="7"/>
          <w:sz w:val="24"/>
          <w:szCs w:val="24"/>
        </w:rPr>
        <w:t>从业人员</w:t>
      </w:r>
      <w:r>
        <w:rPr>
          <w:rFonts w:hint="eastAsia" w:asciiTheme="minorEastAsia" w:hAnsiTheme="minorEastAsia" w:eastAsiaTheme="minorEastAsia" w:cstheme="minorEastAsia"/>
          <w:spacing w:val="-105"/>
          <w:sz w:val="24"/>
          <w:szCs w:val="24"/>
        </w:rPr>
        <w:t xml:space="preserve"> </w:t>
      </w:r>
      <w:r>
        <w:rPr>
          <w:rFonts w:hint="eastAsia" w:asciiTheme="minorEastAsia" w:hAnsiTheme="minorEastAsia" w:eastAsiaTheme="minorEastAsia" w:cstheme="minorEastAsia"/>
          <w:spacing w:val="5"/>
          <w:sz w:val="24"/>
          <w:szCs w:val="24"/>
          <w:u w:val="single" w:color="auto"/>
        </w:rPr>
        <w:t xml:space="preserve">      </w:t>
      </w:r>
      <w:r>
        <w:rPr>
          <w:rFonts w:hint="eastAsia" w:asciiTheme="minorEastAsia" w:hAnsiTheme="minorEastAsia" w:eastAsiaTheme="minorEastAsia" w:cstheme="minorEastAsia"/>
          <w:spacing w:val="-96"/>
          <w:sz w:val="24"/>
          <w:szCs w:val="24"/>
        </w:rPr>
        <w:t xml:space="preserve"> </w:t>
      </w:r>
      <w:r>
        <w:rPr>
          <w:rFonts w:hint="eastAsia" w:asciiTheme="minorEastAsia" w:hAnsiTheme="minorEastAsia" w:eastAsiaTheme="minorEastAsia" w:cstheme="minorEastAsia"/>
          <w:spacing w:val="7"/>
          <w:sz w:val="24"/>
          <w:szCs w:val="24"/>
        </w:rPr>
        <w:t>人，</w:t>
      </w:r>
      <w:r>
        <w:rPr>
          <w:rFonts w:hint="eastAsia" w:asciiTheme="minorEastAsia" w:hAnsiTheme="minorEastAsia" w:eastAsiaTheme="minorEastAsia" w:cstheme="minorEastAsia"/>
          <w:spacing w:val="-70"/>
          <w:sz w:val="24"/>
          <w:szCs w:val="24"/>
        </w:rPr>
        <w:t xml:space="preserve"> </w:t>
      </w:r>
      <w:r>
        <w:rPr>
          <w:rFonts w:hint="eastAsia" w:asciiTheme="minorEastAsia" w:hAnsiTheme="minorEastAsia" w:eastAsiaTheme="minorEastAsia" w:cstheme="minorEastAsia"/>
          <w:spacing w:val="7"/>
          <w:sz w:val="24"/>
          <w:szCs w:val="24"/>
        </w:rPr>
        <w:t>营业收入为</w:t>
      </w:r>
      <w:r>
        <w:rPr>
          <w:rFonts w:hint="eastAsia" w:asciiTheme="minorEastAsia" w:hAnsiTheme="minorEastAsia" w:eastAsiaTheme="minorEastAsia" w:cstheme="minorEastAsia"/>
          <w:spacing w:val="-108"/>
          <w:sz w:val="24"/>
          <w:szCs w:val="24"/>
        </w:rPr>
        <w:t xml:space="preserve"> </w:t>
      </w:r>
      <w:r>
        <w:rPr>
          <w:rFonts w:hint="eastAsia" w:asciiTheme="minorEastAsia" w:hAnsiTheme="minorEastAsia" w:eastAsiaTheme="minorEastAsia" w:cstheme="minorEastAsia"/>
          <w:spacing w:val="5"/>
          <w:sz w:val="24"/>
          <w:szCs w:val="24"/>
          <w:u w:val="single" w:color="auto"/>
        </w:rPr>
        <w:t xml:space="preserve">      </w:t>
      </w:r>
      <w:r>
        <w:rPr>
          <w:rFonts w:hint="eastAsia" w:asciiTheme="minorEastAsia" w:hAnsiTheme="minorEastAsia" w:eastAsiaTheme="minorEastAsia" w:cstheme="minorEastAsia"/>
          <w:spacing w:val="-91"/>
          <w:sz w:val="24"/>
          <w:szCs w:val="24"/>
        </w:rPr>
        <w:t xml:space="preserve"> </w:t>
      </w:r>
      <w:r>
        <w:rPr>
          <w:rFonts w:hint="eastAsia" w:asciiTheme="minorEastAsia" w:hAnsiTheme="minorEastAsia" w:eastAsiaTheme="minorEastAsia" w:cstheme="minorEastAsia"/>
          <w:spacing w:val="7"/>
          <w:sz w:val="24"/>
          <w:szCs w:val="24"/>
        </w:rPr>
        <w:t>万元，</w:t>
      </w:r>
      <w:r>
        <w:rPr>
          <w:rFonts w:hint="eastAsia" w:asciiTheme="minorEastAsia" w:hAnsiTheme="minorEastAsia" w:eastAsiaTheme="minorEastAsia" w:cstheme="minorEastAsia"/>
          <w:spacing w:val="-70"/>
          <w:sz w:val="24"/>
          <w:szCs w:val="24"/>
        </w:rPr>
        <w:t xml:space="preserve"> </w:t>
      </w:r>
      <w:r>
        <w:rPr>
          <w:rFonts w:hint="eastAsia" w:asciiTheme="minorEastAsia" w:hAnsiTheme="minorEastAsia" w:eastAsiaTheme="minorEastAsia" w:cstheme="minorEastAsia"/>
          <w:spacing w:val="7"/>
          <w:sz w:val="24"/>
          <w:szCs w:val="24"/>
        </w:rPr>
        <w:t>资产总额为</w:t>
      </w:r>
      <w:r>
        <w:rPr>
          <w:rFonts w:hint="eastAsia" w:asciiTheme="minorEastAsia" w:hAnsiTheme="minorEastAsia" w:eastAsiaTheme="minorEastAsia" w:cstheme="minorEastAsia"/>
          <w:spacing w:val="-107"/>
          <w:sz w:val="24"/>
          <w:szCs w:val="24"/>
        </w:rPr>
        <w:t xml:space="preserve">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pacing w:val="10"/>
          <w:sz w:val="24"/>
          <w:szCs w:val="24"/>
        </w:rPr>
        <w:t>万元，属于</w:t>
      </w:r>
      <w:r>
        <w:rPr>
          <w:rFonts w:hint="eastAsia" w:asciiTheme="minorEastAsia" w:hAnsiTheme="minorEastAsia" w:eastAsiaTheme="minorEastAsia" w:cstheme="minorEastAsia"/>
          <w:spacing w:val="10"/>
          <w:sz w:val="24"/>
          <w:szCs w:val="24"/>
          <w:u w:val="single" w:color="auto"/>
        </w:rPr>
        <w:t>（中型企业、小型企业、微型企业</w:t>
      </w:r>
      <w:r>
        <w:rPr>
          <w:rFonts w:hint="eastAsia" w:asciiTheme="minorEastAsia" w:hAnsiTheme="minorEastAsia" w:eastAsiaTheme="minorEastAsia" w:cstheme="minorEastAsia"/>
          <w:spacing w:val="-46"/>
          <w:sz w:val="24"/>
          <w:szCs w:val="24"/>
          <w:u w:val="single" w:color="auto"/>
        </w:rPr>
        <w:t>）</w:t>
      </w:r>
      <w:r>
        <w:rPr>
          <w:rFonts w:hint="eastAsia" w:asciiTheme="minorEastAsia" w:hAnsiTheme="minorEastAsia" w:eastAsiaTheme="minorEastAsia" w:cstheme="minorEastAsia"/>
          <w:spacing w:val="-46"/>
          <w:sz w:val="24"/>
          <w:szCs w:val="24"/>
        </w:rPr>
        <w:t>；</w:t>
      </w:r>
    </w:p>
    <w:p w14:paraId="2C499BE4">
      <w:pPr>
        <w:keepNext w:val="0"/>
        <w:keepLines w:val="0"/>
        <w:pageBreakBefore w:val="0"/>
        <w:widowControl/>
        <w:kinsoku/>
        <w:wordWrap w:val="0"/>
        <w:overflowPunct/>
        <w:topLinePunct w:val="0"/>
        <w:autoSpaceDE w:val="0"/>
        <w:autoSpaceDN w:val="0"/>
        <w:bidi w:val="0"/>
        <w:adjustRightInd w:val="0"/>
        <w:snapToGrid w:val="0"/>
        <w:spacing w:line="360" w:lineRule="auto"/>
        <w:ind w:left="0" w:right="0"/>
        <w:jc w:val="both"/>
        <w:textAlignment w:val="baseline"/>
        <w:rPr>
          <w:rFonts w:hint="eastAsia" w:asciiTheme="minorEastAsia" w:hAnsiTheme="minorEastAsia" w:eastAsiaTheme="minorEastAsia" w:cstheme="minorEastAsia"/>
          <w:sz w:val="21"/>
        </w:rPr>
      </w:pPr>
    </w:p>
    <w:p w14:paraId="6E3CF652">
      <w:pPr>
        <w:keepNext w:val="0"/>
        <w:keepLines w:val="0"/>
        <w:pageBreakBefore w:val="0"/>
        <w:widowControl/>
        <w:kinsoku/>
        <w:wordWrap w:val="0"/>
        <w:overflowPunct/>
        <w:topLinePunct w:val="0"/>
        <w:autoSpaceDE w:val="0"/>
        <w:autoSpaceDN w:val="0"/>
        <w:bidi w:val="0"/>
        <w:adjustRightInd w:val="0"/>
        <w:snapToGrid w:val="0"/>
        <w:spacing w:line="360" w:lineRule="auto"/>
        <w:ind w:left="0" w:right="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2"/>
          <w:position w:val="1"/>
          <w:sz w:val="24"/>
          <w:szCs w:val="24"/>
        </w:rPr>
        <w:t>……</w:t>
      </w:r>
    </w:p>
    <w:p w14:paraId="401EFAE4">
      <w:pPr>
        <w:pStyle w:val="13"/>
        <w:keepNext w:val="0"/>
        <w:keepLines w:val="0"/>
        <w:pageBreakBefore w:val="0"/>
        <w:widowControl/>
        <w:kinsoku/>
        <w:wordWrap/>
        <w:overflowPunct/>
        <w:topLinePunct w:val="0"/>
        <w:autoSpaceDE w:val="0"/>
        <w:autoSpaceDN w:val="0"/>
        <w:bidi w:val="0"/>
        <w:adjustRightInd w:val="0"/>
        <w:snapToGrid w:val="0"/>
        <w:spacing w:line="360" w:lineRule="auto"/>
        <w:ind w:left="0" w:right="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1"/>
          <w:position w:val="17"/>
          <w:sz w:val="24"/>
          <w:szCs w:val="24"/>
        </w:rPr>
        <w:t>以上企业，不属于大企业的分支机构，不存在控股股东</w:t>
      </w:r>
      <w:r>
        <w:rPr>
          <w:rFonts w:hint="eastAsia" w:asciiTheme="minorEastAsia" w:hAnsiTheme="minorEastAsia" w:eastAsiaTheme="minorEastAsia" w:cstheme="minorEastAsia"/>
          <w:spacing w:val="10"/>
          <w:position w:val="17"/>
          <w:sz w:val="24"/>
          <w:szCs w:val="24"/>
        </w:rPr>
        <w:t>为大企业的情形，也不</w:t>
      </w:r>
    </w:p>
    <w:p w14:paraId="02A4440A">
      <w:pPr>
        <w:pStyle w:val="13"/>
        <w:keepNext w:val="0"/>
        <w:keepLines w:val="0"/>
        <w:pageBreakBefore w:val="0"/>
        <w:widowControl/>
        <w:kinsoku/>
        <w:wordWrap w:val="0"/>
        <w:overflowPunct/>
        <w:topLinePunct w:val="0"/>
        <w:autoSpaceDE w:val="0"/>
        <w:autoSpaceDN w:val="0"/>
        <w:bidi w:val="0"/>
        <w:adjustRightInd w:val="0"/>
        <w:snapToGrid w:val="0"/>
        <w:spacing w:line="360" w:lineRule="auto"/>
        <w:ind w:left="0" w:right="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0"/>
          <w:sz w:val="24"/>
          <w:szCs w:val="24"/>
        </w:rPr>
        <w:t>存在与大企业的负责人为同一人的情形。</w:t>
      </w:r>
    </w:p>
    <w:p w14:paraId="43071F3A">
      <w:pPr>
        <w:pStyle w:val="13"/>
        <w:keepNext w:val="0"/>
        <w:keepLines w:val="0"/>
        <w:pageBreakBefore w:val="0"/>
        <w:widowControl/>
        <w:kinsoku/>
        <w:wordWrap w:val="0"/>
        <w:overflowPunct/>
        <w:topLinePunct w:val="0"/>
        <w:autoSpaceDE w:val="0"/>
        <w:autoSpaceDN w:val="0"/>
        <w:bidi w:val="0"/>
        <w:adjustRightInd w:val="0"/>
        <w:snapToGrid w:val="0"/>
        <w:spacing w:line="360" w:lineRule="auto"/>
        <w:ind w:right="0" w:firstLine="524"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1"/>
          <w:sz w:val="24"/>
          <w:szCs w:val="24"/>
        </w:rPr>
        <w:t>本企业对上述声明内容的真实性负责。如有虚假，将依法承担相应责任。</w:t>
      </w:r>
    </w:p>
    <w:p w14:paraId="737E284B">
      <w:pPr>
        <w:keepNext w:val="0"/>
        <w:keepLines w:val="0"/>
        <w:pageBreakBefore w:val="0"/>
        <w:widowControl/>
        <w:kinsoku/>
        <w:wordWrap w:val="0"/>
        <w:overflowPunct/>
        <w:topLinePunct w:val="0"/>
        <w:autoSpaceDE w:val="0"/>
        <w:autoSpaceDN w:val="0"/>
        <w:bidi w:val="0"/>
        <w:adjustRightInd w:val="0"/>
        <w:snapToGrid w:val="0"/>
        <w:spacing w:line="360" w:lineRule="auto"/>
        <w:ind w:left="0" w:right="0"/>
        <w:jc w:val="both"/>
        <w:textAlignment w:val="baseline"/>
        <w:rPr>
          <w:rFonts w:hint="eastAsia" w:asciiTheme="minorEastAsia" w:hAnsiTheme="minorEastAsia" w:eastAsiaTheme="minorEastAsia" w:cstheme="minorEastAsia"/>
          <w:sz w:val="21"/>
        </w:rPr>
      </w:pPr>
    </w:p>
    <w:p w14:paraId="5597CF17">
      <w:pPr>
        <w:keepNext w:val="0"/>
        <w:keepLines w:val="0"/>
        <w:pageBreakBefore w:val="0"/>
        <w:widowControl/>
        <w:kinsoku/>
        <w:wordWrap w:val="0"/>
        <w:overflowPunct/>
        <w:topLinePunct w:val="0"/>
        <w:autoSpaceDE w:val="0"/>
        <w:autoSpaceDN w:val="0"/>
        <w:bidi w:val="0"/>
        <w:adjustRightInd w:val="0"/>
        <w:snapToGrid w:val="0"/>
        <w:spacing w:line="360" w:lineRule="auto"/>
        <w:ind w:left="0" w:right="0"/>
        <w:jc w:val="both"/>
        <w:textAlignment w:val="baseline"/>
        <w:rPr>
          <w:rFonts w:hint="eastAsia" w:asciiTheme="minorEastAsia" w:hAnsiTheme="minorEastAsia" w:eastAsiaTheme="minorEastAsia" w:cstheme="minorEastAsia"/>
          <w:sz w:val="21"/>
        </w:rPr>
      </w:pPr>
    </w:p>
    <w:p w14:paraId="6A3FF94A">
      <w:pPr>
        <w:pStyle w:val="13"/>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5050" w:firstLineChars="25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9"/>
          <w:sz w:val="24"/>
          <w:szCs w:val="24"/>
        </w:rPr>
        <w:t>企业名称（盖章</w:t>
      </w:r>
      <w:r>
        <w:rPr>
          <w:rFonts w:hint="eastAsia" w:asciiTheme="minorEastAsia" w:hAnsiTheme="minorEastAsia" w:eastAsiaTheme="minorEastAsia" w:cstheme="minorEastAsia"/>
          <w:spacing w:val="-2"/>
          <w:sz w:val="24"/>
          <w:szCs w:val="24"/>
        </w:rPr>
        <w:t>）：</w:t>
      </w:r>
      <w:r>
        <w:rPr>
          <w:rFonts w:hint="eastAsia" w:asciiTheme="minorEastAsia" w:hAnsiTheme="minorEastAsia" w:eastAsiaTheme="minorEastAsia" w:cstheme="minorEastAsia"/>
          <w:sz w:val="24"/>
          <w:szCs w:val="24"/>
          <w:u w:val="single" w:color="auto"/>
        </w:rPr>
        <w:t xml:space="preserve">         </w:t>
      </w:r>
    </w:p>
    <w:p w14:paraId="5D398D19">
      <w:pPr>
        <w:keepNext w:val="0"/>
        <w:keepLines w:val="0"/>
        <w:pageBreakBefore w:val="0"/>
        <w:kinsoku/>
        <w:wordWrap w:val="0"/>
        <w:overflowPunct/>
        <w:topLinePunct w:val="0"/>
        <w:bidi w:val="0"/>
        <w:spacing w:line="360" w:lineRule="auto"/>
        <w:ind w:firstLine="5040" w:firstLineChars="2100"/>
        <w:jc w:val="both"/>
        <w:rPr>
          <w:rFonts w:hint="eastAsia" w:asciiTheme="minorEastAsia" w:hAnsiTheme="minorEastAsia" w:eastAsiaTheme="minorEastAsia" w:cstheme="minorEastAsia"/>
          <w:bCs/>
          <w:sz w:val="24"/>
          <w:szCs w:val="24"/>
          <w:lang w:eastAsia="zh-CN"/>
        </w:rPr>
      </w:pPr>
      <w:r>
        <w:rPr>
          <w:rFonts w:hint="eastAsia" w:asciiTheme="minorEastAsia" w:hAnsiTheme="minorEastAsia" w:eastAsiaTheme="minorEastAsia" w:cstheme="minorEastAsia"/>
          <w:b w:val="0"/>
          <w:bCs/>
          <w:sz w:val="24"/>
          <w:szCs w:val="24"/>
          <w:u w:val="none"/>
          <w:lang w:val="en-US" w:eastAsia="zh-CN"/>
        </w:rPr>
        <w:t>日期：</w:t>
      </w:r>
      <w:r>
        <w:rPr>
          <w:rFonts w:hint="eastAsia" w:asciiTheme="minorEastAsia" w:hAnsiTheme="minorEastAsia" w:eastAsiaTheme="minorEastAsia" w:cstheme="minorEastAsia"/>
          <w:b/>
          <w:sz w:val="24"/>
          <w:szCs w:val="24"/>
          <w:u w:val="single"/>
          <w:lang w:val="en-US" w:eastAsia="zh-CN"/>
        </w:rPr>
        <w:t xml:space="preserve">    </w:t>
      </w:r>
      <w:r>
        <w:rPr>
          <w:rFonts w:hint="eastAsia" w:asciiTheme="minorEastAsia" w:hAnsiTheme="minorEastAsia" w:eastAsiaTheme="minorEastAsia" w:cstheme="minorEastAsia"/>
          <w:b w:val="0"/>
          <w:bCs w:val="0"/>
          <w:snapToGrid w:val="0"/>
          <w:color w:val="000000"/>
          <w:spacing w:val="-8"/>
          <w:kern w:val="0"/>
          <w:sz w:val="24"/>
          <w:szCs w:val="24"/>
          <w:lang w:val="en-US" w:eastAsia="zh-CN" w:bidi="ar-SA"/>
        </w:rPr>
        <w:t>年</w:t>
      </w:r>
      <w:r>
        <w:rPr>
          <w:rFonts w:hint="eastAsia" w:asciiTheme="minorEastAsia" w:hAnsiTheme="minorEastAsia" w:eastAsiaTheme="minorEastAsia" w:cstheme="minorEastAsia"/>
          <w:b/>
          <w:sz w:val="24"/>
          <w:szCs w:val="24"/>
          <w:u w:val="single"/>
          <w:lang w:val="en-US" w:eastAsia="zh-CN"/>
        </w:rPr>
        <w:t xml:space="preserve">    </w:t>
      </w:r>
      <w:r>
        <w:rPr>
          <w:rFonts w:hint="eastAsia" w:asciiTheme="minorEastAsia" w:hAnsiTheme="minorEastAsia" w:eastAsiaTheme="minorEastAsia" w:cstheme="minorEastAsia"/>
          <w:b w:val="0"/>
          <w:bCs w:val="0"/>
          <w:snapToGrid w:val="0"/>
          <w:color w:val="000000"/>
          <w:spacing w:val="-8"/>
          <w:kern w:val="0"/>
          <w:sz w:val="24"/>
          <w:szCs w:val="24"/>
          <w:lang w:val="en-US" w:eastAsia="zh-CN" w:bidi="ar-SA"/>
        </w:rPr>
        <w:t>月</w:t>
      </w:r>
      <w:r>
        <w:rPr>
          <w:rFonts w:hint="eastAsia" w:asciiTheme="minorEastAsia" w:hAnsiTheme="minorEastAsia" w:eastAsiaTheme="minorEastAsia" w:cstheme="minorEastAsia"/>
          <w:b/>
          <w:sz w:val="24"/>
          <w:szCs w:val="24"/>
          <w:u w:val="single"/>
          <w:lang w:val="en-US" w:eastAsia="zh-CN"/>
        </w:rPr>
        <w:t xml:space="preserve">    </w:t>
      </w:r>
      <w:r>
        <w:rPr>
          <w:rFonts w:hint="eastAsia" w:asciiTheme="minorEastAsia" w:hAnsiTheme="minorEastAsia" w:eastAsiaTheme="minorEastAsia" w:cstheme="minorEastAsia"/>
          <w:b w:val="0"/>
          <w:bCs w:val="0"/>
          <w:snapToGrid w:val="0"/>
          <w:color w:val="000000"/>
          <w:spacing w:val="-8"/>
          <w:kern w:val="0"/>
          <w:sz w:val="24"/>
          <w:szCs w:val="24"/>
          <w:lang w:val="en-US" w:eastAsia="zh-CN" w:bidi="ar-SA"/>
        </w:rPr>
        <w:t>日</w:t>
      </w:r>
    </w:p>
    <w:p w14:paraId="6C8245B1">
      <w:pPr>
        <w:pStyle w:val="13"/>
        <w:keepNext w:val="0"/>
        <w:keepLines w:val="0"/>
        <w:pageBreakBefore w:val="0"/>
        <w:widowControl/>
        <w:kinsoku/>
        <w:wordWrap w:val="0"/>
        <w:overflowPunct/>
        <w:topLinePunct w:val="0"/>
        <w:autoSpaceDE w:val="0"/>
        <w:autoSpaceDN w:val="0"/>
        <w:bidi w:val="0"/>
        <w:adjustRightInd w:val="0"/>
        <w:snapToGrid w:val="0"/>
        <w:spacing w:line="360" w:lineRule="auto"/>
        <w:ind w:left="0" w:right="0"/>
        <w:jc w:val="both"/>
        <w:textAlignment w:val="baseline"/>
        <w:rPr>
          <w:rFonts w:hint="eastAsia" w:asciiTheme="minorEastAsia" w:hAnsiTheme="minorEastAsia" w:eastAsiaTheme="minorEastAsia" w:cstheme="minorEastAsia"/>
          <w:spacing w:val="9"/>
          <w:position w:val="5"/>
          <w:sz w:val="24"/>
          <w:szCs w:val="24"/>
          <w:lang w:val="en-US" w:eastAsia="zh-CN"/>
        </w:rPr>
      </w:pPr>
    </w:p>
    <w:p w14:paraId="67913A3A">
      <w:pPr>
        <w:pStyle w:val="13"/>
        <w:keepNext w:val="0"/>
        <w:keepLines w:val="0"/>
        <w:pageBreakBefore w:val="0"/>
        <w:widowControl/>
        <w:kinsoku/>
        <w:wordWrap w:val="0"/>
        <w:overflowPunct/>
        <w:topLinePunct w:val="0"/>
        <w:autoSpaceDE w:val="0"/>
        <w:autoSpaceDN w:val="0"/>
        <w:bidi w:val="0"/>
        <w:adjustRightInd w:val="0"/>
        <w:snapToGrid w:val="0"/>
        <w:spacing w:line="360" w:lineRule="auto"/>
        <w:ind w:left="0" w:right="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9"/>
          <w:position w:val="5"/>
          <w:sz w:val="24"/>
          <w:szCs w:val="24"/>
          <w:lang w:val="en-US" w:eastAsia="zh-CN"/>
        </w:rPr>
        <w:t>备注：</w:t>
      </w:r>
      <w:r>
        <w:rPr>
          <w:rFonts w:hint="eastAsia" w:asciiTheme="minorEastAsia" w:hAnsiTheme="minorEastAsia" w:eastAsiaTheme="minorEastAsia" w:cstheme="minorEastAsia"/>
          <w:spacing w:val="9"/>
          <w:sz w:val="24"/>
          <w:szCs w:val="24"/>
        </w:rPr>
        <w:t>从业人员、营业收入、资产总额填报上一年度数据，无上一年度数据的新成立企业可不填报。</w:t>
      </w:r>
    </w:p>
    <w:p w14:paraId="10A5DF03">
      <w:pPr>
        <w:pStyle w:val="13"/>
        <w:spacing w:line="360" w:lineRule="auto"/>
        <w:rPr>
          <w:rFonts w:asciiTheme="minorEastAsia" w:hAnsiTheme="minorEastAsia" w:eastAsiaTheme="minorEastAsia" w:cstheme="minorEastAsia"/>
          <w:sz w:val="36"/>
          <w:szCs w:val="36"/>
          <w:lang w:eastAsia="zh-CN"/>
          <w14:textOutline w14:w="2311" w14:cap="flat" w14:cmpd="sng" w14:algn="ctr">
            <w14:solidFill>
              <w14:srgbClr w14:val="000000"/>
            </w14:solidFill>
            <w14:prstDash w14:val="solid"/>
            <w14:miter w14:val="0"/>
          </w14:textOutline>
        </w:rPr>
      </w:pPr>
    </w:p>
    <w:p w14:paraId="6AE9C658">
      <w:pPr>
        <w:pStyle w:val="45"/>
        <w:rPr>
          <w:rFonts w:asciiTheme="minorEastAsia" w:hAnsiTheme="minorEastAsia" w:eastAsiaTheme="minorEastAsia" w:cstheme="minorEastAsia"/>
          <w:sz w:val="36"/>
          <w:szCs w:val="36"/>
          <w:lang w:eastAsia="zh-CN"/>
          <w14:textOutline w14:w="2311" w14:cap="flat" w14:cmpd="sng" w14:algn="ctr">
            <w14:solidFill>
              <w14:srgbClr w14:val="000000"/>
            </w14:solidFill>
            <w14:prstDash w14:val="solid"/>
            <w14:miter w14:val="0"/>
          </w14:textOutline>
        </w:rPr>
      </w:pPr>
    </w:p>
    <w:p w14:paraId="7C7AB723">
      <w:pPr>
        <w:rPr>
          <w:lang w:eastAsia="zh-CN"/>
        </w:rPr>
      </w:pPr>
    </w:p>
    <w:p w14:paraId="2EC9E51A">
      <w:pPr>
        <w:pStyle w:val="45"/>
        <w:rPr>
          <w:lang w:eastAsia="zh-CN"/>
        </w:rPr>
      </w:pPr>
    </w:p>
    <w:p w14:paraId="5E69021A">
      <w:pPr>
        <w:pStyle w:val="71"/>
        <w:rPr>
          <w:lang w:eastAsia="zh-CN"/>
        </w:rPr>
      </w:pPr>
    </w:p>
    <w:p w14:paraId="7E42EB36">
      <w:pPr>
        <w:pStyle w:val="13"/>
        <w:spacing w:line="360" w:lineRule="auto"/>
        <w:jc w:val="center"/>
        <w:outlineLvl w:val="9"/>
        <w:rPr>
          <w:rFonts w:asciiTheme="minorEastAsia" w:hAnsiTheme="minorEastAsia" w:eastAsiaTheme="minorEastAsia" w:cstheme="minorEastAsia"/>
          <w:sz w:val="36"/>
          <w:szCs w:val="36"/>
          <w:lang w:eastAsia="zh-CN"/>
        </w:rPr>
      </w:pPr>
      <w:r>
        <w:rPr>
          <w:rFonts w:hint="eastAsia" w:asciiTheme="minorEastAsia" w:hAnsiTheme="minorEastAsia" w:eastAsiaTheme="minorEastAsia" w:cstheme="minorEastAsia"/>
          <w:sz w:val="36"/>
          <w:szCs w:val="36"/>
          <w:lang w:eastAsia="zh-CN"/>
          <w14:textOutline w14:w="2311" w14:cap="flat" w14:cmpd="sng" w14:algn="ctr">
            <w14:solidFill>
              <w14:srgbClr w14:val="000000"/>
            </w14:solidFill>
            <w14:prstDash w14:val="solid"/>
            <w14:miter w14:val="0"/>
          </w14:textOutline>
        </w:rPr>
        <w:t>残疾人福利性单位声明函格式</w:t>
      </w:r>
    </w:p>
    <w:p w14:paraId="662CF1ED">
      <w:pPr>
        <w:spacing w:line="360" w:lineRule="auto"/>
        <w:rPr>
          <w:rFonts w:asciiTheme="minorEastAsia" w:hAnsiTheme="minorEastAsia" w:cstheme="minorEastAsia"/>
        </w:rPr>
      </w:pPr>
    </w:p>
    <w:p w14:paraId="7EA974FE">
      <w:pPr>
        <w:spacing w:line="360" w:lineRule="auto"/>
        <w:rPr>
          <w:rFonts w:asciiTheme="minorEastAsia" w:hAnsiTheme="minorEastAsia" w:cstheme="minorEastAsia"/>
        </w:rPr>
      </w:pPr>
    </w:p>
    <w:p w14:paraId="58D4A5A3">
      <w:pPr>
        <w:pStyle w:val="13"/>
        <w:spacing w:line="360" w:lineRule="auto"/>
        <w:jc w:val="center"/>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8"/>
          <w:position w:val="26"/>
          <w:sz w:val="24"/>
          <w:szCs w:val="24"/>
          <w:lang w:eastAsia="zh-CN"/>
        </w:rPr>
        <w:t>本位郑重声明，根据《财政部</w:t>
      </w:r>
      <w:r>
        <w:rPr>
          <w:rFonts w:hint="eastAsia" w:asciiTheme="minorEastAsia" w:hAnsiTheme="minorEastAsia" w:eastAsiaTheme="minorEastAsia" w:cstheme="minorEastAsia"/>
          <w:spacing w:val="70"/>
          <w:position w:val="26"/>
          <w:sz w:val="24"/>
          <w:szCs w:val="24"/>
          <w:lang w:eastAsia="zh-CN"/>
        </w:rPr>
        <w:t xml:space="preserve"> </w:t>
      </w:r>
      <w:r>
        <w:rPr>
          <w:rFonts w:hint="eastAsia" w:asciiTheme="minorEastAsia" w:hAnsiTheme="minorEastAsia" w:eastAsiaTheme="minorEastAsia" w:cstheme="minorEastAsia"/>
          <w:spacing w:val="8"/>
          <w:position w:val="26"/>
          <w:sz w:val="24"/>
          <w:szCs w:val="24"/>
          <w:lang w:eastAsia="zh-CN"/>
        </w:rPr>
        <w:t>民政部</w:t>
      </w:r>
      <w:r>
        <w:rPr>
          <w:rFonts w:hint="eastAsia" w:asciiTheme="minorEastAsia" w:hAnsiTheme="minorEastAsia" w:eastAsiaTheme="minorEastAsia" w:cstheme="minorEastAsia"/>
          <w:spacing w:val="56"/>
          <w:position w:val="26"/>
          <w:sz w:val="24"/>
          <w:szCs w:val="24"/>
          <w:lang w:eastAsia="zh-CN"/>
        </w:rPr>
        <w:t xml:space="preserve"> </w:t>
      </w:r>
      <w:r>
        <w:rPr>
          <w:rFonts w:hint="eastAsia" w:asciiTheme="minorEastAsia" w:hAnsiTheme="minorEastAsia" w:eastAsiaTheme="minorEastAsia" w:cstheme="minorEastAsia"/>
          <w:spacing w:val="8"/>
          <w:position w:val="26"/>
          <w:sz w:val="24"/>
          <w:szCs w:val="24"/>
          <w:lang w:eastAsia="zh-CN"/>
        </w:rPr>
        <w:t>中国残疾人联合会关于促进残疾人就</w:t>
      </w:r>
    </w:p>
    <w:p w14:paraId="2BC99861">
      <w:pPr>
        <w:pStyle w:val="13"/>
        <w:spacing w:line="360" w:lineRule="auto"/>
        <w:jc w:val="center"/>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3"/>
          <w:sz w:val="24"/>
          <w:szCs w:val="24"/>
          <w:lang w:eastAsia="zh-CN"/>
        </w:rPr>
        <w:t>业政府采购政策的通知》（财库〔2017〕141 号）</w:t>
      </w:r>
      <w:r>
        <w:rPr>
          <w:rFonts w:hint="eastAsia" w:asciiTheme="minorEastAsia" w:hAnsiTheme="minorEastAsia" w:eastAsiaTheme="minorEastAsia" w:cstheme="minorEastAsia"/>
          <w:spacing w:val="-69"/>
          <w:sz w:val="24"/>
          <w:szCs w:val="24"/>
          <w:lang w:eastAsia="zh-CN"/>
        </w:rPr>
        <w:t xml:space="preserve"> </w:t>
      </w:r>
      <w:r>
        <w:rPr>
          <w:rFonts w:hint="eastAsia" w:asciiTheme="minorEastAsia" w:hAnsiTheme="minorEastAsia" w:eastAsiaTheme="minorEastAsia" w:cstheme="minorEastAsia"/>
          <w:spacing w:val="3"/>
          <w:sz w:val="24"/>
          <w:szCs w:val="24"/>
          <w:lang w:eastAsia="zh-CN"/>
        </w:rPr>
        <w:t>的规定，本单位</w:t>
      </w:r>
      <w:r>
        <w:rPr>
          <w:rFonts w:hint="eastAsia" w:asciiTheme="minorEastAsia" w:hAnsiTheme="minorEastAsia" w:eastAsiaTheme="minorEastAsia" w:cstheme="minorEastAsia"/>
          <w:spacing w:val="3"/>
          <w:sz w:val="24"/>
          <w:szCs w:val="24"/>
          <w:lang w:eastAsia="zh-CN"/>
          <w14:textOutline w14:w="1536" w14:cap="flat" w14:cmpd="sng" w14:algn="ctr">
            <w14:solidFill>
              <w14:srgbClr w14:val="000000"/>
            </w14:solidFill>
            <w14:prstDash w14:val="solid"/>
            <w14:miter w14:val="0"/>
          </w14:textOutline>
        </w:rPr>
        <w:t>（请进行选择</w:t>
      </w:r>
      <w:r>
        <w:rPr>
          <w:rFonts w:hint="eastAsia" w:asciiTheme="minorEastAsia" w:hAnsiTheme="minorEastAsia" w:eastAsiaTheme="minorEastAsia" w:cstheme="minorEastAsia"/>
          <w:spacing w:val="-46"/>
          <w:sz w:val="24"/>
          <w:szCs w:val="24"/>
          <w:lang w:eastAsia="zh-CN"/>
          <w14:textOutline w14:w="1536" w14:cap="flat" w14:cmpd="sng" w14:algn="ctr">
            <w14:solidFill>
              <w14:srgbClr w14:val="000000"/>
            </w14:solidFill>
            <w14:prstDash w14:val="solid"/>
            <w14:miter w14:val="0"/>
          </w14:textOutline>
        </w:rPr>
        <w:t>）</w:t>
      </w:r>
      <w:r>
        <w:rPr>
          <w:rFonts w:hint="eastAsia" w:asciiTheme="minorEastAsia" w:hAnsiTheme="minorEastAsia" w:eastAsiaTheme="minorEastAsia" w:cstheme="minorEastAsia"/>
          <w:spacing w:val="-46"/>
          <w:sz w:val="24"/>
          <w:szCs w:val="24"/>
          <w:lang w:eastAsia="zh-CN"/>
        </w:rPr>
        <w:t>：</w:t>
      </w:r>
    </w:p>
    <w:p w14:paraId="6EAF6D08">
      <w:pPr>
        <w:pStyle w:val="13"/>
        <w:spacing w:line="360" w:lineRule="auto"/>
        <w:ind w:firstLine="484" w:firstLineChars="2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1"/>
          <w:sz w:val="24"/>
          <w:szCs w:val="24"/>
          <w:lang w:eastAsia="zh-CN"/>
        </w:rPr>
        <w:t>□</w:t>
      </w:r>
      <w:r>
        <w:rPr>
          <w:rFonts w:hint="eastAsia" w:asciiTheme="minorEastAsia" w:hAnsiTheme="minorEastAsia" w:eastAsiaTheme="minorEastAsia" w:cstheme="minorEastAsia"/>
          <w:spacing w:val="8"/>
          <w:sz w:val="24"/>
          <w:szCs w:val="24"/>
          <w:lang w:eastAsia="zh-CN"/>
          <w14:textOutline w14:w="1536" w14:cap="flat" w14:cmpd="sng" w14:algn="ctr">
            <w14:solidFill>
              <w14:srgbClr w14:val="000000"/>
            </w14:solidFill>
            <w14:prstDash w14:val="solid"/>
            <w14:miter w14:val="0"/>
          </w14:textOutline>
        </w:rPr>
        <w:t>不属于符合条件的残疾人福利性单位。</w:t>
      </w:r>
    </w:p>
    <w:p w14:paraId="0414018E">
      <w:pPr>
        <w:pStyle w:val="13"/>
        <w:spacing w:line="360" w:lineRule="auto"/>
        <w:ind w:firstLine="495"/>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1"/>
          <w:sz w:val="24"/>
          <w:szCs w:val="24"/>
          <w:lang w:eastAsia="zh-CN"/>
        </w:rPr>
        <w:t>□</w:t>
      </w:r>
      <w:r>
        <w:rPr>
          <w:rFonts w:hint="eastAsia" w:asciiTheme="minorEastAsia" w:hAnsiTheme="minorEastAsia" w:eastAsiaTheme="minorEastAsia" w:cstheme="minorEastAsia"/>
          <w:spacing w:val="10"/>
          <w:sz w:val="24"/>
          <w:szCs w:val="24"/>
          <w:lang w:eastAsia="zh-CN"/>
          <w14:textOutline w14:w="1536" w14:cap="flat" w14:cmpd="sng" w14:algn="ctr">
            <w14:solidFill>
              <w14:srgbClr w14:val="000000"/>
            </w14:solidFill>
            <w14:prstDash w14:val="solid"/>
            <w14:miter w14:val="0"/>
          </w14:textOutline>
        </w:rPr>
        <w:t>属于符合条件的残疾人福利性单位，</w:t>
      </w:r>
      <w:r>
        <w:rPr>
          <w:rFonts w:hint="eastAsia" w:asciiTheme="minorEastAsia" w:hAnsiTheme="minorEastAsia" w:eastAsiaTheme="minorEastAsia" w:cstheme="minorEastAsia"/>
          <w:spacing w:val="10"/>
          <w:sz w:val="24"/>
          <w:szCs w:val="24"/>
          <w:lang w:eastAsia="zh-CN"/>
        </w:rPr>
        <w:t>且本单位参加</w:t>
      </w:r>
      <w:r>
        <w:rPr>
          <w:rFonts w:hint="eastAsia" w:asciiTheme="minorEastAsia" w:hAnsiTheme="minorEastAsia" w:eastAsiaTheme="minorEastAsia" w:cstheme="minorEastAsia"/>
          <w:spacing w:val="-107"/>
          <w:sz w:val="24"/>
          <w:szCs w:val="24"/>
          <w:lang w:eastAsia="zh-CN"/>
        </w:rPr>
        <w:t xml:space="preserve"> </w:t>
      </w:r>
      <w:r>
        <w:rPr>
          <w:rFonts w:hint="eastAsia" w:asciiTheme="minorEastAsia" w:hAnsiTheme="minorEastAsia" w:eastAsiaTheme="minorEastAsia" w:cstheme="minorEastAsia"/>
          <w:spacing w:val="5"/>
          <w:sz w:val="24"/>
          <w:szCs w:val="24"/>
          <w:u w:val="single"/>
          <w:lang w:eastAsia="zh-CN"/>
        </w:rPr>
        <w:t xml:space="preserve">      </w:t>
      </w:r>
      <w:r>
        <w:rPr>
          <w:rFonts w:hint="eastAsia" w:asciiTheme="minorEastAsia" w:hAnsiTheme="minorEastAsia" w:eastAsiaTheme="minorEastAsia" w:cstheme="minorEastAsia"/>
          <w:spacing w:val="-98"/>
          <w:sz w:val="24"/>
          <w:szCs w:val="24"/>
          <w:lang w:eastAsia="zh-CN"/>
        </w:rPr>
        <w:t xml:space="preserve"> </w:t>
      </w:r>
      <w:r>
        <w:rPr>
          <w:rFonts w:hint="eastAsia" w:asciiTheme="minorEastAsia" w:hAnsiTheme="minorEastAsia" w:eastAsiaTheme="minorEastAsia" w:cstheme="minorEastAsia"/>
          <w:spacing w:val="10"/>
          <w:sz w:val="24"/>
          <w:szCs w:val="24"/>
          <w:lang w:eastAsia="zh-CN"/>
        </w:rPr>
        <w:t>单位的</w:t>
      </w:r>
      <w:r>
        <w:rPr>
          <w:rFonts w:hint="eastAsia" w:asciiTheme="minorEastAsia" w:hAnsiTheme="minorEastAsia" w:eastAsiaTheme="minorEastAsia" w:cstheme="minorEastAsia"/>
          <w:spacing w:val="-108"/>
          <w:sz w:val="24"/>
          <w:szCs w:val="24"/>
          <w:lang w:eastAsia="zh-CN"/>
        </w:rPr>
        <w:t xml:space="preserve"> </w:t>
      </w:r>
      <w:r>
        <w:rPr>
          <w:rFonts w:hint="eastAsia" w:asciiTheme="minorEastAsia" w:hAnsiTheme="minorEastAsia" w:eastAsiaTheme="minorEastAsia" w:cstheme="minorEastAsia"/>
          <w:spacing w:val="5"/>
          <w:sz w:val="24"/>
          <w:szCs w:val="24"/>
          <w:u w:val="single"/>
          <w:lang w:eastAsia="zh-CN"/>
        </w:rPr>
        <w:t xml:space="preserve">      </w:t>
      </w:r>
      <w:r>
        <w:rPr>
          <w:rFonts w:hint="eastAsia" w:asciiTheme="minorEastAsia" w:hAnsiTheme="minorEastAsia" w:eastAsiaTheme="minorEastAsia" w:cstheme="minorEastAsia"/>
          <w:spacing w:val="-96"/>
          <w:sz w:val="24"/>
          <w:szCs w:val="24"/>
          <w:lang w:eastAsia="zh-CN"/>
        </w:rPr>
        <w:t xml:space="preserve"> </w:t>
      </w:r>
      <w:r>
        <w:rPr>
          <w:rFonts w:hint="eastAsia" w:asciiTheme="minorEastAsia" w:hAnsiTheme="minorEastAsia" w:eastAsiaTheme="minorEastAsia" w:cstheme="minorEastAsia"/>
          <w:spacing w:val="10"/>
          <w:sz w:val="24"/>
          <w:szCs w:val="24"/>
          <w:lang w:eastAsia="zh-CN"/>
        </w:rPr>
        <w:t>项目</w:t>
      </w:r>
      <w:r>
        <w:rPr>
          <w:rFonts w:hint="eastAsia" w:asciiTheme="minorEastAsia" w:hAnsiTheme="minorEastAsia" w:eastAsiaTheme="minorEastAsia" w:cstheme="minorEastAsia"/>
          <w:sz w:val="24"/>
          <w:szCs w:val="24"/>
          <w:lang w:eastAsia="zh-CN"/>
        </w:rPr>
        <w:t xml:space="preserve"> </w:t>
      </w:r>
      <w:r>
        <w:rPr>
          <w:rFonts w:hint="eastAsia" w:asciiTheme="minorEastAsia" w:hAnsiTheme="minorEastAsia" w:eastAsiaTheme="minorEastAsia" w:cstheme="minorEastAsia"/>
          <w:spacing w:val="21"/>
          <w:sz w:val="24"/>
          <w:szCs w:val="24"/>
          <w:lang w:eastAsia="zh-CN"/>
        </w:rPr>
        <w:t>采购活动提供本单位制造的货物（由本单位承担工程/提供服务</w:t>
      </w:r>
      <w:r>
        <w:rPr>
          <w:rFonts w:hint="eastAsia" w:asciiTheme="minorEastAsia" w:hAnsiTheme="minorEastAsia" w:eastAsiaTheme="minorEastAsia" w:cstheme="minorEastAsia"/>
          <w:spacing w:val="-62"/>
          <w:sz w:val="24"/>
          <w:szCs w:val="24"/>
          <w:lang w:eastAsia="zh-CN"/>
        </w:rPr>
        <w:t>），</w:t>
      </w:r>
      <w:r>
        <w:rPr>
          <w:rFonts w:hint="eastAsia" w:asciiTheme="minorEastAsia" w:hAnsiTheme="minorEastAsia" w:eastAsiaTheme="minorEastAsia" w:cstheme="minorEastAsia"/>
          <w:spacing w:val="-71"/>
          <w:sz w:val="24"/>
          <w:szCs w:val="24"/>
          <w:lang w:eastAsia="zh-CN"/>
        </w:rPr>
        <w:t xml:space="preserve"> </w:t>
      </w:r>
      <w:r>
        <w:rPr>
          <w:rFonts w:hint="eastAsia" w:asciiTheme="minorEastAsia" w:hAnsiTheme="minorEastAsia" w:eastAsiaTheme="minorEastAsia" w:cstheme="minorEastAsia"/>
          <w:spacing w:val="21"/>
          <w:sz w:val="24"/>
          <w:szCs w:val="24"/>
          <w:lang w:eastAsia="zh-CN"/>
        </w:rPr>
        <w:t>或者提供其他残</w:t>
      </w:r>
      <w:r>
        <w:rPr>
          <w:rFonts w:hint="eastAsia" w:asciiTheme="minorEastAsia" w:hAnsiTheme="minorEastAsia" w:eastAsiaTheme="minorEastAsia" w:cstheme="minorEastAsia"/>
          <w:spacing w:val="7"/>
          <w:sz w:val="24"/>
          <w:szCs w:val="24"/>
          <w:lang w:eastAsia="zh-CN"/>
        </w:rPr>
        <w:t>疾人福利性单位制造的货物（不包括使用非残疾人福利性单位注册商标的货物）。</w:t>
      </w:r>
    </w:p>
    <w:p w14:paraId="0729C1BF">
      <w:pPr>
        <w:pStyle w:val="13"/>
        <w:spacing w:line="360" w:lineRule="auto"/>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12"/>
          <w:sz w:val="24"/>
          <w:szCs w:val="24"/>
          <w:lang w:eastAsia="zh-CN"/>
          <w14:textOutline w14:w="1536" w14:cap="flat" w14:cmpd="sng" w14:algn="ctr">
            <w14:solidFill>
              <w14:srgbClr w14:val="000000"/>
            </w14:solidFill>
            <w14:prstDash w14:val="solid"/>
            <w14:miter w14:val="0"/>
          </w14:textOutline>
        </w:rPr>
        <w:t>本单位对上述声明的真实性负责。如有虚假，将依法</w:t>
      </w:r>
      <w:r>
        <w:rPr>
          <w:rFonts w:hint="eastAsia" w:asciiTheme="minorEastAsia" w:hAnsiTheme="minorEastAsia" w:eastAsiaTheme="minorEastAsia" w:cstheme="minorEastAsia"/>
          <w:spacing w:val="11"/>
          <w:sz w:val="24"/>
          <w:szCs w:val="24"/>
          <w:lang w:eastAsia="zh-CN"/>
          <w14:textOutline w14:w="1536" w14:cap="flat" w14:cmpd="sng" w14:algn="ctr">
            <w14:solidFill>
              <w14:srgbClr w14:val="000000"/>
            </w14:solidFill>
            <w14:prstDash w14:val="solid"/>
            <w14:miter w14:val="0"/>
          </w14:textOutline>
        </w:rPr>
        <w:t>承担相应责任。</w:t>
      </w:r>
    </w:p>
    <w:p w14:paraId="65DE54CE">
      <w:pPr>
        <w:spacing w:line="360" w:lineRule="auto"/>
        <w:rPr>
          <w:rFonts w:asciiTheme="minorEastAsia" w:hAnsiTheme="minorEastAsia" w:cstheme="minorEastAsia"/>
        </w:rPr>
      </w:pPr>
    </w:p>
    <w:p w14:paraId="3ACD0876">
      <w:pPr>
        <w:spacing w:line="360" w:lineRule="auto"/>
        <w:rPr>
          <w:rFonts w:asciiTheme="minorEastAsia" w:hAnsiTheme="minorEastAsia" w:cstheme="minorEastAsia"/>
        </w:rPr>
      </w:pPr>
    </w:p>
    <w:p w14:paraId="10C1DC6F">
      <w:pPr>
        <w:pStyle w:val="13"/>
        <w:spacing w:line="360" w:lineRule="auto"/>
        <w:ind w:firstLine="5120" w:firstLineChars="20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8"/>
          <w:position w:val="26"/>
          <w:sz w:val="24"/>
          <w:szCs w:val="24"/>
          <w:lang w:eastAsia="zh-CN"/>
        </w:rPr>
        <w:t>单位名称（盖章</w:t>
      </w:r>
      <w:r>
        <w:rPr>
          <w:rFonts w:hint="eastAsia" w:asciiTheme="minorEastAsia" w:hAnsiTheme="minorEastAsia" w:eastAsiaTheme="minorEastAsia" w:cstheme="minorEastAsia"/>
          <w:spacing w:val="-60"/>
          <w:position w:val="26"/>
          <w:sz w:val="24"/>
          <w:szCs w:val="24"/>
          <w:lang w:eastAsia="zh-CN"/>
        </w:rPr>
        <w:t>）：</w:t>
      </w:r>
    </w:p>
    <w:p w14:paraId="5E18532B">
      <w:pPr>
        <w:pStyle w:val="13"/>
        <w:spacing w:line="360" w:lineRule="auto"/>
        <w:ind w:firstLine="5148" w:firstLineChars="26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21"/>
          <w:sz w:val="24"/>
          <w:szCs w:val="24"/>
          <w:lang w:eastAsia="zh-CN"/>
        </w:rPr>
        <w:t>日</w:t>
      </w:r>
      <w:r>
        <w:rPr>
          <w:rFonts w:hint="eastAsia" w:asciiTheme="minorEastAsia" w:hAnsiTheme="minorEastAsia" w:eastAsiaTheme="minorEastAsia" w:cstheme="minorEastAsia"/>
          <w:spacing w:val="24"/>
          <w:sz w:val="24"/>
          <w:szCs w:val="24"/>
          <w:lang w:eastAsia="zh-CN"/>
        </w:rPr>
        <w:t xml:space="preserve">  </w:t>
      </w:r>
      <w:r>
        <w:rPr>
          <w:rFonts w:hint="eastAsia" w:asciiTheme="minorEastAsia" w:hAnsiTheme="minorEastAsia" w:eastAsiaTheme="minorEastAsia" w:cstheme="minorEastAsia"/>
          <w:spacing w:val="-21"/>
          <w:sz w:val="24"/>
          <w:szCs w:val="24"/>
          <w:lang w:eastAsia="zh-CN"/>
        </w:rPr>
        <w:t>期：</w:t>
      </w:r>
      <w:r>
        <w:rPr>
          <w:rFonts w:hint="eastAsia" w:asciiTheme="minorEastAsia" w:hAnsiTheme="minorEastAsia" w:eastAsiaTheme="minorEastAsia" w:cstheme="minorEastAsia"/>
          <w:sz w:val="24"/>
          <w:szCs w:val="24"/>
          <w:u w:val="single"/>
          <w:lang w:eastAsia="zh-CN"/>
        </w:rPr>
        <w:t xml:space="preserve">         </w:t>
      </w:r>
    </w:p>
    <w:p w14:paraId="152A6C81">
      <w:pPr>
        <w:pStyle w:val="13"/>
        <w:spacing w:line="360" w:lineRule="auto"/>
        <w:ind w:firstLine="6960" w:firstLineChars="2900"/>
        <w:rPr>
          <w:rFonts w:asciiTheme="minorEastAsia" w:hAnsiTheme="minorEastAsia" w:eastAsiaTheme="minorEastAsia" w:cstheme="minorEastAsia"/>
          <w:sz w:val="24"/>
          <w:szCs w:val="24"/>
          <w:lang w:eastAsia="zh-CN"/>
        </w:rPr>
      </w:pPr>
    </w:p>
    <w:p w14:paraId="53DC17BE">
      <w:pPr>
        <w:spacing w:line="360" w:lineRule="auto"/>
        <w:rPr>
          <w:rFonts w:asciiTheme="minorEastAsia" w:hAnsiTheme="minorEastAsia" w:cstheme="minorEastAsia"/>
          <w:szCs w:val="24"/>
        </w:rPr>
      </w:pPr>
    </w:p>
    <w:p w14:paraId="03619711">
      <w:pPr>
        <w:spacing w:line="360" w:lineRule="auto"/>
        <w:rPr>
          <w:rFonts w:asciiTheme="minorEastAsia" w:hAnsiTheme="minorEastAsia" w:cstheme="minorEastAsia"/>
          <w:szCs w:val="24"/>
        </w:rPr>
      </w:pPr>
    </w:p>
    <w:p w14:paraId="09B28958">
      <w:pPr>
        <w:spacing w:line="360" w:lineRule="auto"/>
        <w:rPr>
          <w:rFonts w:asciiTheme="minorEastAsia" w:hAnsiTheme="minorEastAsia" w:cstheme="minorEastAsia"/>
          <w:szCs w:val="24"/>
        </w:rPr>
      </w:pPr>
    </w:p>
    <w:p w14:paraId="2DEB4750">
      <w:pPr>
        <w:spacing w:line="360" w:lineRule="auto"/>
        <w:jc w:val="center"/>
        <w:rPr>
          <w:rFonts w:ascii="宋体" w:hAnsi="宋体"/>
          <w:b/>
          <w:sz w:val="28"/>
          <w:szCs w:val="28"/>
        </w:rPr>
      </w:pPr>
    </w:p>
    <w:p w14:paraId="2B4B8D87">
      <w:pPr>
        <w:widowControl/>
        <w:jc w:val="left"/>
        <w:rPr>
          <w:rFonts w:asciiTheme="minorEastAsia" w:hAnsiTheme="minorEastAsia" w:cstheme="minorEastAsia"/>
          <w:snapToGrid w:val="0"/>
          <w:color w:val="000000"/>
          <w:kern w:val="0"/>
          <w:sz w:val="36"/>
          <w:szCs w:val="36"/>
          <w14:textOutline w14:w="2311" w14:cap="flat" w14:cmpd="sng" w14:algn="ctr">
            <w14:solidFill>
              <w14:srgbClr w14:val="000000"/>
            </w14:solidFill>
            <w14:prstDash w14:val="solid"/>
            <w14:miter w14:val="0"/>
          </w14:textOutline>
        </w:rPr>
      </w:pPr>
      <w:r>
        <w:rPr>
          <w:rFonts w:asciiTheme="minorEastAsia" w:hAnsiTheme="minorEastAsia" w:cstheme="minorEastAsia"/>
          <w:snapToGrid w:val="0"/>
          <w:color w:val="000000"/>
          <w:kern w:val="0"/>
          <w:sz w:val="36"/>
          <w:szCs w:val="36"/>
          <w14:textOutline w14:w="2311" w14:cap="flat" w14:cmpd="sng" w14:algn="ctr">
            <w14:solidFill>
              <w14:srgbClr w14:val="000000"/>
            </w14:solidFill>
            <w14:prstDash w14:val="solid"/>
            <w14:miter w14:val="0"/>
          </w14:textOutline>
        </w:rPr>
        <w:br w:type="page"/>
      </w:r>
    </w:p>
    <w:p w14:paraId="13E66777">
      <w:pPr>
        <w:spacing w:line="360" w:lineRule="auto"/>
        <w:jc w:val="center"/>
        <w:rPr>
          <w:rFonts w:ascii="宋体" w:hAnsi="宋体"/>
          <w:b/>
          <w:sz w:val="28"/>
          <w:szCs w:val="28"/>
        </w:rPr>
      </w:pPr>
      <w:r>
        <w:rPr>
          <w:rFonts w:hint="eastAsia" w:asciiTheme="minorEastAsia" w:hAnsiTheme="minorEastAsia" w:cstheme="minorEastAsia"/>
          <w:snapToGrid w:val="0"/>
          <w:color w:val="000000"/>
          <w:kern w:val="0"/>
          <w:sz w:val="36"/>
          <w:szCs w:val="36"/>
          <w14:textOutline w14:w="2311" w14:cap="flat" w14:cmpd="sng" w14:algn="ctr">
            <w14:solidFill>
              <w14:srgbClr w14:val="000000"/>
            </w14:solidFill>
            <w14:prstDash w14:val="solid"/>
            <w14:miter w14:val="0"/>
          </w14:textOutline>
        </w:rPr>
        <w:t>监狱企业声明函格式</w:t>
      </w:r>
    </w:p>
    <w:p w14:paraId="6C4BA87A">
      <w:pPr>
        <w:spacing w:line="360" w:lineRule="auto"/>
        <w:rPr>
          <w:rFonts w:ascii="宋体" w:hAnsi="宋体"/>
          <w:b/>
          <w:sz w:val="28"/>
          <w:szCs w:val="28"/>
        </w:rPr>
      </w:pPr>
    </w:p>
    <w:p w14:paraId="325145F0">
      <w:pPr>
        <w:spacing w:line="360" w:lineRule="auto"/>
        <w:ind w:firstLine="508" w:firstLineChars="200"/>
        <w:rPr>
          <w:rFonts w:asciiTheme="minorEastAsia" w:hAnsiTheme="minorEastAsia" w:cstheme="minorEastAsia"/>
          <w:spacing w:val="7"/>
          <w:szCs w:val="24"/>
        </w:rPr>
      </w:pPr>
      <w:r>
        <w:rPr>
          <w:rFonts w:hint="eastAsia" w:asciiTheme="minorEastAsia" w:hAnsiTheme="minorEastAsia" w:cstheme="minorEastAsia"/>
          <w:snapToGrid w:val="0"/>
          <w:color w:val="000000"/>
          <w:spacing w:val="7"/>
          <w:kern w:val="0"/>
          <w:szCs w:val="24"/>
        </w:rPr>
        <w:t>本企业郑重声明，根据《财政部、司法部关于政府采购支持监狱企业发展有关问题的通知》（财库</w:t>
      </w:r>
      <w:r>
        <w:rPr>
          <w:rFonts w:hint="eastAsia" w:asciiTheme="minorEastAsia" w:hAnsiTheme="minorEastAsia" w:cstheme="minorEastAsia"/>
          <w:spacing w:val="3"/>
          <w:szCs w:val="24"/>
        </w:rPr>
        <w:t>〔2014〕</w:t>
      </w:r>
      <w:r>
        <w:rPr>
          <w:rFonts w:hint="eastAsia" w:asciiTheme="minorEastAsia" w:hAnsiTheme="minorEastAsia" w:cstheme="minorEastAsia"/>
          <w:snapToGrid w:val="0"/>
          <w:color w:val="000000"/>
          <w:spacing w:val="7"/>
          <w:kern w:val="0"/>
          <w:szCs w:val="24"/>
        </w:rPr>
        <w:t>68号），本企业______（是、不是）监狱企业。后附省级以上监狱管理局、戒毒管理局（含新疆生产建设兵团）出具的属于监狱企业证明文件。</w:t>
      </w:r>
    </w:p>
    <w:p w14:paraId="6EC1DE76">
      <w:pPr>
        <w:spacing w:line="360" w:lineRule="auto"/>
        <w:ind w:firstLine="508" w:firstLineChars="200"/>
        <w:rPr>
          <w:rFonts w:asciiTheme="minorEastAsia" w:hAnsiTheme="minorEastAsia" w:cstheme="minorEastAsia"/>
          <w:spacing w:val="7"/>
          <w:szCs w:val="24"/>
        </w:rPr>
      </w:pPr>
      <w:r>
        <w:rPr>
          <w:rFonts w:hint="eastAsia" w:asciiTheme="minorEastAsia" w:hAnsiTheme="minorEastAsia" w:cstheme="minorEastAsia"/>
          <w:snapToGrid w:val="0"/>
          <w:color w:val="000000"/>
          <w:spacing w:val="7"/>
          <w:kern w:val="0"/>
          <w:szCs w:val="24"/>
        </w:rPr>
        <w:t>本企业对上述声明的真实性负责。如有虚假，将依法承担相应责任。</w:t>
      </w:r>
    </w:p>
    <w:p w14:paraId="0CE950C9">
      <w:pPr>
        <w:tabs>
          <w:tab w:val="left" w:pos="4860"/>
        </w:tabs>
        <w:spacing w:line="360" w:lineRule="auto"/>
        <w:ind w:firstLine="508" w:firstLineChars="200"/>
        <w:jc w:val="center"/>
        <w:rPr>
          <w:rFonts w:asciiTheme="minorEastAsia" w:hAnsiTheme="minorEastAsia" w:cstheme="minorEastAsia"/>
          <w:spacing w:val="7"/>
          <w:szCs w:val="24"/>
        </w:rPr>
      </w:pPr>
      <w:r>
        <w:rPr>
          <w:rFonts w:hint="eastAsia" w:asciiTheme="minorEastAsia" w:hAnsiTheme="minorEastAsia" w:cstheme="minorEastAsia"/>
          <w:snapToGrid w:val="0"/>
          <w:color w:val="000000"/>
          <w:spacing w:val="7"/>
          <w:kern w:val="0"/>
          <w:szCs w:val="24"/>
        </w:rPr>
        <w:t xml:space="preserve">                         </w:t>
      </w:r>
    </w:p>
    <w:p w14:paraId="60D8F3B6">
      <w:pPr>
        <w:tabs>
          <w:tab w:val="left" w:pos="4860"/>
        </w:tabs>
        <w:spacing w:line="360" w:lineRule="auto"/>
        <w:ind w:firstLine="508" w:firstLineChars="200"/>
        <w:jc w:val="center"/>
        <w:rPr>
          <w:rFonts w:asciiTheme="minorEastAsia" w:hAnsiTheme="minorEastAsia" w:cstheme="minorEastAsia"/>
          <w:spacing w:val="7"/>
          <w:szCs w:val="24"/>
        </w:rPr>
      </w:pPr>
      <w:r>
        <w:rPr>
          <w:rFonts w:hint="eastAsia" w:asciiTheme="minorEastAsia" w:hAnsiTheme="minorEastAsia" w:cstheme="minorEastAsia"/>
          <w:snapToGrid w:val="0"/>
          <w:color w:val="000000"/>
          <w:spacing w:val="7"/>
          <w:kern w:val="0"/>
          <w:szCs w:val="24"/>
        </w:rPr>
        <w:t xml:space="preserve">                             企业名称（盖章）： </w:t>
      </w:r>
    </w:p>
    <w:p w14:paraId="22D2DE59">
      <w:pPr>
        <w:tabs>
          <w:tab w:val="left" w:pos="4860"/>
        </w:tabs>
        <w:spacing w:line="360" w:lineRule="auto"/>
        <w:ind w:firstLine="508" w:firstLineChars="200"/>
        <w:jc w:val="center"/>
        <w:rPr>
          <w:rFonts w:asciiTheme="minorEastAsia" w:hAnsiTheme="minorEastAsia" w:cstheme="minorEastAsia"/>
          <w:szCs w:val="24"/>
          <w:u w:val="single"/>
        </w:rPr>
      </w:pPr>
      <w:r>
        <w:rPr>
          <w:rFonts w:hint="eastAsia" w:asciiTheme="minorEastAsia" w:hAnsiTheme="minorEastAsia" w:cstheme="minorEastAsia"/>
          <w:snapToGrid w:val="0"/>
          <w:color w:val="000000"/>
          <w:spacing w:val="7"/>
          <w:kern w:val="0"/>
          <w:szCs w:val="24"/>
        </w:rPr>
        <w:t xml:space="preserve">                  日  期：</w:t>
      </w:r>
      <w:r>
        <w:rPr>
          <w:rFonts w:hint="eastAsia" w:asciiTheme="minorEastAsia" w:hAnsiTheme="minorEastAsia" w:cstheme="minorEastAsia"/>
          <w:szCs w:val="24"/>
          <w:u w:val="single"/>
        </w:rPr>
        <w:t xml:space="preserve">         </w:t>
      </w:r>
    </w:p>
    <w:p w14:paraId="2E56E327">
      <w:pPr>
        <w:spacing w:line="360" w:lineRule="auto"/>
        <w:rPr>
          <w:rFonts w:asciiTheme="minorEastAsia" w:hAnsiTheme="minorEastAsia" w:cstheme="minorEastAsia"/>
          <w:b/>
          <w:bCs/>
          <w:szCs w:val="24"/>
        </w:rPr>
      </w:pPr>
    </w:p>
    <w:p w14:paraId="292094AA">
      <w:pPr>
        <w:spacing w:line="360" w:lineRule="auto"/>
        <w:rPr>
          <w:rFonts w:asciiTheme="minorEastAsia" w:hAnsiTheme="minorEastAsia" w:cstheme="minorEastAsia"/>
          <w:b/>
          <w:bCs/>
          <w:szCs w:val="24"/>
        </w:rPr>
      </w:pPr>
    </w:p>
    <w:p w14:paraId="51DA45D7">
      <w:pPr>
        <w:spacing w:line="360" w:lineRule="auto"/>
        <w:ind w:firstLine="482" w:firstLineChars="200"/>
        <w:rPr>
          <w:rFonts w:asciiTheme="minorEastAsia" w:hAnsiTheme="minorEastAsia" w:cstheme="minorEastAsia"/>
          <w:b/>
          <w:bCs/>
          <w:szCs w:val="24"/>
          <w:lang w:val="zh-CN"/>
        </w:rPr>
      </w:pPr>
    </w:p>
    <w:p w14:paraId="3E66081F">
      <w:pPr>
        <w:spacing w:line="360" w:lineRule="auto"/>
        <w:ind w:firstLine="482" w:firstLineChars="200"/>
        <w:rPr>
          <w:rFonts w:asciiTheme="minorEastAsia" w:hAnsiTheme="minorEastAsia" w:cstheme="minorEastAsia"/>
          <w:b/>
          <w:bCs/>
          <w:szCs w:val="24"/>
          <w:lang w:val="zh-CN"/>
        </w:rPr>
      </w:pPr>
    </w:p>
    <w:p w14:paraId="651AAF39">
      <w:pPr>
        <w:spacing w:line="360" w:lineRule="auto"/>
        <w:ind w:firstLine="482" w:firstLineChars="200"/>
        <w:rPr>
          <w:rFonts w:asciiTheme="minorEastAsia" w:hAnsiTheme="minorEastAsia" w:cstheme="minorEastAsia"/>
          <w:b/>
          <w:bCs/>
          <w:szCs w:val="24"/>
          <w:lang w:val="zh-CN"/>
        </w:rPr>
      </w:pPr>
    </w:p>
    <w:p w14:paraId="0F8AF9B6">
      <w:pPr>
        <w:spacing w:line="360" w:lineRule="auto"/>
        <w:jc w:val="center"/>
        <w:rPr>
          <w:rFonts w:asciiTheme="minorEastAsia" w:hAnsiTheme="minorEastAsia" w:cstheme="minorEastAsia"/>
          <w:b/>
          <w:bCs/>
          <w:szCs w:val="24"/>
          <w:lang w:val="zh-CN"/>
        </w:rPr>
      </w:pPr>
      <w:r>
        <w:rPr>
          <w:rFonts w:asciiTheme="minorEastAsia" w:hAnsiTheme="minorEastAsia" w:cstheme="minorEastAsia"/>
          <w:b/>
          <w:bCs/>
          <w:szCs w:val="24"/>
          <w:lang w:val="zh-CN"/>
        </w:rPr>
        <w:br w:type="page"/>
      </w:r>
    </w:p>
    <w:p w14:paraId="038BA43C">
      <w:pPr>
        <w:spacing w:line="360" w:lineRule="auto"/>
        <w:jc w:val="center"/>
        <w:rPr>
          <w:rFonts w:asciiTheme="minorEastAsia" w:hAnsiTheme="minorEastAsia" w:cstheme="minorEastAsia"/>
          <w:b/>
          <w:bCs/>
          <w:szCs w:val="24"/>
          <w:lang w:val="zh-CN"/>
        </w:rPr>
      </w:pPr>
    </w:p>
    <w:p w14:paraId="1D0F8348">
      <w:pPr>
        <w:spacing w:line="360" w:lineRule="auto"/>
        <w:jc w:val="center"/>
        <w:rPr>
          <w:rFonts w:ascii="宋体" w:hAnsi="宋体" w:cs="宋体"/>
          <w:b/>
          <w:bCs/>
          <w:color w:val="auto"/>
          <w:spacing w:val="2"/>
          <w:position w:val="17"/>
          <w:sz w:val="30"/>
          <w:szCs w:val="30"/>
        </w:rPr>
      </w:pPr>
      <w:r>
        <w:rPr>
          <w:rFonts w:hint="eastAsia" w:ascii="宋体" w:hAnsi="宋体" w:cs="宋体"/>
          <w:b/>
          <w:bCs/>
          <w:color w:val="auto"/>
          <w:spacing w:val="2"/>
          <w:position w:val="17"/>
          <w:sz w:val="30"/>
          <w:szCs w:val="30"/>
        </w:rPr>
        <w:t>唐河县政府采购合同融资政策告知函</w:t>
      </w:r>
    </w:p>
    <w:p w14:paraId="39E5B7F8">
      <w:pPr>
        <w:spacing w:line="480" w:lineRule="exact"/>
        <w:ind w:firstLine="488" w:firstLineChars="200"/>
        <w:rPr>
          <w:rFonts w:hint="eastAsia" w:ascii="宋体" w:hAnsi="宋体" w:cs="宋体"/>
          <w:color w:val="auto"/>
          <w:spacing w:val="2"/>
          <w:position w:val="17"/>
          <w:sz w:val="24"/>
        </w:rPr>
      </w:pPr>
    </w:p>
    <w:p w14:paraId="00773BE4">
      <w:pPr>
        <w:spacing w:line="480" w:lineRule="exact"/>
        <w:ind w:firstLine="488" w:firstLineChars="200"/>
        <w:rPr>
          <w:rFonts w:ascii="宋体" w:hAnsi="宋体" w:cs="宋体"/>
          <w:color w:val="auto"/>
          <w:spacing w:val="2"/>
          <w:position w:val="17"/>
          <w:sz w:val="24"/>
        </w:rPr>
      </w:pPr>
      <w:r>
        <w:rPr>
          <w:rFonts w:hint="eastAsia" w:ascii="宋体" w:hAnsi="宋体" w:cs="宋体"/>
          <w:color w:val="auto"/>
          <w:spacing w:val="2"/>
          <w:position w:val="17"/>
          <w:sz w:val="24"/>
        </w:rPr>
        <w:t>各供应商：</w:t>
      </w:r>
    </w:p>
    <w:p w14:paraId="63109797">
      <w:pPr>
        <w:spacing w:line="480" w:lineRule="exact"/>
        <w:ind w:firstLine="488" w:firstLineChars="200"/>
        <w:rPr>
          <w:rFonts w:ascii="宋体" w:hAnsi="宋体" w:cs="宋体"/>
          <w:color w:val="auto"/>
          <w:spacing w:val="2"/>
          <w:position w:val="17"/>
          <w:sz w:val="24"/>
        </w:rPr>
      </w:pPr>
      <w:r>
        <w:rPr>
          <w:rFonts w:hint="eastAsia" w:ascii="宋体" w:hAnsi="宋体" w:cs="宋体"/>
          <w:color w:val="auto"/>
          <w:spacing w:val="2"/>
          <w:position w:val="17"/>
          <w:sz w:val="24"/>
        </w:rPr>
        <w:t>欢迎贵公司参与唐河县政府采购活动!</w:t>
      </w:r>
    </w:p>
    <w:p w14:paraId="0B265062">
      <w:pPr>
        <w:spacing w:line="480" w:lineRule="exact"/>
        <w:ind w:firstLine="488" w:firstLineChars="200"/>
        <w:rPr>
          <w:rFonts w:ascii="宋体" w:hAnsi="宋体" w:cs="宋体"/>
          <w:color w:val="auto"/>
          <w:spacing w:val="2"/>
          <w:position w:val="17"/>
          <w:sz w:val="24"/>
        </w:rPr>
      </w:pPr>
      <w:r>
        <w:rPr>
          <w:rFonts w:hint="eastAsia" w:ascii="宋体" w:hAnsi="宋体" w:cs="宋体"/>
          <w:color w:val="auto"/>
          <w:spacing w:val="2"/>
          <w:position w:val="17"/>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技术方案》(豫财购﹝2017﹞10号)，按照双方自愿的原则提供便捷、优惠的贷款服务。</w:t>
      </w:r>
    </w:p>
    <w:p w14:paraId="205FDC8B">
      <w:pPr>
        <w:spacing w:line="480" w:lineRule="exact"/>
        <w:ind w:firstLine="488" w:firstLineChars="200"/>
        <w:rPr>
          <w:rFonts w:ascii="宋体" w:hAnsi="宋体" w:cs="宋体"/>
          <w:color w:val="auto"/>
          <w:spacing w:val="2"/>
          <w:position w:val="17"/>
          <w:sz w:val="24"/>
        </w:rPr>
      </w:pPr>
      <w:r>
        <w:rPr>
          <w:rFonts w:hint="eastAsia" w:ascii="宋体" w:hAnsi="宋体" w:cs="宋体"/>
          <w:color w:val="auto"/>
          <w:spacing w:val="2"/>
          <w:position w:val="17"/>
          <w:sz w:val="24"/>
        </w:rPr>
        <w:t>贷款渠道和提供贷款的金融机构，可在河南省政府采购网“河南省政府采购合同融资平台”查询联系。</w:t>
      </w:r>
    </w:p>
    <w:p w14:paraId="09645A57">
      <w:pPr>
        <w:pStyle w:val="77"/>
        <w:spacing w:line="480" w:lineRule="exact"/>
        <w:ind w:firstLine="430"/>
        <w:rPr>
          <w:color w:val="auto"/>
        </w:rPr>
      </w:pPr>
      <w:r>
        <w:rPr>
          <w:rFonts w:hint="eastAsia" w:ascii="宋体" w:hAnsi="宋体" w:cs="宋体"/>
          <w:b/>
          <w:bCs/>
          <w:color w:val="auto"/>
          <w:spacing w:val="-13"/>
          <w:sz w:val="24"/>
        </w:rPr>
        <w:t>为更大力度激发市场活力和社会创造力，增强发展动力，进一步加强政府采购合同线上融资一站式服务（简称“政采贷” ），有需求的供应商，可按上述通知要求办理政采贷 。</w:t>
      </w:r>
    </w:p>
    <w:p w14:paraId="50754488">
      <w:pPr>
        <w:pStyle w:val="46"/>
        <w:rPr>
          <w:rFonts w:hint="eastAsia"/>
          <w:color w:val="auto"/>
        </w:rPr>
      </w:pPr>
    </w:p>
    <w:p w14:paraId="5CDE0F06">
      <w:pPr>
        <w:spacing w:line="360" w:lineRule="auto"/>
        <w:ind w:firstLine="480" w:firstLineChars="200"/>
        <w:rPr>
          <w:rFonts w:ascii="宋体" w:hAnsi="宋体" w:eastAsia="宋体" w:cs="宋体"/>
          <w:szCs w:val="24"/>
        </w:rPr>
      </w:pPr>
    </w:p>
    <w:p w14:paraId="276D032D">
      <w:pPr>
        <w:widowControl/>
        <w:jc w:val="left"/>
        <w:rPr>
          <w:rFonts w:asciiTheme="minorEastAsia" w:hAnsiTheme="minorEastAsia" w:cstheme="minorEastAsia"/>
          <w:b/>
          <w:bCs/>
          <w:snapToGrid w:val="0"/>
          <w:color w:val="000000"/>
          <w:kern w:val="0"/>
          <w:szCs w:val="24"/>
          <w:lang w:val="zh-CN"/>
        </w:rPr>
      </w:pPr>
    </w:p>
    <w:p w14:paraId="0BFC74D1">
      <w:pPr>
        <w:widowControl/>
        <w:jc w:val="left"/>
        <w:rPr>
          <w:rFonts w:asciiTheme="minorEastAsia" w:hAnsiTheme="minorEastAsia" w:cstheme="minorEastAsia"/>
          <w:b/>
          <w:bCs/>
          <w:snapToGrid w:val="0"/>
          <w:color w:val="000000"/>
          <w:kern w:val="0"/>
          <w:szCs w:val="24"/>
          <w:lang w:val="zh-CN"/>
        </w:rPr>
      </w:pPr>
    </w:p>
    <w:p w14:paraId="2C19129C">
      <w:pPr>
        <w:widowControl/>
        <w:jc w:val="left"/>
        <w:rPr>
          <w:rFonts w:asciiTheme="minorEastAsia" w:hAnsiTheme="minorEastAsia" w:cstheme="minorEastAsia"/>
          <w:b/>
          <w:bCs/>
          <w:snapToGrid w:val="0"/>
          <w:color w:val="000000"/>
          <w:kern w:val="0"/>
          <w:szCs w:val="24"/>
          <w:lang w:val="zh-CN"/>
        </w:rPr>
      </w:pPr>
    </w:p>
    <w:p w14:paraId="15F6FE6C">
      <w:pPr>
        <w:widowControl/>
        <w:jc w:val="left"/>
        <w:rPr>
          <w:rFonts w:asciiTheme="minorEastAsia" w:hAnsiTheme="minorEastAsia" w:cstheme="minorEastAsia"/>
          <w:b/>
          <w:bCs/>
          <w:snapToGrid w:val="0"/>
          <w:color w:val="000000"/>
          <w:kern w:val="0"/>
          <w:szCs w:val="24"/>
          <w:lang w:val="zh-CN"/>
        </w:rPr>
      </w:pPr>
    </w:p>
    <w:p w14:paraId="5ED71A85">
      <w:pPr>
        <w:widowControl/>
        <w:jc w:val="left"/>
        <w:rPr>
          <w:rFonts w:asciiTheme="minorEastAsia" w:hAnsiTheme="minorEastAsia" w:cstheme="minorEastAsia"/>
          <w:b/>
          <w:bCs/>
          <w:snapToGrid w:val="0"/>
          <w:color w:val="000000"/>
          <w:kern w:val="0"/>
          <w:szCs w:val="24"/>
          <w:lang w:val="zh-CN"/>
        </w:rPr>
      </w:pPr>
    </w:p>
    <w:p w14:paraId="47F6F9D1">
      <w:pPr>
        <w:widowControl/>
        <w:jc w:val="left"/>
        <w:rPr>
          <w:rFonts w:asciiTheme="minorEastAsia" w:hAnsiTheme="minorEastAsia" w:cstheme="minorEastAsia"/>
          <w:b/>
          <w:bCs/>
          <w:snapToGrid w:val="0"/>
          <w:color w:val="000000"/>
          <w:kern w:val="0"/>
          <w:szCs w:val="24"/>
          <w:lang w:val="zh-CN"/>
        </w:rPr>
      </w:pPr>
    </w:p>
    <w:p w14:paraId="22DBC2DF">
      <w:pPr>
        <w:widowControl/>
        <w:jc w:val="left"/>
        <w:rPr>
          <w:rFonts w:asciiTheme="minorEastAsia" w:hAnsiTheme="minorEastAsia" w:cstheme="minorEastAsia"/>
          <w:b/>
          <w:bCs/>
          <w:snapToGrid w:val="0"/>
          <w:color w:val="000000"/>
          <w:kern w:val="0"/>
          <w:szCs w:val="24"/>
          <w:lang w:val="zh-CN"/>
        </w:rPr>
      </w:pPr>
    </w:p>
    <w:p w14:paraId="6B947E6E">
      <w:pPr>
        <w:widowControl/>
        <w:jc w:val="left"/>
        <w:rPr>
          <w:rFonts w:asciiTheme="minorEastAsia" w:hAnsiTheme="minorEastAsia" w:cstheme="minorEastAsia"/>
          <w:b/>
          <w:bCs/>
          <w:snapToGrid w:val="0"/>
          <w:color w:val="000000"/>
          <w:kern w:val="0"/>
          <w:szCs w:val="24"/>
          <w:lang w:val="zh-CN"/>
        </w:rPr>
      </w:pPr>
    </w:p>
    <w:p w14:paraId="791CBBBB">
      <w:pPr>
        <w:widowControl/>
        <w:jc w:val="left"/>
        <w:rPr>
          <w:rFonts w:asciiTheme="minorEastAsia" w:hAnsiTheme="minorEastAsia" w:cstheme="minorEastAsia"/>
          <w:b/>
          <w:bCs/>
          <w:snapToGrid w:val="0"/>
          <w:color w:val="000000"/>
          <w:kern w:val="0"/>
          <w:szCs w:val="24"/>
          <w:lang w:val="zh-CN"/>
        </w:rPr>
      </w:pPr>
    </w:p>
    <w:p w14:paraId="3D1B84B3">
      <w:pPr>
        <w:widowControl/>
        <w:jc w:val="left"/>
        <w:rPr>
          <w:rFonts w:asciiTheme="minorEastAsia" w:hAnsiTheme="minorEastAsia" w:cstheme="minorEastAsia"/>
          <w:b/>
          <w:bCs/>
          <w:snapToGrid w:val="0"/>
          <w:color w:val="000000"/>
          <w:kern w:val="0"/>
          <w:szCs w:val="24"/>
          <w:lang w:val="zh-CN"/>
        </w:rPr>
      </w:pPr>
    </w:p>
    <w:p w14:paraId="5C280CE2">
      <w:pPr>
        <w:widowControl/>
        <w:jc w:val="left"/>
        <w:rPr>
          <w:rFonts w:asciiTheme="minorEastAsia" w:hAnsiTheme="minorEastAsia" w:cstheme="minorEastAsia"/>
          <w:b/>
          <w:bCs/>
          <w:snapToGrid w:val="0"/>
          <w:color w:val="000000"/>
          <w:kern w:val="0"/>
          <w:szCs w:val="24"/>
          <w:lang w:val="zh-CN"/>
        </w:rPr>
      </w:pPr>
    </w:p>
    <w:p w14:paraId="22C2C0AF">
      <w:pPr>
        <w:widowControl/>
        <w:jc w:val="left"/>
        <w:rPr>
          <w:rFonts w:asciiTheme="minorEastAsia" w:hAnsiTheme="minorEastAsia" w:cstheme="minorEastAsia"/>
          <w:b/>
          <w:bCs/>
          <w:snapToGrid w:val="0"/>
          <w:color w:val="000000"/>
          <w:kern w:val="0"/>
          <w:szCs w:val="24"/>
          <w:lang w:val="zh-CN"/>
        </w:rPr>
      </w:pPr>
    </w:p>
    <w:p w14:paraId="3AEDAEE1">
      <w:pPr>
        <w:widowControl/>
        <w:jc w:val="left"/>
        <w:rPr>
          <w:rFonts w:asciiTheme="minorEastAsia" w:hAnsiTheme="minorEastAsia" w:cstheme="minorEastAsia"/>
          <w:b/>
          <w:bCs/>
          <w:snapToGrid w:val="0"/>
          <w:color w:val="000000"/>
          <w:kern w:val="0"/>
          <w:szCs w:val="24"/>
          <w:lang w:val="zh-CN"/>
        </w:rPr>
      </w:pPr>
    </w:p>
    <w:p w14:paraId="0294E6C2">
      <w:pPr>
        <w:widowControl/>
        <w:jc w:val="left"/>
        <w:rPr>
          <w:rFonts w:asciiTheme="minorEastAsia" w:hAnsiTheme="minorEastAsia" w:cstheme="minorEastAsia"/>
          <w:b/>
          <w:bCs/>
          <w:snapToGrid w:val="0"/>
          <w:color w:val="000000"/>
          <w:kern w:val="0"/>
          <w:szCs w:val="24"/>
          <w:lang w:val="zh-CN"/>
        </w:rPr>
      </w:pPr>
    </w:p>
    <w:p w14:paraId="5E45531E">
      <w:pPr>
        <w:widowControl/>
        <w:jc w:val="left"/>
        <w:rPr>
          <w:rFonts w:asciiTheme="minorEastAsia" w:hAnsiTheme="minorEastAsia" w:cstheme="minorEastAsia"/>
          <w:b/>
          <w:bCs/>
          <w:snapToGrid w:val="0"/>
          <w:color w:val="000000"/>
          <w:kern w:val="0"/>
          <w:szCs w:val="24"/>
          <w:lang w:val="zh-CN"/>
        </w:rPr>
      </w:pPr>
    </w:p>
    <w:p w14:paraId="5FC324CA">
      <w:pPr>
        <w:widowControl/>
        <w:jc w:val="left"/>
        <w:rPr>
          <w:rFonts w:asciiTheme="minorEastAsia" w:hAnsiTheme="minorEastAsia" w:cstheme="minorEastAsia"/>
          <w:b/>
          <w:bCs/>
          <w:snapToGrid w:val="0"/>
          <w:color w:val="000000"/>
          <w:kern w:val="0"/>
          <w:szCs w:val="24"/>
          <w:lang w:val="zh-CN"/>
        </w:rPr>
      </w:pPr>
    </w:p>
    <w:p w14:paraId="31EC31AD">
      <w:pPr>
        <w:widowControl/>
        <w:jc w:val="left"/>
        <w:rPr>
          <w:rFonts w:asciiTheme="minorEastAsia" w:hAnsiTheme="minorEastAsia" w:cstheme="minorEastAsia"/>
          <w:b/>
          <w:bCs/>
          <w:snapToGrid w:val="0"/>
          <w:color w:val="000000"/>
          <w:kern w:val="0"/>
          <w:szCs w:val="24"/>
          <w:lang w:val="zh-CN"/>
        </w:rPr>
      </w:pPr>
    </w:p>
    <w:p w14:paraId="482EF58D">
      <w:pPr>
        <w:widowControl/>
        <w:jc w:val="left"/>
        <w:rPr>
          <w:rFonts w:asciiTheme="minorEastAsia" w:hAnsiTheme="minorEastAsia" w:cstheme="minorEastAsia"/>
          <w:b/>
          <w:bCs/>
          <w:snapToGrid w:val="0"/>
          <w:color w:val="000000"/>
          <w:kern w:val="0"/>
          <w:szCs w:val="24"/>
          <w:lang w:val="zh-CN"/>
        </w:rPr>
      </w:pPr>
    </w:p>
    <w:p w14:paraId="643C9CAE">
      <w:pPr>
        <w:widowControl/>
        <w:jc w:val="left"/>
        <w:rPr>
          <w:rFonts w:asciiTheme="minorEastAsia" w:hAnsiTheme="minorEastAsia" w:cstheme="minorEastAsia"/>
          <w:b/>
          <w:bCs/>
          <w:snapToGrid w:val="0"/>
          <w:color w:val="000000"/>
          <w:kern w:val="0"/>
          <w:szCs w:val="24"/>
          <w:lang w:val="zh-CN"/>
        </w:rPr>
      </w:pPr>
    </w:p>
    <w:p w14:paraId="113AB0BB">
      <w:pPr>
        <w:widowControl/>
        <w:jc w:val="left"/>
        <w:rPr>
          <w:rFonts w:asciiTheme="minorEastAsia" w:hAnsiTheme="minorEastAsia" w:cstheme="minorEastAsia"/>
          <w:b/>
          <w:bCs/>
          <w:snapToGrid w:val="0"/>
          <w:color w:val="000000"/>
          <w:kern w:val="0"/>
          <w:szCs w:val="24"/>
          <w:lang w:val="zh-CN"/>
        </w:rPr>
      </w:pPr>
    </w:p>
    <w:p w14:paraId="1883E970">
      <w:pPr>
        <w:widowControl/>
        <w:jc w:val="left"/>
        <w:rPr>
          <w:rFonts w:asciiTheme="minorEastAsia" w:hAnsiTheme="minorEastAsia" w:cstheme="minorEastAsia"/>
          <w:b/>
          <w:bCs/>
          <w:snapToGrid w:val="0"/>
          <w:color w:val="000000"/>
          <w:kern w:val="0"/>
          <w:szCs w:val="24"/>
          <w:lang w:val="zh-CN"/>
        </w:rPr>
      </w:pPr>
    </w:p>
    <w:p w14:paraId="7D0B4E8D">
      <w:pPr>
        <w:widowControl/>
        <w:jc w:val="left"/>
        <w:rPr>
          <w:rFonts w:asciiTheme="minorEastAsia" w:hAnsiTheme="minorEastAsia" w:cstheme="minorEastAsia"/>
          <w:b/>
          <w:bCs/>
          <w:snapToGrid w:val="0"/>
          <w:color w:val="000000"/>
          <w:kern w:val="0"/>
          <w:szCs w:val="24"/>
          <w:lang w:val="zh-CN"/>
        </w:rPr>
      </w:pPr>
    </w:p>
    <w:p w14:paraId="346D737F">
      <w:pPr>
        <w:widowControl/>
        <w:jc w:val="left"/>
        <w:rPr>
          <w:rFonts w:asciiTheme="minorEastAsia" w:hAnsiTheme="minorEastAsia" w:cstheme="minorEastAsia"/>
          <w:b/>
          <w:bCs/>
          <w:snapToGrid w:val="0"/>
          <w:color w:val="000000"/>
          <w:kern w:val="0"/>
          <w:szCs w:val="24"/>
          <w:lang w:val="zh-CN"/>
        </w:rPr>
      </w:pPr>
    </w:p>
    <w:p w14:paraId="693472D7">
      <w:pPr>
        <w:widowControl/>
        <w:jc w:val="left"/>
        <w:rPr>
          <w:rFonts w:asciiTheme="minorEastAsia" w:hAnsiTheme="minorEastAsia" w:cstheme="minorEastAsia"/>
          <w:b/>
          <w:bCs/>
          <w:snapToGrid w:val="0"/>
          <w:color w:val="000000"/>
          <w:kern w:val="0"/>
          <w:szCs w:val="24"/>
          <w:lang w:val="zh-CN"/>
        </w:rPr>
      </w:pPr>
    </w:p>
    <w:p w14:paraId="2B0EA88D">
      <w:pPr>
        <w:bidi w:val="0"/>
        <w:jc w:val="center"/>
        <w:rPr>
          <w:rFonts w:hint="eastAsia"/>
          <w:b/>
          <w:bCs/>
          <w:sz w:val="36"/>
          <w:szCs w:val="32"/>
          <w:lang w:val="en-US" w:eastAsia="zh-CN"/>
        </w:rPr>
      </w:pPr>
      <w:bookmarkStart w:id="112" w:name="_Toc12736"/>
      <w:bookmarkStart w:id="113" w:name="_Toc31290"/>
      <w:r>
        <w:rPr>
          <w:rFonts w:hint="eastAsia"/>
          <w:b/>
          <w:bCs/>
          <w:sz w:val="36"/>
          <w:szCs w:val="32"/>
          <w:lang w:val="en-US" w:eastAsia="zh-CN"/>
        </w:rPr>
        <w:t>告知函</w:t>
      </w:r>
      <w:bookmarkEnd w:id="112"/>
      <w:bookmarkEnd w:id="113"/>
    </w:p>
    <w:tbl>
      <w:tblPr>
        <w:tblStyle w:val="31"/>
        <w:tblpPr w:leftFromText="180" w:rightFromText="180" w:vertAnchor="text" w:horzAnchor="page" w:tblpX="1255" w:tblpY="606"/>
        <w:tblOverlap w:val="never"/>
        <w:tblW w:w="96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9"/>
        <w:gridCol w:w="2237"/>
        <w:gridCol w:w="6221"/>
      </w:tblGrid>
      <w:tr w14:paraId="5BE37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1199" w:type="dxa"/>
          </w:tcPr>
          <w:p w14:paraId="5763D54F">
            <w:pPr>
              <w:widowControl w:val="0"/>
              <w:jc w:val="center"/>
              <w:rPr>
                <w:rFonts w:hint="default"/>
                <w:sz w:val="24"/>
                <w:szCs w:val="24"/>
                <w:vertAlign w:val="baseline"/>
                <w:lang w:val="en-US" w:eastAsia="zh-CN"/>
              </w:rPr>
            </w:pPr>
            <w:r>
              <w:rPr>
                <w:rFonts w:hint="eastAsia"/>
                <w:sz w:val="24"/>
                <w:szCs w:val="24"/>
                <w:vertAlign w:val="baseline"/>
                <w:lang w:val="en-US" w:eastAsia="zh-CN"/>
              </w:rPr>
              <w:t>事项</w:t>
            </w:r>
          </w:p>
        </w:tc>
        <w:tc>
          <w:tcPr>
            <w:tcW w:w="2237" w:type="dxa"/>
          </w:tcPr>
          <w:p w14:paraId="005D6DAE">
            <w:pPr>
              <w:widowControl w:val="0"/>
              <w:jc w:val="center"/>
              <w:rPr>
                <w:rFonts w:hint="default"/>
                <w:sz w:val="24"/>
                <w:szCs w:val="24"/>
                <w:vertAlign w:val="baseline"/>
                <w:lang w:val="en-US" w:eastAsia="zh-CN"/>
              </w:rPr>
            </w:pPr>
            <w:r>
              <w:rPr>
                <w:rFonts w:hint="eastAsia"/>
                <w:sz w:val="24"/>
                <w:szCs w:val="24"/>
                <w:vertAlign w:val="baseline"/>
                <w:lang w:val="en-US" w:eastAsia="zh-CN"/>
              </w:rPr>
              <w:t xml:space="preserve">时限 </w:t>
            </w:r>
          </w:p>
        </w:tc>
        <w:tc>
          <w:tcPr>
            <w:tcW w:w="6221" w:type="dxa"/>
          </w:tcPr>
          <w:p w14:paraId="2C9182C4">
            <w:pPr>
              <w:widowControl w:val="0"/>
              <w:jc w:val="center"/>
              <w:rPr>
                <w:rFonts w:hint="default"/>
                <w:sz w:val="24"/>
                <w:szCs w:val="24"/>
                <w:vertAlign w:val="baseline"/>
                <w:lang w:val="en-US" w:eastAsia="zh-CN"/>
              </w:rPr>
            </w:pPr>
            <w:r>
              <w:rPr>
                <w:rFonts w:hint="eastAsia"/>
                <w:sz w:val="24"/>
                <w:szCs w:val="24"/>
                <w:vertAlign w:val="baseline"/>
                <w:lang w:val="en-US" w:eastAsia="zh-CN"/>
              </w:rPr>
              <w:t>要求</w:t>
            </w:r>
          </w:p>
        </w:tc>
      </w:tr>
      <w:tr w14:paraId="1060C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9" w:hRule="atLeast"/>
        </w:trPr>
        <w:tc>
          <w:tcPr>
            <w:tcW w:w="1199" w:type="dxa"/>
          </w:tcPr>
          <w:p w14:paraId="10661675">
            <w:pPr>
              <w:widowControl w:val="0"/>
              <w:jc w:val="center"/>
              <w:rPr>
                <w:rFonts w:hint="eastAsia"/>
                <w:sz w:val="24"/>
                <w:szCs w:val="24"/>
                <w:vertAlign w:val="baseline"/>
                <w:lang w:val="en-US" w:eastAsia="zh-CN"/>
              </w:rPr>
            </w:pPr>
          </w:p>
          <w:p w14:paraId="777F1350">
            <w:pPr>
              <w:widowControl w:val="0"/>
              <w:jc w:val="center"/>
              <w:rPr>
                <w:rFonts w:hint="eastAsia"/>
                <w:sz w:val="24"/>
                <w:szCs w:val="24"/>
                <w:vertAlign w:val="baseline"/>
                <w:lang w:val="en-US" w:eastAsia="zh-CN"/>
              </w:rPr>
            </w:pPr>
          </w:p>
          <w:p w14:paraId="6B06EA30">
            <w:pPr>
              <w:widowControl w:val="0"/>
              <w:jc w:val="center"/>
              <w:rPr>
                <w:rFonts w:hint="eastAsia"/>
                <w:sz w:val="24"/>
                <w:szCs w:val="24"/>
                <w:vertAlign w:val="baseline"/>
                <w:lang w:val="en-US" w:eastAsia="zh-CN"/>
              </w:rPr>
            </w:pPr>
          </w:p>
          <w:p w14:paraId="20EFC627">
            <w:pPr>
              <w:widowControl w:val="0"/>
              <w:jc w:val="center"/>
              <w:rPr>
                <w:rFonts w:hint="default"/>
                <w:sz w:val="24"/>
                <w:szCs w:val="24"/>
                <w:vertAlign w:val="baseline"/>
                <w:lang w:val="en-US" w:eastAsia="zh-CN"/>
              </w:rPr>
            </w:pPr>
            <w:r>
              <w:rPr>
                <w:rFonts w:hint="eastAsia"/>
                <w:sz w:val="24"/>
                <w:szCs w:val="24"/>
                <w:vertAlign w:val="baseline"/>
                <w:lang w:val="en-US" w:eastAsia="zh-CN"/>
              </w:rPr>
              <w:t>合同签订</w:t>
            </w:r>
          </w:p>
        </w:tc>
        <w:tc>
          <w:tcPr>
            <w:tcW w:w="2237" w:type="dxa"/>
          </w:tcPr>
          <w:p w14:paraId="2A4D960F">
            <w:pPr>
              <w:widowControl w:val="0"/>
              <w:ind w:firstLine="480" w:firstLineChars="200"/>
              <w:rPr>
                <w:rFonts w:hint="default"/>
                <w:sz w:val="24"/>
                <w:szCs w:val="24"/>
                <w:vertAlign w:val="baseline"/>
                <w:lang w:val="en-US" w:eastAsia="zh-CN"/>
              </w:rPr>
            </w:pPr>
          </w:p>
          <w:p w14:paraId="41989614">
            <w:pPr>
              <w:widowControl w:val="0"/>
              <w:ind w:firstLine="480" w:firstLineChars="200"/>
              <w:rPr>
                <w:rFonts w:hint="default"/>
                <w:sz w:val="24"/>
                <w:szCs w:val="24"/>
                <w:vertAlign w:val="baseline"/>
                <w:lang w:val="en-US" w:eastAsia="zh-CN"/>
              </w:rPr>
            </w:pPr>
            <w:r>
              <w:rPr>
                <w:rFonts w:hint="default"/>
                <w:sz w:val="24"/>
                <w:szCs w:val="24"/>
                <w:vertAlign w:val="baseline"/>
                <w:lang w:val="en-US" w:eastAsia="zh-CN"/>
              </w:rPr>
              <w:t>中标(成交)通知书发出之日起</w:t>
            </w:r>
            <w:r>
              <w:rPr>
                <w:rFonts w:hint="eastAsia"/>
                <w:sz w:val="24"/>
                <w:szCs w:val="24"/>
                <w:vertAlign w:val="baseline"/>
                <w:lang w:val="en-US" w:eastAsia="zh-CN"/>
              </w:rPr>
              <w:t>1</w:t>
            </w:r>
            <w:r>
              <w:rPr>
                <w:rFonts w:hint="default"/>
                <w:sz w:val="24"/>
                <w:szCs w:val="24"/>
                <w:vertAlign w:val="baseline"/>
                <w:lang w:val="en-US" w:eastAsia="zh-CN"/>
              </w:rPr>
              <w:t>个工作日内采购人与供应商签订政府采购合同。</w:t>
            </w:r>
          </w:p>
        </w:tc>
        <w:tc>
          <w:tcPr>
            <w:tcW w:w="6221" w:type="dxa"/>
          </w:tcPr>
          <w:p w14:paraId="59439B85">
            <w:pPr>
              <w:widowControl w:val="0"/>
              <w:ind w:firstLine="480" w:firstLineChars="200"/>
              <w:rPr>
                <w:rFonts w:hint="eastAsia"/>
              </w:rPr>
            </w:pPr>
          </w:p>
          <w:p w14:paraId="74E38DA3">
            <w:pPr>
              <w:widowControl w:val="0"/>
              <w:ind w:firstLine="480" w:firstLineChars="200"/>
              <w:rPr>
                <w:rFonts w:hint="eastAsia"/>
                <w:sz w:val="24"/>
                <w:szCs w:val="24"/>
              </w:rPr>
            </w:pPr>
            <w:r>
              <w:rPr>
                <w:rFonts w:hint="eastAsia"/>
                <w:sz w:val="24"/>
                <w:szCs w:val="24"/>
              </w:rPr>
              <w:t>采购人应当按照采购文件要求，拟制符合采购项目通知书特点的技术要求，包括采购人与供应商权利义务、验收程序和要求、合同内容、交付时间、付款程序和条件、签订日期、供应商账户信息、违约赔偿和处罚程序、争议处理等内容的合同文本， 经本单位法制审查或集体决策后与供应商签订政府采购合同。</w:t>
            </w:r>
          </w:p>
          <w:p w14:paraId="7575E8E8">
            <w:pPr>
              <w:widowControl w:val="0"/>
              <w:rPr>
                <w:rFonts w:hint="default"/>
                <w:sz w:val="24"/>
                <w:szCs w:val="24"/>
                <w:vertAlign w:val="baseline"/>
                <w:lang w:val="en-US" w:eastAsia="zh-CN"/>
              </w:rPr>
            </w:pPr>
          </w:p>
        </w:tc>
      </w:tr>
      <w:tr w14:paraId="5DA76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8" w:hRule="atLeast"/>
        </w:trPr>
        <w:tc>
          <w:tcPr>
            <w:tcW w:w="1199" w:type="dxa"/>
          </w:tcPr>
          <w:p w14:paraId="246DDB30">
            <w:pPr>
              <w:widowControl w:val="0"/>
              <w:jc w:val="center"/>
              <w:rPr>
                <w:rFonts w:hint="eastAsia"/>
                <w:sz w:val="24"/>
                <w:szCs w:val="24"/>
                <w:vertAlign w:val="baseline"/>
                <w:lang w:val="en-US" w:eastAsia="zh-CN"/>
              </w:rPr>
            </w:pPr>
          </w:p>
          <w:p w14:paraId="215583A0">
            <w:pPr>
              <w:widowControl w:val="0"/>
              <w:jc w:val="center"/>
              <w:rPr>
                <w:rFonts w:hint="eastAsia"/>
                <w:sz w:val="24"/>
                <w:szCs w:val="24"/>
                <w:vertAlign w:val="baseline"/>
                <w:lang w:val="en-US" w:eastAsia="zh-CN"/>
              </w:rPr>
            </w:pPr>
          </w:p>
          <w:p w14:paraId="2F1B7351">
            <w:pPr>
              <w:widowControl w:val="0"/>
              <w:jc w:val="center"/>
              <w:rPr>
                <w:rFonts w:hint="eastAsia"/>
                <w:sz w:val="24"/>
                <w:szCs w:val="24"/>
                <w:vertAlign w:val="baseline"/>
                <w:lang w:val="en-US" w:eastAsia="zh-CN"/>
              </w:rPr>
            </w:pPr>
          </w:p>
          <w:p w14:paraId="50A7CA59">
            <w:pPr>
              <w:widowControl w:val="0"/>
              <w:jc w:val="center"/>
              <w:rPr>
                <w:rFonts w:hint="default"/>
                <w:sz w:val="24"/>
                <w:szCs w:val="24"/>
                <w:vertAlign w:val="baseline"/>
                <w:lang w:val="en-US" w:eastAsia="zh-CN"/>
              </w:rPr>
            </w:pPr>
            <w:r>
              <w:rPr>
                <w:rFonts w:hint="eastAsia"/>
                <w:sz w:val="24"/>
                <w:szCs w:val="24"/>
                <w:vertAlign w:val="baseline"/>
                <w:lang w:val="en-US" w:eastAsia="zh-CN"/>
              </w:rPr>
              <w:t>合同备案</w:t>
            </w:r>
          </w:p>
        </w:tc>
        <w:tc>
          <w:tcPr>
            <w:tcW w:w="2237" w:type="dxa"/>
          </w:tcPr>
          <w:p w14:paraId="431EB596">
            <w:pPr>
              <w:widowControl w:val="0"/>
              <w:ind w:firstLine="480" w:firstLineChars="200"/>
              <w:rPr>
                <w:rFonts w:hint="default"/>
                <w:sz w:val="24"/>
                <w:szCs w:val="24"/>
                <w:vertAlign w:val="baseline"/>
                <w:lang w:val="en-US" w:eastAsia="zh-CN"/>
              </w:rPr>
            </w:pPr>
          </w:p>
          <w:p w14:paraId="10C4A09A">
            <w:pPr>
              <w:widowControl w:val="0"/>
              <w:ind w:firstLine="480" w:firstLineChars="200"/>
              <w:rPr>
                <w:rFonts w:hint="default"/>
                <w:sz w:val="24"/>
                <w:szCs w:val="24"/>
                <w:vertAlign w:val="baseline"/>
                <w:lang w:val="en-US" w:eastAsia="zh-CN"/>
              </w:rPr>
            </w:pPr>
          </w:p>
          <w:p w14:paraId="4935A51B">
            <w:pPr>
              <w:widowControl w:val="0"/>
              <w:ind w:firstLine="480" w:firstLineChars="200"/>
              <w:rPr>
                <w:rFonts w:hint="default"/>
                <w:sz w:val="24"/>
                <w:szCs w:val="24"/>
                <w:vertAlign w:val="baseline"/>
                <w:lang w:val="en-US" w:eastAsia="zh-CN"/>
              </w:rPr>
            </w:pPr>
          </w:p>
          <w:p w14:paraId="039322D5">
            <w:pPr>
              <w:widowControl w:val="0"/>
              <w:ind w:firstLine="480" w:firstLineChars="200"/>
              <w:rPr>
                <w:rFonts w:hint="default"/>
                <w:sz w:val="24"/>
                <w:szCs w:val="24"/>
                <w:vertAlign w:val="baseline"/>
                <w:lang w:val="en-US" w:eastAsia="zh-CN"/>
              </w:rPr>
            </w:pPr>
            <w:r>
              <w:rPr>
                <w:rFonts w:hint="default"/>
                <w:sz w:val="24"/>
                <w:szCs w:val="24"/>
                <w:vertAlign w:val="baseline"/>
                <w:lang w:val="en-US" w:eastAsia="zh-CN"/>
              </w:rPr>
              <w:t>政府采购合同签订之日起</w:t>
            </w:r>
            <w:r>
              <w:rPr>
                <w:rFonts w:hint="eastAsia"/>
                <w:sz w:val="24"/>
                <w:szCs w:val="24"/>
                <w:vertAlign w:val="baseline"/>
                <w:lang w:val="en-US" w:eastAsia="zh-CN"/>
              </w:rPr>
              <w:t>1</w:t>
            </w:r>
            <w:r>
              <w:rPr>
                <w:rFonts w:hint="default"/>
                <w:sz w:val="24"/>
                <w:szCs w:val="24"/>
                <w:vertAlign w:val="baseline"/>
                <w:lang w:val="en-US" w:eastAsia="zh-CN"/>
              </w:rPr>
              <w:t>个工作日内，合同备案并公示。</w:t>
            </w:r>
          </w:p>
        </w:tc>
        <w:tc>
          <w:tcPr>
            <w:tcW w:w="6221" w:type="dxa"/>
          </w:tcPr>
          <w:p w14:paraId="128D0799">
            <w:pPr>
              <w:widowControl w:val="0"/>
              <w:rPr>
                <w:rFonts w:hint="eastAsia" w:ascii="宋体" w:hAnsi="宋体" w:eastAsia="宋体" w:cs="宋体"/>
                <w:sz w:val="24"/>
                <w:szCs w:val="24"/>
                <w:vertAlign w:val="baseline"/>
                <w:lang w:val="en-US" w:eastAsia="zh-CN"/>
              </w:rPr>
            </w:pPr>
          </w:p>
          <w:p w14:paraId="0865DD8D">
            <w:pPr>
              <w:widowControl w:val="0"/>
              <w:ind w:firstLine="480" w:firstLineChars="200"/>
              <w:rPr>
                <w:rFonts w:hint="default"/>
                <w:sz w:val="24"/>
                <w:szCs w:val="24"/>
                <w:vertAlign w:val="baseline"/>
                <w:lang w:val="en-US" w:eastAsia="zh-CN"/>
              </w:rPr>
            </w:pPr>
            <w:r>
              <w:rPr>
                <w:rFonts w:hint="eastAsia" w:ascii="宋体" w:hAnsi="宋体" w:eastAsia="宋体" w:cs="宋体"/>
                <w:sz w:val="24"/>
                <w:szCs w:val="24"/>
                <w:vertAlign w:val="baseline"/>
                <w:lang w:val="en-US" w:eastAsia="zh-CN"/>
              </w:rPr>
              <w:t>政府采购合同公告备案是法定要求，采购人应及时履行备案手续。采购人应当自政府采购合同签订之日起1个工作日内，登录河南省电子化政府采购系统“合同管理”模块，填写合同基本信息，并上传政府采购合同、中标(成交)通知书、中标结果和成交确认书。政府采购监督管理部门对采购人提交的合同基本信息及上传资料进行审核，审核通过后完成合同备案。</w:t>
            </w:r>
          </w:p>
        </w:tc>
      </w:tr>
      <w:tr w14:paraId="0032B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3" w:hRule="atLeast"/>
        </w:trPr>
        <w:tc>
          <w:tcPr>
            <w:tcW w:w="1199" w:type="dxa"/>
          </w:tcPr>
          <w:p w14:paraId="6CFFA7CB">
            <w:pPr>
              <w:widowControl w:val="0"/>
              <w:jc w:val="center"/>
              <w:rPr>
                <w:rFonts w:hint="eastAsia"/>
                <w:sz w:val="24"/>
                <w:szCs w:val="24"/>
                <w:vertAlign w:val="baseline"/>
                <w:lang w:val="en-US" w:eastAsia="zh-CN"/>
              </w:rPr>
            </w:pPr>
          </w:p>
          <w:p w14:paraId="0719E9BC">
            <w:pPr>
              <w:widowControl w:val="0"/>
              <w:jc w:val="center"/>
              <w:rPr>
                <w:rFonts w:hint="eastAsia"/>
                <w:sz w:val="24"/>
                <w:szCs w:val="24"/>
                <w:vertAlign w:val="baseline"/>
                <w:lang w:val="en-US" w:eastAsia="zh-CN"/>
              </w:rPr>
            </w:pPr>
          </w:p>
          <w:p w14:paraId="32555AFB">
            <w:pPr>
              <w:widowControl w:val="0"/>
              <w:jc w:val="center"/>
              <w:rPr>
                <w:rFonts w:hint="eastAsia"/>
                <w:sz w:val="24"/>
                <w:szCs w:val="24"/>
                <w:vertAlign w:val="baseline"/>
                <w:lang w:val="en-US" w:eastAsia="zh-CN"/>
              </w:rPr>
            </w:pPr>
          </w:p>
          <w:p w14:paraId="086BE3AB">
            <w:pPr>
              <w:widowControl w:val="0"/>
              <w:jc w:val="center"/>
              <w:rPr>
                <w:rFonts w:hint="default"/>
                <w:sz w:val="24"/>
                <w:szCs w:val="24"/>
                <w:vertAlign w:val="baseline"/>
                <w:lang w:val="en-US" w:eastAsia="zh-CN"/>
              </w:rPr>
            </w:pPr>
            <w:r>
              <w:rPr>
                <w:rFonts w:hint="eastAsia"/>
                <w:sz w:val="24"/>
                <w:szCs w:val="24"/>
                <w:vertAlign w:val="baseline"/>
                <w:lang w:val="en-US" w:eastAsia="zh-CN"/>
              </w:rPr>
              <w:t>履约验收</w:t>
            </w:r>
          </w:p>
        </w:tc>
        <w:tc>
          <w:tcPr>
            <w:tcW w:w="2237" w:type="dxa"/>
          </w:tcPr>
          <w:p w14:paraId="52C6AE0E">
            <w:pPr>
              <w:widowControl w:val="0"/>
              <w:ind w:firstLine="480" w:firstLineChars="200"/>
              <w:rPr>
                <w:rFonts w:hint="default"/>
                <w:sz w:val="24"/>
                <w:szCs w:val="24"/>
                <w:vertAlign w:val="baseline"/>
                <w:lang w:val="en-US" w:eastAsia="zh-CN"/>
              </w:rPr>
            </w:pPr>
          </w:p>
          <w:p w14:paraId="0B16F959">
            <w:pPr>
              <w:widowControl w:val="0"/>
              <w:ind w:firstLine="480" w:firstLineChars="200"/>
              <w:rPr>
                <w:rFonts w:hint="default"/>
                <w:sz w:val="24"/>
                <w:szCs w:val="24"/>
                <w:vertAlign w:val="baseline"/>
                <w:lang w:val="en-US" w:eastAsia="zh-CN"/>
              </w:rPr>
            </w:pPr>
            <w:r>
              <w:rPr>
                <w:rFonts w:hint="default"/>
                <w:sz w:val="24"/>
                <w:szCs w:val="24"/>
                <w:vertAlign w:val="baseline"/>
                <w:lang w:val="en-US" w:eastAsia="zh-CN"/>
              </w:rPr>
              <w:t>采购人应该在供应商提出验收申请之日起</w:t>
            </w:r>
            <w:r>
              <w:rPr>
                <w:rFonts w:hint="eastAsia"/>
                <w:sz w:val="24"/>
                <w:szCs w:val="24"/>
                <w:vertAlign w:val="baseline"/>
                <w:lang w:val="en-US" w:eastAsia="zh-CN"/>
              </w:rPr>
              <w:t>3</w:t>
            </w:r>
            <w:r>
              <w:rPr>
                <w:rFonts w:hint="default"/>
                <w:sz w:val="24"/>
                <w:szCs w:val="24"/>
                <w:vertAlign w:val="baseline"/>
                <w:lang w:val="en-US" w:eastAsia="zh-CN"/>
              </w:rPr>
              <w:t>个工作日内完成验收，验收完成之日起</w:t>
            </w:r>
            <w:r>
              <w:rPr>
                <w:rFonts w:hint="eastAsia"/>
                <w:sz w:val="24"/>
                <w:szCs w:val="24"/>
                <w:vertAlign w:val="baseline"/>
                <w:lang w:val="en-US" w:eastAsia="zh-CN"/>
              </w:rPr>
              <w:t>2</w:t>
            </w:r>
            <w:r>
              <w:rPr>
                <w:rFonts w:hint="default"/>
                <w:sz w:val="24"/>
                <w:szCs w:val="24"/>
                <w:vertAlign w:val="baseline"/>
                <w:lang w:val="en-US" w:eastAsia="zh-CN"/>
              </w:rPr>
              <w:t>个工作日内，合同履约验收公示。</w:t>
            </w:r>
          </w:p>
        </w:tc>
        <w:tc>
          <w:tcPr>
            <w:tcW w:w="6221" w:type="dxa"/>
          </w:tcPr>
          <w:p w14:paraId="50A1FC1F">
            <w:pPr>
              <w:widowControl w:val="0"/>
              <w:ind w:firstLine="480" w:firstLineChars="200"/>
              <w:rPr>
                <w:rFonts w:hint="default"/>
                <w:sz w:val="24"/>
                <w:szCs w:val="24"/>
                <w:vertAlign w:val="baseline"/>
                <w:lang w:val="en-US" w:eastAsia="zh-CN"/>
              </w:rPr>
            </w:pPr>
          </w:p>
          <w:p w14:paraId="4E6B53DC">
            <w:pPr>
              <w:widowControl w:val="0"/>
              <w:ind w:firstLine="480" w:firstLineChars="200"/>
              <w:rPr>
                <w:rFonts w:hint="default"/>
                <w:sz w:val="24"/>
                <w:szCs w:val="24"/>
                <w:vertAlign w:val="baseline"/>
                <w:lang w:val="en-US" w:eastAsia="zh-CN"/>
              </w:rPr>
            </w:pPr>
            <w:r>
              <w:rPr>
                <w:rFonts w:hint="default"/>
                <w:sz w:val="24"/>
                <w:szCs w:val="24"/>
                <w:vertAlign w:val="baseline"/>
                <w:lang w:val="en-US" w:eastAsia="zh-CN"/>
              </w:rPr>
              <w:t>政府采购项目供应商履约完成后，应及时向采购人提出验收申请。验收合格的项目，采购人应在验收完成之日起</w:t>
            </w:r>
            <w:r>
              <w:rPr>
                <w:rFonts w:hint="eastAsia"/>
                <w:sz w:val="24"/>
                <w:szCs w:val="24"/>
                <w:vertAlign w:val="baseline"/>
                <w:lang w:val="en-US" w:eastAsia="zh-CN"/>
              </w:rPr>
              <w:t>2</w:t>
            </w:r>
            <w:r>
              <w:rPr>
                <w:rFonts w:hint="default"/>
                <w:sz w:val="24"/>
                <w:szCs w:val="24"/>
                <w:vertAlign w:val="baseline"/>
                <w:lang w:val="en-US" w:eastAsia="zh-CN"/>
              </w:rPr>
              <w:t>个工作日内，登录河南省电子化政府采购系统“合同管理”模块下的“合同履约验收”，填写合同、验收基本情况，并上传验收报告和发票在扫描件，保存并提交。 提交合同履约验收后， 打印《唐河县政府采购资金申请表》到政府采购办理支付手续。</w:t>
            </w:r>
          </w:p>
        </w:tc>
      </w:tr>
      <w:tr w14:paraId="6DAEB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7" w:hRule="atLeast"/>
        </w:trPr>
        <w:tc>
          <w:tcPr>
            <w:tcW w:w="1199" w:type="dxa"/>
          </w:tcPr>
          <w:p w14:paraId="2B5E635B">
            <w:pPr>
              <w:widowControl w:val="0"/>
              <w:jc w:val="center"/>
              <w:rPr>
                <w:rFonts w:hint="eastAsia"/>
                <w:sz w:val="24"/>
                <w:szCs w:val="24"/>
                <w:vertAlign w:val="baseline"/>
                <w:lang w:val="en-US" w:eastAsia="zh-CN"/>
              </w:rPr>
            </w:pPr>
          </w:p>
          <w:p w14:paraId="307100A4">
            <w:pPr>
              <w:widowControl w:val="0"/>
              <w:jc w:val="center"/>
              <w:rPr>
                <w:rFonts w:hint="eastAsia"/>
                <w:sz w:val="24"/>
                <w:szCs w:val="24"/>
                <w:vertAlign w:val="baseline"/>
                <w:lang w:val="en-US" w:eastAsia="zh-CN"/>
              </w:rPr>
            </w:pPr>
          </w:p>
          <w:p w14:paraId="7DF1C240">
            <w:pPr>
              <w:widowControl w:val="0"/>
              <w:jc w:val="center"/>
              <w:rPr>
                <w:rFonts w:hint="eastAsia"/>
                <w:sz w:val="24"/>
                <w:szCs w:val="24"/>
                <w:vertAlign w:val="baseline"/>
                <w:lang w:val="en-US" w:eastAsia="zh-CN"/>
              </w:rPr>
            </w:pPr>
          </w:p>
          <w:p w14:paraId="3BC68505">
            <w:pPr>
              <w:widowControl w:val="0"/>
              <w:jc w:val="center"/>
              <w:rPr>
                <w:rFonts w:hint="default"/>
                <w:sz w:val="24"/>
                <w:szCs w:val="24"/>
                <w:vertAlign w:val="baseline"/>
                <w:lang w:val="en-US" w:eastAsia="zh-CN"/>
              </w:rPr>
            </w:pPr>
            <w:r>
              <w:rPr>
                <w:rFonts w:hint="eastAsia"/>
                <w:sz w:val="24"/>
                <w:szCs w:val="24"/>
                <w:vertAlign w:val="baseline"/>
                <w:lang w:val="en-US" w:eastAsia="zh-CN"/>
              </w:rPr>
              <w:t>资金支付</w:t>
            </w:r>
          </w:p>
        </w:tc>
        <w:tc>
          <w:tcPr>
            <w:tcW w:w="2237" w:type="dxa"/>
          </w:tcPr>
          <w:p w14:paraId="3E26AFF0">
            <w:pPr>
              <w:widowControl w:val="0"/>
              <w:ind w:firstLine="480" w:firstLineChars="200"/>
              <w:rPr>
                <w:rFonts w:hint="default"/>
                <w:sz w:val="24"/>
                <w:szCs w:val="24"/>
                <w:vertAlign w:val="baseline"/>
                <w:lang w:val="en-US" w:eastAsia="zh-CN"/>
              </w:rPr>
            </w:pPr>
          </w:p>
          <w:p w14:paraId="04EFB4EA">
            <w:pPr>
              <w:widowControl w:val="0"/>
              <w:ind w:firstLine="480" w:firstLineChars="200"/>
              <w:rPr>
                <w:rFonts w:hint="default"/>
                <w:sz w:val="24"/>
                <w:szCs w:val="24"/>
                <w:vertAlign w:val="baseline"/>
                <w:lang w:val="en-US" w:eastAsia="zh-CN"/>
              </w:rPr>
            </w:pPr>
            <w:r>
              <w:rPr>
                <w:rFonts w:hint="default"/>
                <w:sz w:val="24"/>
                <w:szCs w:val="24"/>
                <w:vertAlign w:val="baseline"/>
                <w:lang w:val="en-US" w:eastAsia="zh-CN"/>
              </w:rPr>
              <w:t>验收合格具备付款条件的项目， 采购人应在</w:t>
            </w:r>
            <w:r>
              <w:rPr>
                <w:rFonts w:hint="eastAsia"/>
                <w:sz w:val="24"/>
                <w:szCs w:val="24"/>
                <w:vertAlign w:val="baseline"/>
                <w:lang w:val="en-US" w:eastAsia="zh-CN"/>
              </w:rPr>
              <w:t>3</w:t>
            </w:r>
            <w:r>
              <w:rPr>
                <w:rFonts w:hint="default"/>
                <w:sz w:val="24"/>
                <w:szCs w:val="24"/>
                <w:vertAlign w:val="baseline"/>
                <w:lang w:val="en-US" w:eastAsia="zh-CN"/>
              </w:rPr>
              <w:t>个工作日内将资金支付到采购合同约定的供应商账户。</w:t>
            </w:r>
          </w:p>
        </w:tc>
        <w:tc>
          <w:tcPr>
            <w:tcW w:w="6221" w:type="dxa"/>
          </w:tcPr>
          <w:p w14:paraId="41FFDC53">
            <w:pPr>
              <w:widowControl w:val="0"/>
              <w:ind w:firstLine="480" w:firstLineChars="200"/>
              <w:rPr>
                <w:rFonts w:hint="eastAsia"/>
                <w:sz w:val="24"/>
                <w:szCs w:val="24"/>
                <w:vertAlign w:val="baseline"/>
                <w:lang w:val="en-US" w:eastAsia="zh-CN"/>
              </w:rPr>
            </w:pPr>
          </w:p>
          <w:p w14:paraId="31702269">
            <w:pPr>
              <w:widowControl w:val="0"/>
              <w:ind w:firstLine="480" w:firstLineChars="200"/>
              <w:rPr>
                <w:rFonts w:hint="default"/>
                <w:sz w:val="24"/>
                <w:szCs w:val="24"/>
                <w:vertAlign w:val="baseline"/>
                <w:lang w:val="en-US" w:eastAsia="zh-CN"/>
              </w:rPr>
            </w:pPr>
            <w:r>
              <w:rPr>
                <w:rFonts w:hint="eastAsia"/>
                <w:sz w:val="24"/>
                <w:szCs w:val="24"/>
                <w:vertAlign w:val="baseline"/>
                <w:lang w:val="en-US" w:eastAsia="zh-CN"/>
              </w:rPr>
              <w:t>采购人持《唐河县政府采购资金申请表》，按照政府采购合同约定的支付方式、支付时间，及时支付政府采购资金。验收合格具备付款条件的项目，采购人应在3个工作日内将资金支付到采购合同约定的供应商账户</w:t>
            </w:r>
          </w:p>
        </w:tc>
      </w:tr>
    </w:tbl>
    <w:p w14:paraId="1711CB17">
      <w:pPr>
        <w:widowControl/>
        <w:jc w:val="left"/>
      </w:pPr>
    </w:p>
    <w:sectPr>
      <w:headerReference r:id="rId13" w:type="default"/>
      <w:footerReference r:id="rId14" w:type="default"/>
      <w:pgSz w:w="11906" w:h="16838"/>
      <w:pgMar w:top="850" w:right="1020" w:bottom="850" w:left="1020" w:header="567" w:footer="567"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A00002EF" w:usb1="4000004B" w:usb2="00000000" w:usb3="00000000" w:csb0="2000009F" w:csb1="00000000"/>
  </w:font>
  <w:font w:name="Calibri Light">
    <w:panose1 w:val="020F0302020204030204"/>
    <w:charset w:val="00"/>
    <w:family w:val="swiss"/>
    <w:pitch w:val="default"/>
    <w:sig w:usb0="E0002AFF" w:usb1="C0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 w:name="Segoe UI Symbol">
    <w:panose1 w:val="020B0502040204020203"/>
    <w:charset w:val="00"/>
    <w:family w:val="swiss"/>
    <w:pitch w:val="default"/>
    <w:sig w:usb0="800001E3" w:usb1="1200FFEF" w:usb2="00040000" w:usb3="04000000" w:csb0="00000001" w:csb1="40000000"/>
  </w:font>
  <w:font w:name="Arial Unicode MS">
    <w:altName w:val="宋体"/>
    <w:panose1 w:val="020B0604020202020204"/>
    <w:charset w:val="86"/>
    <w:family w:val="swiss"/>
    <w:pitch w:val="default"/>
    <w:sig w:usb0="00000000" w:usb1="00000000"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12A94C">
    <w:pPr>
      <w:pStyle w:val="13"/>
      <w:keepNext w:val="0"/>
      <w:keepLines w:val="0"/>
      <w:pageBreakBefore w:val="0"/>
      <w:widowControl w:val="0"/>
      <w:kinsoku/>
      <w:wordWrap/>
      <w:overflowPunct/>
      <w:topLinePunct w:val="0"/>
      <w:autoSpaceDE w:val="0"/>
      <w:autoSpaceDN w:val="0"/>
      <w:bidi w:val="0"/>
      <w:adjustRightInd/>
      <w:snapToGrid/>
      <w:spacing w:line="360" w:lineRule="auto"/>
      <w:jc w:val="right"/>
      <w:textAlignment w:val="auto"/>
      <w:rPr>
        <w:rFonts w:hint="default"/>
        <w:sz w:val="20"/>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D994DE">
    <w:pPr>
      <w:pStyle w:val="13"/>
      <w:keepNext w:val="0"/>
      <w:keepLines w:val="0"/>
      <w:pageBreakBefore w:val="0"/>
      <w:widowControl w:val="0"/>
      <w:kinsoku/>
      <w:wordWrap/>
      <w:overflowPunct/>
      <w:topLinePunct w:val="0"/>
      <w:autoSpaceDE w:val="0"/>
      <w:autoSpaceDN w:val="0"/>
      <w:bidi w:val="0"/>
      <w:adjustRightInd/>
      <w:snapToGrid/>
      <w:spacing w:line="360" w:lineRule="auto"/>
      <w:jc w:val="right"/>
      <w:textAlignment w:val="auto"/>
      <w:rPr>
        <w:rFonts w:hint="default"/>
        <w:sz w:val="20"/>
        <w:lang w:val="en-US"/>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0C2955">
                          <w:pPr>
                            <w:pStyle w:val="2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4C0C2955">
                    <w:pPr>
                      <w:pStyle w:val="2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5AE30">
    <w:pPr>
      <w:spacing w:line="240" w:lineRule="auto"/>
      <w:rPr>
        <w:rFonts w:ascii="Arial"/>
        <w:sz w:val="2"/>
      </w:rPr>
    </w:pPr>
    <w:r>
      <w:rPr>
        <w:sz w:val="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CFEEF9">
                          <w:pPr>
                            <w:pStyle w:val="20"/>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65CFEEF9">
                    <w:pPr>
                      <w:pStyle w:val="20"/>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9B1980">
    <w:pPr>
      <w:spacing w:line="14" w:lineRule="auto"/>
      <w:rPr>
        <w:rFonts w:ascii="Arial"/>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B192F9">
                          <w:pPr>
                            <w:pStyle w:val="20"/>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41B192F9">
                    <w:pPr>
                      <w:pStyle w:val="20"/>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F83CE4">
    <w:pPr>
      <w:spacing w:line="14" w:lineRule="auto"/>
      <w:rPr>
        <w:rFonts w:ascii="Arial"/>
        <w:sz w:val="2"/>
      </w:rPr>
    </w:pPr>
    <w:r>
      <w:rPr>
        <w:sz w:val="2"/>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FF7F72">
                          <w:pPr>
                            <w:pStyle w:val="20"/>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5FF7F72">
                    <w:pPr>
                      <w:pStyle w:val="20"/>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49435A">
    <w:pPr>
      <w:pStyle w:val="2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366575">
                          <w:pPr>
                            <w:pStyle w:val="20"/>
                          </w:pPr>
                          <w:r>
                            <w:fldChar w:fldCharType="begin"/>
                          </w:r>
                          <w:r>
                            <w:instrText xml:space="preserve"> PAGE  \* MERGEFORMAT </w:instrText>
                          </w:r>
                          <w:r>
                            <w:fldChar w:fldCharType="separate"/>
                          </w:r>
                          <w:r>
                            <w:t>54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JUQ0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JUQ0zAgAAYwQAAA4AAAAAAAAAAQAgAAAAHwEAAGRycy9lMm9Eb2MueG1sUEsF&#10;BgAAAAAGAAYAWQEAAMQFAAAAAA==&#10;">
              <v:fill on="f" focussize="0,0"/>
              <v:stroke on="f" weight="0.5pt"/>
              <v:imagedata o:title=""/>
              <o:lock v:ext="edit" aspectratio="f"/>
              <v:textbox inset="0mm,0mm,0mm,0mm" style="mso-fit-shape-to-text:t;">
                <w:txbxContent>
                  <w:p w14:paraId="69366575">
                    <w:pPr>
                      <w:pStyle w:val="20"/>
                    </w:pPr>
                    <w:r>
                      <w:fldChar w:fldCharType="begin"/>
                    </w:r>
                    <w:r>
                      <w:instrText xml:space="preserve"> PAGE  \* MERGEFORMAT </w:instrText>
                    </w:r>
                    <w:r>
                      <w:fldChar w:fldCharType="separate"/>
                    </w:r>
                    <w:r>
                      <w:t>54</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1651B9">
    <w:pPr>
      <w:pStyle w:val="20"/>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A12AC3">
                          <w:pPr>
                            <w:pStyle w:val="20"/>
                          </w:pPr>
                          <w:r>
                            <w:fldChar w:fldCharType="begin"/>
                          </w:r>
                          <w:r>
                            <w:instrText xml:space="preserve"> PAGE  \* MERGEFORMAT </w:instrText>
                          </w:r>
                          <w:r>
                            <w:fldChar w:fldCharType="separate"/>
                          </w:r>
                          <w:r>
                            <w:t>63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aJO4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7aJO4zAgAAYwQAAA4AAAAAAAAAAQAgAAAAHwEAAGRycy9lMm9Eb2MueG1sUEsF&#10;BgAAAAAGAAYAWQEAAMQFAAAAAA==&#10;">
              <v:fill on="f" focussize="0,0"/>
              <v:stroke on="f" weight="0.5pt"/>
              <v:imagedata o:title=""/>
              <o:lock v:ext="edit" aspectratio="f"/>
              <v:textbox inset="0mm,0mm,0mm,0mm" style="mso-fit-shape-to-text:t;">
                <w:txbxContent>
                  <w:p w14:paraId="0DA12AC3">
                    <w:pPr>
                      <w:pStyle w:val="20"/>
                    </w:pPr>
                    <w:r>
                      <w:fldChar w:fldCharType="begin"/>
                    </w:r>
                    <w:r>
                      <w:instrText xml:space="preserve"> PAGE  \* MERGEFORMAT </w:instrText>
                    </w:r>
                    <w:r>
                      <w:fldChar w:fldCharType="separate"/>
                    </w:r>
                    <w:r>
                      <w:t>63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546E44">
    <w:pPr>
      <w:pStyle w:val="22"/>
      <w:pBdr>
        <w:bottom w:val="double" w:color="auto" w:sz="8" w:space="1"/>
      </w:pBdr>
      <w:jc w:val="left"/>
    </w:pPr>
    <w:r>
      <w:rPr>
        <w:rFonts w:hint="eastAsia"/>
        <w:b/>
        <w:bCs/>
        <w:lang w:val="en-US" w:eastAsia="zh-CN"/>
      </w:rPr>
      <w:t>唐河县市场监督管理局2026年食品安全监督抽检项目                                            竞争性磋商文件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4DE453">
    <w:pPr>
      <w:pStyle w:val="22"/>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A34D6F">
    <w:pPr>
      <w:pStyle w:val="22"/>
      <w:pBdr>
        <w:bottom w:val="double" w:color="auto" w:sz="8" w:space="1"/>
      </w:pBdr>
      <w:jc w:val="left"/>
      <w:rPr>
        <w:rFonts w:hint="eastAsia" w:eastAsiaTheme="minorEastAsia"/>
        <w:lang w:eastAsia="zh-CN"/>
      </w:rPr>
    </w:pPr>
    <w:r>
      <w:rPr>
        <w:rFonts w:hint="eastAsia"/>
        <w:b/>
        <w:bCs/>
        <w:lang w:val="en-US" w:eastAsia="zh-CN"/>
      </w:rPr>
      <w:t xml:space="preserve">唐河县市场监督管理局2026年食品安全监督抽检项目                                            竞争性磋商文件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CB245A">
    <w:pPr>
      <w:pStyle w:val="22"/>
      <w:pBdr>
        <w:bottom w:val="double" w:color="auto" w:sz="8" w:space="1"/>
      </w:pBdr>
      <w:jc w:val="left"/>
    </w:pPr>
    <w:r>
      <w:rPr>
        <w:rFonts w:hint="eastAsia"/>
        <w:b/>
        <w:bCs/>
        <w:lang w:val="en-US" w:eastAsia="zh-CN"/>
      </w:rPr>
      <w:t>唐河县市场监督管理局2026年食品安全监督抽检项目                                        竞争性磋商文件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AB461">
    <w:pPr>
      <w:pStyle w:val="22"/>
      <w:pBdr>
        <w:bottom w:val="double" w:color="auto" w:sz="8" w:space="1"/>
      </w:pBdr>
      <w:jc w:val="left"/>
    </w:pPr>
    <w:r>
      <w:rPr>
        <w:rFonts w:hint="eastAsia"/>
        <w:b/>
        <w:bCs/>
        <w:lang w:val="en-US" w:eastAsia="zh-CN"/>
      </w:rPr>
      <w:t>唐河县市场监督管理局2026年食品安全监督抽检项目                                   竞争性磋商文件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1ODNkNGExMmFiZjhkNmYxMmJlZDBiNDc0M2Q2MDkifQ=="/>
  </w:docVars>
  <w:rsids>
    <w:rsidRoot w:val="00083716"/>
    <w:rsid w:val="000132E9"/>
    <w:rsid w:val="000234EC"/>
    <w:rsid w:val="000728DD"/>
    <w:rsid w:val="00083716"/>
    <w:rsid w:val="001218C7"/>
    <w:rsid w:val="00161C27"/>
    <w:rsid w:val="001D68DB"/>
    <w:rsid w:val="002130A5"/>
    <w:rsid w:val="00221C1D"/>
    <w:rsid w:val="002606E9"/>
    <w:rsid w:val="002E791D"/>
    <w:rsid w:val="00331828"/>
    <w:rsid w:val="00365CB0"/>
    <w:rsid w:val="00375FB7"/>
    <w:rsid w:val="004163D9"/>
    <w:rsid w:val="0046410B"/>
    <w:rsid w:val="0052030D"/>
    <w:rsid w:val="005C34F8"/>
    <w:rsid w:val="005D5C8F"/>
    <w:rsid w:val="005E45DF"/>
    <w:rsid w:val="005F1B55"/>
    <w:rsid w:val="00637982"/>
    <w:rsid w:val="006A5358"/>
    <w:rsid w:val="007714A1"/>
    <w:rsid w:val="007D0B00"/>
    <w:rsid w:val="007D7D85"/>
    <w:rsid w:val="00895ACB"/>
    <w:rsid w:val="008A3087"/>
    <w:rsid w:val="008A65EE"/>
    <w:rsid w:val="008B0E5E"/>
    <w:rsid w:val="00952070"/>
    <w:rsid w:val="009E52FB"/>
    <w:rsid w:val="00A26B45"/>
    <w:rsid w:val="00A3127E"/>
    <w:rsid w:val="00A43C39"/>
    <w:rsid w:val="00A63411"/>
    <w:rsid w:val="00A9294E"/>
    <w:rsid w:val="00B73925"/>
    <w:rsid w:val="00C11E0B"/>
    <w:rsid w:val="00CA079F"/>
    <w:rsid w:val="00CE2D2F"/>
    <w:rsid w:val="00DD7808"/>
    <w:rsid w:val="00E053C5"/>
    <w:rsid w:val="00E27AB2"/>
    <w:rsid w:val="00E5160B"/>
    <w:rsid w:val="00E70311"/>
    <w:rsid w:val="00EA548B"/>
    <w:rsid w:val="01E274B5"/>
    <w:rsid w:val="02AB5580"/>
    <w:rsid w:val="03575D3A"/>
    <w:rsid w:val="03E42E9A"/>
    <w:rsid w:val="04294876"/>
    <w:rsid w:val="07180D41"/>
    <w:rsid w:val="07A34DF2"/>
    <w:rsid w:val="0AD03270"/>
    <w:rsid w:val="0B191D7B"/>
    <w:rsid w:val="0C475CF3"/>
    <w:rsid w:val="0CF12D1E"/>
    <w:rsid w:val="0E1F0FBB"/>
    <w:rsid w:val="0E7F5341"/>
    <w:rsid w:val="0ECA6962"/>
    <w:rsid w:val="0F5F2D5C"/>
    <w:rsid w:val="10225124"/>
    <w:rsid w:val="104B7710"/>
    <w:rsid w:val="10876FE7"/>
    <w:rsid w:val="11417169"/>
    <w:rsid w:val="12003F43"/>
    <w:rsid w:val="12E070F9"/>
    <w:rsid w:val="13224DC9"/>
    <w:rsid w:val="1455667D"/>
    <w:rsid w:val="1537321C"/>
    <w:rsid w:val="156A0600"/>
    <w:rsid w:val="17732D8B"/>
    <w:rsid w:val="182201B4"/>
    <w:rsid w:val="18A54D46"/>
    <w:rsid w:val="18C361F5"/>
    <w:rsid w:val="1B403789"/>
    <w:rsid w:val="1B6C4A6B"/>
    <w:rsid w:val="1CAC1CF8"/>
    <w:rsid w:val="1CF61729"/>
    <w:rsid w:val="1EB50898"/>
    <w:rsid w:val="1EB853CE"/>
    <w:rsid w:val="1F736A32"/>
    <w:rsid w:val="1FD80723"/>
    <w:rsid w:val="1FEE2901"/>
    <w:rsid w:val="201A55F1"/>
    <w:rsid w:val="20E12BAC"/>
    <w:rsid w:val="21845A3B"/>
    <w:rsid w:val="21C52663"/>
    <w:rsid w:val="222B1890"/>
    <w:rsid w:val="234F4D23"/>
    <w:rsid w:val="23BA0156"/>
    <w:rsid w:val="244E051B"/>
    <w:rsid w:val="245B6F27"/>
    <w:rsid w:val="24C7734A"/>
    <w:rsid w:val="264D6451"/>
    <w:rsid w:val="265A320F"/>
    <w:rsid w:val="26E3418E"/>
    <w:rsid w:val="271138CD"/>
    <w:rsid w:val="278B285B"/>
    <w:rsid w:val="2AF3225F"/>
    <w:rsid w:val="2B151981"/>
    <w:rsid w:val="2B327821"/>
    <w:rsid w:val="2B955D0A"/>
    <w:rsid w:val="2BB80380"/>
    <w:rsid w:val="2C370819"/>
    <w:rsid w:val="2C3D0DC4"/>
    <w:rsid w:val="2E164E04"/>
    <w:rsid w:val="2E4E3407"/>
    <w:rsid w:val="2E587090"/>
    <w:rsid w:val="2E6F5A65"/>
    <w:rsid w:val="2F462080"/>
    <w:rsid w:val="30BF02CF"/>
    <w:rsid w:val="344A41D3"/>
    <w:rsid w:val="348D59E6"/>
    <w:rsid w:val="34A87672"/>
    <w:rsid w:val="360A255B"/>
    <w:rsid w:val="3621322E"/>
    <w:rsid w:val="37FB1433"/>
    <w:rsid w:val="38FB262F"/>
    <w:rsid w:val="393D273D"/>
    <w:rsid w:val="3A301D44"/>
    <w:rsid w:val="3B162188"/>
    <w:rsid w:val="3C094F1E"/>
    <w:rsid w:val="3D4176E3"/>
    <w:rsid w:val="3D63487D"/>
    <w:rsid w:val="3DDE6735"/>
    <w:rsid w:val="3E2E0DB1"/>
    <w:rsid w:val="3EA86E93"/>
    <w:rsid w:val="3FA47710"/>
    <w:rsid w:val="40FD19C6"/>
    <w:rsid w:val="42B828EE"/>
    <w:rsid w:val="43091E0E"/>
    <w:rsid w:val="46040B0F"/>
    <w:rsid w:val="46C92DAC"/>
    <w:rsid w:val="471778C0"/>
    <w:rsid w:val="475C2D0D"/>
    <w:rsid w:val="47AD1203"/>
    <w:rsid w:val="480D7907"/>
    <w:rsid w:val="487D4C71"/>
    <w:rsid w:val="49A335E7"/>
    <w:rsid w:val="49B0728D"/>
    <w:rsid w:val="4B246296"/>
    <w:rsid w:val="4B3E1140"/>
    <w:rsid w:val="4B405810"/>
    <w:rsid w:val="4B5D494F"/>
    <w:rsid w:val="4D157C06"/>
    <w:rsid w:val="4E372CEF"/>
    <w:rsid w:val="4EA745E2"/>
    <w:rsid w:val="50EF0685"/>
    <w:rsid w:val="529D77FC"/>
    <w:rsid w:val="52F1203A"/>
    <w:rsid w:val="53744067"/>
    <w:rsid w:val="540B770E"/>
    <w:rsid w:val="54323D39"/>
    <w:rsid w:val="546576A4"/>
    <w:rsid w:val="54A17D41"/>
    <w:rsid w:val="57DE55B1"/>
    <w:rsid w:val="591C121B"/>
    <w:rsid w:val="5AB03CBA"/>
    <w:rsid w:val="5CE62B2B"/>
    <w:rsid w:val="5DC80342"/>
    <w:rsid w:val="5EF7101F"/>
    <w:rsid w:val="5F4D2C3F"/>
    <w:rsid w:val="5FD90B41"/>
    <w:rsid w:val="61321843"/>
    <w:rsid w:val="615C51C8"/>
    <w:rsid w:val="629E2A4D"/>
    <w:rsid w:val="64526038"/>
    <w:rsid w:val="65AA41E4"/>
    <w:rsid w:val="65FD0A22"/>
    <w:rsid w:val="673A06F0"/>
    <w:rsid w:val="67F633B4"/>
    <w:rsid w:val="684225B0"/>
    <w:rsid w:val="692D60C5"/>
    <w:rsid w:val="69D234BA"/>
    <w:rsid w:val="6BE85816"/>
    <w:rsid w:val="6EB94A31"/>
    <w:rsid w:val="6EBC0B3A"/>
    <w:rsid w:val="6EBE187F"/>
    <w:rsid w:val="6F1770A0"/>
    <w:rsid w:val="7008021A"/>
    <w:rsid w:val="709A7EAE"/>
    <w:rsid w:val="729055BB"/>
    <w:rsid w:val="72A04AE3"/>
    <w:rsid w:val="72EF3BBA"/>
    <w:rsid w:val="738D2BBC"/>
    <w:rsid w:val="746E0B67"/>
    <w:rsid w:val="75E677DB"/>
    <w:rsid w:val="763E532E"/>
    <w:rsid w:val="77A448BE"/>
    <w:rsid w:val="77A6318B"/>
    <w:rsid w:val="77FA335F"/>
    <w:rsid w:val="789709F0"/>
    <w:rsid w:val="792C63AC"/>
    <w:rsid w:val="7A1524D6"/>
    <w:rsid w:val="7AD46F06"/>
    <w:rsid w:val="7CB83458"/>
    <w:rsid w:val="7CC73852"/>
    <w:rsid w:val="7D5A5415"/>
    <w:rsid w:val="7E892C28"/>
    <w:rsid w:val="7EDC019F"/>
    <w:rsid w:val="7F06134C"/>
    <w:rsid w:val="7F6319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qFormat="1" w:uiPriority="99" w:semiHidden="0"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4"/>
      <w:szCs w:val="22"/>
      <w:lang w:val="en-US" w:eastAsia="zh-CN" w:bidi="ar-SA"/>
    </w:rPr>
  </w:style>
  <w:style w:type="paragraph" w:styleId="2">
    <w:name w:val="heading 1"/>
    <w:basedOn w:val="1"/>
    <w:next w:val="1"/>
    <w:link w:val="60"/>
    <w:autoRedefine/>
    <w:qFormat/>
    <w:uiPriority w:val="0"/>
    <w:pPr>
      <w:keepNext/>
      <w:keepLines/>
      <w:wordWrap w:val="0"/>
      <w:topLinePunct/>
      <w:spacing w:line="360" w:lineRule="auto"/>
      <w:jc w:val="center"/>
      <w:outlineLvl w:val="0"/>
    </w:pPr>
    <w:rPr>
      <w:rFonts w:ascii="Times New Roman" w:hAnsi="Times New Roman" w:eastAsia="宋体" w:cs="Times New Roman"/>
      <w:b/>
      <w:bCs/>
      <w:kern w:val="44"/>
      <w:sz w:val="32"/>
      <w:szCs w:val="44"/>
    </w:rPr>
  </w:style>
  <w:style w:type="paragraph" w:styleId="3">
    <w:name w:val="heading 2"/>
    <w:basedOn w:val="1"/>
    <w:next w:val="1"/>
    <w:link w:val="59"/>
    <w:autoRedefine/>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61"/>
    <w:autoRedefine/>
    <w:qFormat/>
    <w:uiPriority w:val="0"/>
    <w:pPr>
      <w:keepNext/>
      <w:keepLines/>
      <w:wordWrap w:val="0"/>
      <w:topLinePunct/>
      <w:spacing w:line="360" w:lineRule="auto"/>
      <w:ind w:firstLine="400"/>
      <w:outlineLvl w:val="2"/>
    </w:pPr>
    <w:rPr>
      <w:rFonts w:ascii="宋体" w:hAnsi="宋体" w:eastAsia="宋体" w:cs="Times New Roman"/>
      <w:b/>
      <w:bCs/>
      <w:szCs w:val="21"/>
    </w:rPr>
  </w:style>
  <w:style w:type="paragraph" w:styleId="5">
    <w:name w:val="heading 4"/>
    <w:basedOn w:val="1"/>
    <w:next w:val="1"/>
    <w:link w:val="62"/>
    <w:autoRedefine/>
    <w:qFormat/>
    <w:uiPriority w:val="0"/>
    <w:pPr>
      <w:keepNext/>
      <w:keepLines/>
      <w:wordWrap w:val="0"/>
      <w:topLinePunct/>
      <w:spacing w:line="360" w:lineRule="auto"/>
      <w:ind w:firstLine="402"/>
      <w:outlineLvl w:val="3"/>
    </w:pPr>
    <w:rPr>
      <w:rFonts w:ascii="Arial" w:hAnsi="Arial" w:eastAsia="宋体" w:cs="宋体"/>
      <w:b/>
      <w:bCs/>
      <w:szCs w:val="28"/>
    </w:rPr>
  </w:style>
  <w:style w:type="paragraph" w:styleId="6">
    <w:name w:val="heading 5"/>
    <w:basedOn w:val="1"/>
    <w:next w:val="1"/>
    <w:link w:val="63"/>
    <w:autoRedefine/>
    <w:unhideWhenUsed/>
    <w:qFormat/>
    <w:uiPriority w:val="0"/>
    <w:pPr>
      <w:keepNext/>
      <w:keepLines/>
      <w:wordWrap w:val="0"/>
      <w:topLinePunct/>
      <w:spacing w:line="372" w:lineRule="auto"/>
      <w:ind w:firstLine="402"/>
      <w:outlineLvl w:val="4"/>
    </w:pPr>
    <w:rPr>
      <w:rFonts w:ascii="宋体" w:hAnsi="宋体" w:eastAsia="宋体" w:cs="宋体"/>
      <w:b/>
      <w:sz w:val="28"/>
      <w:szCs w:val="21"/>
    </w:rPr>
  </w:style>
  <w:style w:type="paragraph" w:styleId="7">
    <w:name w:val="heading 6"/>
    <w:basedOn w:val="1"/>
    <w:next w:val="1"/>
    <w:link w:val="64"/>
    <w:autoRedefine/>
    <w:unhideWhenUsed/>
    <w:qFormat/>
    <w:uiPriority w:val="0"/>
    <w:pPr>
      <w:keepNext/>
      <w:keepLines/>
      <w:wordWrap w:val="0"/>
      <w:topLinePunct/>
      <w:spacing w:line="317" w:lineRule="auto"/>
      <w:ind w:firstLine="402"/>
      <w:outlineLvl w:val="5"/>
    </w:pPr>
    <w:rPr>
      <w:rFonts w:ascii="Arial" w:hAnsi="Arial" w:eastAsia="黑体" w:cs="宋体"/>
      <w:b/>
      <w:szCs w:val="21"/>
    </w:rPr>
  </w:style>
  <w:style w:type="paragraph" w:styleId="8">
    <w:name w:val="heading 7"/>
    <w:basedOn w:val="1"/>
    <w:next w:val="1"/>
    <w:link w:val="65"/>
    <w:autoRedefine/>
    <w:unhideWhenUsed/>
    <w:qFormat/>
    <w:uiPriority w:val="0"/>
    <w:pPr>
      <w:keepNext/>
      <w:keepLines/>
      <w:wordWrap w:val="0"/>
      <w:topLinePunct/>
      <w:spacing w:line="317" w:lineRule="auto"/>
      <w:ind w:firstLine="402"/>
      <w:outlineLvl w:val="6"/>
    </w:pPr>
    <w:rPr>
      <w:rFonts w:ascii="宋体" w:hAnsi="宋体" w:eastAsia="宋体" w:cs="宋体"/>
      <w:b/>
      <w:szCs w:val="21"/>
    </w:rPr>
  </w:style>
  <w:style w:type="paragraph" w:styleId="9">
    <w:name w:val="heading 8"/>
    <w:basedOn w:val="1"/>
    <w:next w:val="1"/>
    <w:link w:val="66"/>
    <w:autoRedefine/>
    <w:unhideWhenUsed/>
    <w:qFormat/>
    <w:uiPriority w:val="0"/>
    <w:pPr>
      <w:keepNext/>
      <w:keepLines/>
      <w:wordWrap w:val="0"/>
      <w:topLinePunct/>
      <w:spacing w:line="317" w:lineRule="auto"/>
      <w:ind w:firstLine="402"/>
      <w:outlineLvl w:val="7"/>
    </w:pPr>
    <w:rPr>
      <w:rFonts w:ascii="Arial" w:hAnsi="Arial" w:eastAsia="黑体" w:cs="宋体"/>
      <w:szCs w:val="21"/>
    </w:rPr>
  </w:style>
  <w:style w:type="paragraph" w:styleId="10">
    <w:name w:val="heading 9"/>
    <w:basedOn w:val="1"/>
    <w:next w:val="1"/>
    <w:link w:val="67"/>
    <w:autoRedefine/>
    <w:unhideWhenUsed/>
    <w:qFormat/>
    <w:uiPriority w:val="0"/>
    <w:pPr>
      <w:keepNext/>
      <w:keepLines/>
      <w:wordWrap w:val="0"/>
      <w:topLinePunct/>
      <w:spacing w:line="317" w:lineRule="auto"/>
      <w:ind w:firstLine="402"/>
      <w:outlineLvl w:val="8"/>
    </w:pPr>
    <w:rPr>
      <w:rFonts w:ascii="Arial" w:hAnsi="Arial" w:eastAsia="黑体" w:cs="宋体"/>
      <w:szCs w:val="21"/>
    </w:rPr>
  </w:style>
  <w:style w:type="character" w:default="1" w:styleId="32">
    <w:name w:val="Default Paragraph Font"/>
    <w:autoRedefine/>
    <w:semiHidden/>
    <w:unhideWhenUsed/>
    <w:qFormat/>
    <w:uiPriority w:val="1"/>
  </w:style>
  <w:style w:type="table" w:default="1" w:styleId="30">
    <w:name w:val="Normal Table"/>
    <w:autoRedefine/>
    <w:semiHidden/>
    <w:unhideWhenUsed/>
    <w:qFormat/>
    <w:uiPriority w:val="99"/>
    <w:tblPr>
      <w:tblCellMar>
        <w:top w:w="0" w:type="dxa"/>
        <w:left w:w="108" w:type="dxa"/>
        <w:bottom w:w="0" w:type="dxa"/>
        <w:right w:w="108" w:type="dxa"/>
      </w:tblCellMar>
    </w:tblPr>
  </w:style>
  <w:style w:type="paragraph" w:styleId="11">
    <w:name w:val="Normal Indent"/>
    <w:basedOn w:val="1"/>
    <w:autoRedefine/>
    <w:qFormat/>
    <w:uiPriority w:val="0"/>
    <w:pPr>
      <w:wordWrap w:val="0"/>
      <w:topLinePunct/>
      <w:ind w:firstLine="420" w:firstLineChars="200"/>
    </w:pPr>
    <w:rPr>
      <w:rFonts w:ascii="Times New Roman" w:hAnsi="Times New Roman" w:eastAsia="宋体" w:cs="Times New Roman"/>
      <w:szCs w:val="20"/>
    </w:rPr>
  </w:style>
  <w:style w:type="paragraph" w:styleId="12">
    <w:name w:val="annotation text"/>
    <w:basedOn w:val="1"/>
    <w:link w:val="58"/>
    <w:autoRedefine/>
    <w:qFormat/>
    <w:uiPriority w:val="0"/>
    <w:pPr>
      <w:widowControl/>
      <w:kinsoku w:val="0"/>
      <w:autoSpaceDE w:val="0"/>
      <w:autoSpaceDN w:val="0"/>
      <w:adjustRightInd w:val="0"/>
      <w:snapToGrid w:val="0"/>
      <w:jc w:val="left"/>
      <w:textAlignment w:val="baseline"/>
    </w:pPr>
    <w:rPr>
      <w:rFonts w:ascii="Arial" w:hAnsi="Arial" w:eastAsia="Arial" w:cs="Arial"/>
      <w:snapToGrid w:val="0"/>
      <w:color w:val="000000"/>
      <w:kern w:val="0"/>
      <w:szCs w:val="21"/>
      <w:lang w:eastAsia="en-US"/>
    </w:rPr>
  </w:style>
  <w:style w:type="paragraph" w:styleId="13">
    <w:name w:val="Body Text"/>
    <w:basedOn w:val="1"/>
    <w:next w:val="1"/>
    <w:link w:val="49"/>
    <w:autoRedefine/>
    <w:qFormat/>
    <w:uiPriority w:val="0"/>
    <w:pPr>
      <w:widowControl/>
      <w:kinsoku w:val="0"/>
      <w:autoSpaceDE w:val="0"/>
      <w:autoSpaceDN w:val="0"/>
      <w:adjustRightInd w:val="0"/>
      <w:snapToGrid w:val="0"/>
      <w:jc w:val="left"/>
      <w:textAlignment w:val="baseline"/>
    </w:pPr>
    <w:rPr>
      <w:rFonts w:ascii="宋体" w:hAnsi="宋体" w:eastAsia="宋体" w:cs="宋体"/>
      <w:snapToGrid w:val="0"/>
      <w:color w:val="000000"/>
      <w:kern w:val="0"/>
      <w:sz w:val="31"/>
      <w:szCs w:val="31"/>
      <w:lang w:eastAsia="en-US"/>
    </w:rPr>
  </w:style>
  <w:style w:type="paragraph" w:styleId="14">
    <w:name w:val="Body Text Indent"/>
    <w:basedOn w:val="1"/>
    <w:link w:val="54"/>
    <w:autoRedefine/>
    <w:unhideWhenUsed/>
    <w:qFormat/>
    <w:uiPriority w:val="99"/>
    <w:pPr>
      <w:spacing w:after="120"/>
      <w:ind w:left="420" w:leftChars="200"/>
    </w:pPr>
  </w:style>
  <w:style w:type="paragraph" w:styleId="15">
    <w:name w:val="List 2"/>
    <w:basedOn w:val="1"/>
    <w:autoRedefine/>
    <w:qFormat/>
    <w:uiPriority w:val="0"/>
    <w:pPr>
      <w:wordWrap w:val="0"/>
      <w:topLinePunct/>
      <w:ind w:left="100" w:leftChars="200" w:hanging="200" w:hangingChars="200"/>
    </w:pPr>
    <w:rPr>
      <w:rFonts w:ascii="Times New Roman" w:hAnsi="Times New Roman" w:eastAsia="宋体" w:cs="Times New Roman"/>
      <w:szCs w:val="21"/>
    </w:rPr>
  </w:style>
  <w:style w:type="paragraph" w:styleId="16">
    <w:name w:val="toc 3"/>
    <w:basedOn w:val="1"/>
    <w:next w:val="1"/>
    <w:autoRedefine/>
    <w:semiHidden/>
    <w:unhideWhenUsed/>
    <w:qFormat/>
    <w:uiPriority w:val="39"/>
    <w:pPr>
      <w:ind w:left="840" w:leftChars="400"/>
    </w:pPr>
  </w:style>
  <w:style w:type="paragraph" w:styleId="17">
    <w:name w:val="Plain Text"/>
    <w:basedOn w:val="1"/>
    <w:next w:val="13"/>
    <w:link w:val="69"/>
    <w:autoRedefine/>
    <w:qFormat/>
    <w:uiPriority w:val="0"/>
    <w:pPr>
      <w:wordWrap w:val="0"/>
      <w:topLinePunct/>
    </w:pPr>
    <w:rPr>
      <w:rFonts w:ascii="宋体" w:hAnsi="Courier New" w:eastAsia="宋体" w:cs="Courier New"/>
      <w:sz w:val="21"/>
      <w:szCs w:val="21"/>
    </w:rPr>
  </w:style>
  <w:style w:type="paragraph" w:styleId="18">
    <w:name w:val="Date"/>
    <w:basedOn w:val="1"/>
    <w:next w:val="1"/>
    <w:qFormat/>
    <w:uiPriority w:val="0"/>
    <w:pPr>
      <w:ind w:left="100" w:leftChars="2500"/>
    </w:pPr>
    <w:rPr>
      <w:rFonts w:ascii="Times New Roman" w:hAnsi="Times New Roman" w:eastAsia="宋体" w:cs="Times New Roman"/>
      <w:szCs w:val="24"/>
    </w:rPr>
  </w:style>
  <w:style w:type="paragraph" w:styleId="19">
    <w:name w:val="Balloon Text"/>
    <w:basedOn w:val="1"/>
    <w:link w:val="53"/>
    <w:autoRedefine/>
    <w:semiHidden/>
    <w:unhideWhenUsed/>
    <w:qFormat/>
    <w:uiPriority w:val="99"/>
    <w:rPr>
      <w:sz w:val="18"/>
      <w:szCs w:val="18"/>
    </w:rPr>
  </w:style>
  <w:style w:type="paragraph" w:styleId="20">
    <w:name w:val="footer"/>
    <w:basedOn w:val="1"/>
    <w:link w:val="48"/>
    <w:autoRedefine/>
    <w:unhideWhenUsed/>
    <w:qFormat/>
    <w:uiPriority w:val="99"/>
    <w:pPr>
      <w:tabs>
        <w:tab w:val="center" w:pos="4153"/>
        <w:tab w:val="right" w:pos="8306"/>
      </w:tabs>
      <w:snapToGrid w:val="0"/>
      <w:jc w:val="left"/>
    </w:pPr>
    <w:rPr>
      <w:sz w:val="18"/>
      <w:szCs w:val="18"/>
    </w:rPr>
  </w:style>
  <w:style w:type="paragraph" w:styleId="21">
    <w:name w:val="envelope return"/>
    <w:basedOn w:val="1"/>
    <w:qFormat/>
    <w:uiPriority w:val="0"/>
    <w:pPr>
      <w:snapToGrid w:val="0"/>
    </w:pPr>
    <w:rPr>
      <w:rFonts w:ascii="Arial" w:hAnsi="Arial"/>
    </w:rPr>
  </w:style>
  <w:style w:type="paragraph" w:styleId="22">
    <w:name w:val="header"/>
    <w:basedOn w:val="1"/>
    <w:link w:val="47"/>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23">
    <w:name w:val="toc 1"/>
    <w:basedOn w:val="1"/>
    <w:next w:val="1"/>
    <w:autoRedefine/>
    <w:semiHidden/>
    <w:unhideWhenUsed/>
    <w:qFormat/>
    <w:uiPriority w:val="39"/>
  </w:style>
  <w:style w:type="paragraph" w:styleId="24">
    <w:name w:val="toc 2"/>
    <w:basedOn w:val="1"/>
    <w:next w:val="1"/>
    <w:autoRedefine/>
    <w:semiHidden/>
    <w:unhideWhenUsed/>
    <w:qFormat/>
    <w:uiPriority w:val="39"/>
    <w:pPr>
      <w:ind w:left="420" w:leftChars="200"/>
    </w:pPr>
  </w:style>
  <w:style w:type="paragraph" w:styleId="25">
    <w:name w:val="Body Text 2"/>
    <w:basedOn w:val="1"/>
    <w:next w:val="13"/>
    <w:autoRedefine/>
    <w:qFormat/>
    <w:uiPriority w:val="0"/>
    <w:pPr>
      <w:spacing w:after="120" w:line="480" w:lineRule="auto"/>
    </w:pPr>
  </w:style>
  <w:style w:type="paragraph" w:styleId="26">
    <w:name w:val="Message Header"/>
    <w:basedOn w:val="1"/>
    <w:autoRedefine/>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libri Light" w:hAnsi="Calibri Light" w:eastAsia="宋体" w:cs="Times New Roman"/>
      <w:szCs w:val="24"/>
    </w:rPr>
  </w:style>
  <w:style w:type="paragraph" w:styleId="27">
    <w:name w:val="Normal (Web)"/>
    <w:basedOn w:val="1"/>
    <w:autoRedefine/>
    <w:qFormat/>
    <w:uiPriority w:val="0"/>
    <w:pPr>
      <w:widowControl/>
      <w:wordWrap w:val="0"/>
      <w:topLinePunct/>
      <w:spacing w:before="100" w:beforeAutospacing="1" w:after="100" w:afterAutospacing="1" w:line="320" w:lineRule="atLeast"/>
      <w:jc w:val="left"/>
    </w:pPr>
    <w:rPr>
      <w:rFonts w:ascii="宋体" w:hAnsi="宋体" w:eastAsia="宋体" w:cs="Times New Roman"/>
      <w:kern w:val="0"/>
      <w:sz w:val="18"/>
      <w:szCs w:val="18"/>
    </w:rPr>
  </w:style>
  <w:style w:type="paragraph" w:styleId="28">
    <w:name w:val="Body Text First Indent"/>
    <w:basedOn w:val="13"/>
    <w:next w:val="29"/>
    <w:qFormat/>
    <w:uiPriority w:val="0"/>
    <w:pPr>
      <w:ind w:firstLine="420" w:firstLineChars="100"/>
    </w:pPr>
    <w:rPr>
      <w:rFonts w:ascii="Calibri" w:hAnsi="Calibri" w:eastAsia="宋体" w:cs="Times New Roman"/>
    </w:rPr>
  </w:style>
  <w:style w:type="paragraph" w:styleId="29">
    <w:name w:val="Body Text First Indent 2"/>
    <w:basedOn w:val="14"/>
    <w:link w:val="55"/>
    <w:autoRedefine/>
    <w:semiHidden/>
    <w:unhideWhenUsed/>
    <w:qFormat/>
    <w:uiPriority w:val="99"/>
    <w:pPr>
      <w:ind w:firstLine="420" w:firstLineChars="200"/>
    </w:pPr>
  </w:style>
  <w:style w:type="table" w:styleId="31">
    <w:name w:val="Table Grid"/>
    <w:basedOn w:val="30"/>
    <w:autoRedefine/>
    <w:qFormat/>
    <w:uiPriority w:val="0"/>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3">
    <w:name w:val="Strong"/>
    <w:basedOn w:val="32"/>
    <w:autoRedefine/>
    <w:qFormat/>
    <w:uiPriority w:val="22"/>
  </w:style>
  <w:style w:type="character" w:styleId="34">
    <w:name w:val="FollowedHyperlink"/>
    <w:basedOn w:val="32"/>
    <w:autoRedefine/>
    <w:semiHidden/>
    <w:unhideWhenUsed/>
    <w:qFormat/>
    <w:uiPriority w:val="99"/>
    <w:rPr>
      <w:color w:val="800080"/>
      <w:u w:val="none"/>
    </w:rPr>
  </w:style>
  <w:style w:type="character" w:styleId="35">
    <w:name w:val="Emphasis"/>
    <w:basedOn w:val="32"/>
    <w:autoRedefine/>
    <w:qFormat/>
    <w:uiPriority w:val="20"/>
  </w:style>
  <w:style w:type="character" w:styleId="36">
    <w:name w:val="HTML Definition"/>
    <w:basedOn w:val="32"/>
    <w:autoRedefine/>
    <w:semiHidden/>
    <w:unhideWhenUsed/>
    <w:qFormat/>
    <w:uiPriority w:val="99"/>
  </w:style>
  <w:style w:type="character" w:styleId="37">
    <w:name w:val="HTML Typewriter"/>
    <w:basedOn w:val="32"/>
    <w:autoRedefine/>
    <w:semiHidden/>
    <w:unhideWhenUsed/>
    <w:qFormat/>
    <w:uiPriority w:val="99"/>
    <w:rPr>
      <w:rFonts w:ascii="monospace" w:hAnsi="monospace" w:eastAsia="monospace" w:cs="monospace"/>
      <w:sz w:val="20"/>
    </w:rPr>
  </w:style>
  <w:style w:type="character" w:styleId="38">
    <w:name w:val="HTML Acronym"/>
    <w:basedOn w:val="32"/>
    <w:autoRedefine/>
    <w:semiHidden/>
    <w:unhideWhenUsed/>
    <w:qFormat/>
    <w:uiPriority w:val="99"/>
  </w:style>
  <w:style w:type="character" w:styleId="39">
    <w:name w:val="HTML Variable"/>
    <w:basedOn w:val="32"/>
    <w:autoRedefine/>
    <w:semiHidden/>
    <w:unhideWhenUsed/>
    <w:qFormat/>
    <w:uiPriority w:val="99"/>
  </w:style>
  <w:style w:type="character" w:styleId="40">
    <w:name w:val="Hyperlink"/>
    <w:basedOn w:val="32"/>
    <w:autoRedefine/>
    <w:semiHidden/>
    <w:unhideWhenUsed/>
    <w:qFormat/>
    <w:uiPriority w:val="99"/>
    <w:rPr>
      <w:color w:val="0000FF"/>
      <w:u w:val="single"/>
    </w:rPr>
  </w:style>
  <w:style w:type="character" w:styleId="41">
    <w:name w:val="HTML Code"/>
    <w:basedOn w:val="32"/>
    <w:autoRedefine/>
    <w:semiHidden/>
    <w:unhideWhenUsed/>
    <w:qFormat/>
    <w:uiPriority w:val="99"/>
    <w:rPr>
      <w:rFonts w:hint="default" w:ascii="monospace" w:hAnsi="monospace" w:eastAsia="monospace" w:cs="monospace"/>
      <w:sz w:val="20"/>
    </w:rPr>
  </w:style>
  <w:style w:type="character" w:styleId="42">
    <w:name w:val="HTML Cite"/>
    <w:basedOn w:val="32"/>
    <w:autoRedefine/>
    <w:semiHidden/>
    <w:unhideWhenUsed/>
    <w:qFormat/>
    <w:uiPriority w:val="99"/>
  </w:style>
  <w:style w:type="character" w:styleId="43">
    <w:name w:val="HTML Keyboard"/>
    <w:basedOn w:val="32"/>
    <w:autoRedefine/>
    <w:semiHidden/>
    <w:unhideWhenUsed/>
    <w:qFormat/>
    <w:uiPriority w:val="99"/>
    <w:rPr>
      <w:rFonts w:hint="default" w:ascii="monospace" w:hAnsi="monospace" w:eastAsia="monospace" w:cs="monospace"/>
      <w:sz w:val="20"/>
    </w:rPr>
  </w:style>
  <w:style w:type="character" w:styleId="44">
    <w:name w:val="HTML Sample"/>
    <w:basedOn w:val="32"/>
    <w:autoRedefine/>
    <w:semiHidden/>
    <w:unhideWhenUsed/>
    <w:qFormat/>
    <w:uiPriority w:val="99"/>
    <w:rPr>
      <w:rFonts w:hint="default" w:ascii="monospace" w:hAnsi="monospace" w:eastAsia="monospace" w:cs="monospace"/>
    </w:rPr>
  </w:style>
  <w:style w:type="paragraph" w:customStyle="1" w:styleId="45">
    <w:name w:val="Default"/>
    <w:next w:val="1"/>
    <w:link w:val="68"/>
    <w:autoRedefine/>
    <w:qFormat/>
    <w:uiPriority w:val="0"/>
    <w:pPr>
      <w:widowControl w:val="0"/>
      <w:autoSpaceDE w:val="0"/>
      <w:autoSpaceDN w:val="0"/>
      <w:adjustRightInd w:val="0"/>
      <w:spacing w:after="160" w:line="259" w:lineRule="auto"/>
    </w:pPr>
    <w:rPr>
      <w:rFonts w:cs="宋体" w:asciiTheme="minorEastAsia" w:hAnsiTheme="minorEastAsia" w:eastAsiaTheme="minorEastAsia"/>
      <w:color w:val="000000"/>
      <w:kern w:val="0"/>
      <w:sz w:val="24"/>
      <w:szCs w:val="21"/>
      <w:shd w:val="clear" w:color="auto" w:fill="FFFFFF"/>
      <w:lang w:val="en-US" w:eastAsia="zh-CN" w:bidi="ar-SA"/>
    </w:rPr>
  </w:style>
  <w:style w:type="paragraph" w:customStyle="1" w:styleId="46">
    <w:name w:val="无间隔1"/>
    <w:basedOn w:val="1"/>
    <w:autoRedefine/>
    <w:qFormat/>
    <w:uiPriority w:val="99"/>
    <w:pPr>
      <w:spacing w:line="400" w:lineRule="exact"/>
    </w:pPr>
  </w:style>
  <w:style w:type="character" w:customStyle="1" w:styleId="47">
    <w:name w:val="页眉 Char"/>
    <w:basedOn w:val="32"/>
    <w:link w:val="22"/>
    <w:autoRedefine/>
    <w:qFormat/>
    <w:uiPriority w:val="99"/>
    <w:rPr>
      <w:sz w:val="18"/>
      <w:szCs w:val="18"/>
    </w:rPr>
  </w:style>
  <w:style w:type="character" w:customStyle="1" w:styleId="48">
    <w:name w:val="页脚 Char"/>
    <w:basedOn w:val="32"/>
    <w:link w:val="20"/>
    <w:autoRedefine/>
    <w:qFormat/>
    <w:uiPriority w:val="99"/>
    <w:rPr>
      <w:sz w:val="18"/>
      <w:szCs w:val="18"/>
    </w:rPr>
  </w:style>
  <w:style w:type="character" w:customStyle="1" w:styleId="49">
    <w:name w:val="正文文本 Char"/>
    <w:basedOn w:val="32"/>
    <w:link w:val="13"/>
    <w:autoRedefine/>
    <w:semiHidden/>
    <w:qFormat/>
    <w:uiPriority w:val="0"/>
    <w:rPr>
      <w:rFonts w:ascii="宋体" w:hAnsi="宋体" w:eastAsia="宋体" w:cs="宋体"/>
      <w:snapToGrid w:val="0"/>
      <w:color w:val="000000"/>
      <w:kern w:val="0"/>
      <w:sz w:val="31"/>
      <w:szCs w:val="31"/>
      <w:lang w:eastAsia="en-US"/>
    </w:rPr>
  </w:style>
  <w:style w:type="table" w:customStyle="1" w:styleId="50">
    <w:name w:val="Table Normal"/>
    <w:autoRedefine/>
    <w:unhideWhenUsed/>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 w:type="paragraph" w:customStyle="1" w:styleId="51">
    <w:name w:val="Table Text"/>
    <w:basedOn w:val="1"/>
    <w:autoRedefine/>
    <w:semiHidden/>
    <w:qFormat/>
    <w:uiPriority w:val="0"/>
    <w:pPr>
      <w:widowControl/>
      <w:kinsoku w:val="0"/>
      <w:autoSpaceDE w:val="0"/>
      <w:autoSpaceDN w:val="0"/>
      <w:adjustRightInd w:val="0"/>
      <w:snapToGrid w:val="0"/>
      <w:jc w:val="left"/>
      <w:textAlignment w:val="baseline"/>
    </w:pPr>
    <w:rPr>
      <w:rFonts w:ascii="Arial" w:hAnsi="Arial" w:eastAsia="Arial" w:cs="Arial"/>
      <w:snapToGrid w:val="0"/>
      <w:color w:val="000000"/>
      <w:kern w:val="0"/>
      <w:szCs w:val="21"/>
      <w:lang w:eastAsia="en-US"/>
    </w:rPr>
  </w:style>
  <w:style w:type="paragraph" w:customStyle="1" w:styleId="52">
    <w:name w:val="WPSOffice手动目录 1"/>
    <w:autoRedefine/>
    <w:qFormat/>
    <w:uiPriority w:val="0"/>
    <w:rPr>
      <w:rFonts w:ascii="Times New Roman" w:hAnsi="Times New Roman" w:eastAsia="宋体" w:cs="Times New Roman"/>
      <w:kern w:val="0"/>
      <w:sz w:val="20"/>
      <w:szCs w:val="20"/>
      <w:lang w:val="en-US" w:eastAsia="zh-CN" w:bidi="ar-SA"/>
    </w:rPr>
  </w:style>
  <w:style w:type="character" w:customStyle="1" w:styleId="53">
    <w:name w:val="批注框文本 Char"/>
    <w:basedOn w:val="32"/>
    <w:link w:val="19"/>
    <w:autoRedefine/>
    <w:semiHidden/>
    <w:qFormat/>
    <w:uiPriority w:val="99"/>
    <w:rPr>
      <w:sz w:val="18"/>
      <w:szCs w:val="18"/>
    </w:rPr>
  </w:style>
  <w:style w:type="character" w:customStyle="1" w:styleId="54">
    <w:name w:val="正文文本缩进 Char"/>
    <w:basedOn w:val="32"/>
    <w:link w:val="14"/>
    <w:autoRedefine/>
    <w:semiHidden/>
    <w:qFormat/>
    <w:uiPriority w:val="99"/>
  </w:style>
  <w:style w:type="character" w:customStyle="1" w:styleId="55">
    <w:name w:val="正文首行缩进 2 Char"/>
    <w:basedOn w:val="54"/>
    <w:link w:val="29"/>
    <w:autoRedefine/>
    <w:semiHidden/>
    <w:qFormat/>
    <w:uiPriority w:val="99"/>
  </w:style>
  <w:style w:type="paragraph" w:styleId="56">
    <w:name w:val="List Paragraph"/>
    <w:basedOn w:val="1"/>
    <w:autoRedefine/>
    <w:qFormat/>
    <w:uiPriority w:val="34"/>
    <w:pPr>
      <w:ind w:firstLine="420" w:firstLineChars="200"/>
    </w:pPr>
  </w:style>
  <w:style w:type="paragraph" w:customStyle="1" w:styleId="57">
    <w:name w:val="首行缩进"/>
    <w:basedOn w:val="1"/>
    <w:autoRedefine/>
    <w:qFormat/>
    <w:uiPriority w:val="99"/>
    <w:pPr>
      <w:wordWrap w:val="0"/>
      <w:topLinePunct/>
      <w:ind w:firstLine="480"/>
    </w:pPr>
    <w:rPr>
      <w:rFonts w:ascii="宋体" w:hAnsi="宋体" w:eastAsia="宋体" w:cs="宋体"/>
      <w:kern w:val="0"/>
      <w:szCs w:val="20"/>
      <w:lang w:val="zh-CN"/>
    </w:rPr>
  </w:style>
  <w:style w:type="character" w:customStyle="1" w:styleId="58">
    <w:name w:val="批注文字 Char"/>
    <w:basedOn w:val="32"/>
    <w:link w:val="12"/>
    <w:autoRedefine/>
    <w:qFormat/>
    <w:uiPriority w:val="0"/>
    <w:rPr>
      <w:rFonts w:ascii="Arial" w:hAnsi="Arial" w:eastAsia="Arial" w:cs="Arial"/>
      <w:snapToGrid w:val="0"/>
      <w:color w:val="000000"/>
      <w:kern w:val="0"/>
      <w:szCs w:val="21"/>
      <w:lang w:eastAsia="en-US"/>
    </w:rPr>
  </w:style>
  <w:style w:type="character" w:customStyle="1" w:styleId="59">
    <w:name w:val="标题 2 Char"/>
    <w:basedOn w:val="32"/>
    <w:link w:val="3"/>
    <w:autoRedefine/>
    <w:qFormat/>
    <w:uiPriority w:val="0"/>
    <w:rPr>
      <w:rFonts w:asciiTheme="majorHAnsi" w:hAnsiTheme="majorHAnsi" w:eastAsiaTheme="majorEastAsia" w:cstheme="majorBidi"/>
      <w:b/>
      <w:bCs/>
      <w:sz w:val="32"/>
      <w:szCs w:val="32"/>
    </w:rPr>
  </w:style>
  <w:style w:type="character" w:customStyle="1" w:styleId="60">
    <w:name w:val="标题 1 Char"/>
    <w:basedOn w:val="32"/>
    <w:link w:val="2"/>
    <w:autoRedefine/>
    <w:qFormat/>
    <w:uiPriority w:val="0"/>
    <w:rPr>
      <w:rFonts w:ascii="Times New Roman" w:hAnsi="Times New Roman" w:eastAsia="宋体" w:cs="Times New Roman"/>
      <w:b/>
      <w:bCs/>
      <w:kern w:val="44"/>
      <w:sz w:val="32"/>
      <w:szCs w:val="44"/>
    </w:rPr>
  </w:style>
  <w:style w:type="character" w:customStyle="1" w:styleId="61">
    <w:name w:val="标题 3 Char"/>
    <w:basedOn w:val="32"/>
    <w:link w:val="4"/>
    <w:autoRedefine/>
    <w:qFormat/>
    <w:uiPriority w:val="0"/>
    <w:rPr>
      <w:rFonts w:ascii="宋体" w:hAnsi="宋体" w:eastAsia="宋体" w:cs="Times New Roman"/>
      <w:b/>
      <w:bCs/>
      <w:szCs w:val="21"/>
    </w:rPr>
  </w:style>
  <w:style w:type="character" w:customStyle="1" w:styleId="62">
    <w:name w:val="标题 4 Char"/>
    <w:basedOn w:val="32"/>
    <w:link w:val="5"/>
    <w:autoRedefine/>
    <w:qFormat/>
    <w:uiPriority w:val="0"/>
    <w:rPr>
      <w:rFonts w:ascii="Arial" w:hAnsi="Arial" w:eastAsia="宋体" w:cs="宋体"/>
      <w:b/>
      <w:bCs/>
      <w:szCs w:val="28"/>
    </w:rPr>
  </w:style>
  <w:style w:type="character" w:customStyle="1" w:styleId="63">
    <w:name w:val="标题 5 Char"/>
    <w:basedOn w:val="32"/>
    <w:link w:val="6"/>
    <w:autoRedefine/>
    <w:qFormat/>
    <w:uiPriority w:val="0"/>
    <w:rPr>
      <w:rFonts w:ascii="宋体" w:hAnsi="宋体" w:eastAsia="宋体" w:cs="宋体"/>
      <w:b/>
      <w:sz w:val="28"/>
      <w:szCs w:val="21"/>
    </w:rPr>
  </w:style>
  <w:style w:type="character" w:customStyle="1" w:styleId="64">
    <w:name w:val="标题 6 Char"/>
    <w:basedOn w:val="32"/>
    <w:link w:val="7"/>
    <w:autoRedefine/>
    <w:qFormat/>
    <w:uiPriority w:val="0"/>
    <w:rPr>
      <w:rFonts w:ascii="Arial" w:hAnsi="Arial" w:eastAsia="黑体" w:cs="宋体"/>
      <w:b/>
      <w:sz w:val="24"/>
      <w:szCs w:val="21"/>
    </w:rPr>
  </w:style>
  <w:style w:type="character" w:customStyle="1" w:styleId="65">
    <w:name w:val="标题 7 Char"/>
    <w:basedOn w:val="32"/>
    <w:link w:val="8"/>
    <w:autoRedefine/>
    <w:qFormat/>
    <w:uiPriority w:val="0"/>
    <w:rPr>
      <w:rFonts w:ascii="宋体" w:hAnsi="宋体" w:eastAsia="宋体" w:cs="宋体"/>
      <w:b/>
      <w:sz w:val="24"/>
      <w:szCs w:val="21"/>
    </w:rPr>
  </w:style>
  <w:style w:type="character" w:customStyle="1" w:styleId="66">
    <w:name w:val="标题 8 Char"/>
    <w:basedOn w:val="32"/>
    <w:link w:val="9"/>
    <w:autoRedefine/>
    <w:qFormat/>
    <w:uiPriority w:val="0"/>
    <w:rPr>
      <w:rFonts w:ascii="Arial" w:hAnsi="Arial" w:eastAsia="黑体" w:cs="宋体"/>
      <w:sz w:val="24"/>
      <w:szCs w:val="21"/>
    </w:rPr>
  </w:style>
  <w:style w:type="character" w:customStyle="1" w:styleId="67">
    <w:name w:val="标题 9 Char"/>
    <w:basedOn w:val="32"/>
    <w:link w:val="10"/>
    <w:autoRedefine/>
    <w:qFormat/>
    <w:uiPriority w:val="0"/>
    <w:rPr>
      <w:rFonts w:ascii="Arial" w:hAnsi="Arial" w:eastAsia="黑体" w:cs="宋体"/>
      <w:szCs w:val="21"/>
    </w:rPr>
  </w:style>
  <w:style w:type="character" w:customStyle="1" w:styleId="68">
    <w:name w:val="Default Char"/>
    <w:link w:val="45"/>
    <w:autoRedefine/>
    <w:qFormat/>
    <w:uiPriority w:val="0"/>
    <w:rPr>
      <w:rFonts w:cs="宋体" w:asciiTheme="minorEastAsia" w:hAnsiTheme="minorEastAsia"/>
      <w:color w:val="000000"/>
      <w:kern w:val="0"/>
      <w:sz w:val="24"/>
      <w:szCs w:val="21"/>
    </w:rPr>
  </w:style>
  <w:style w:type="character" w:customStyle="1" w:styleId="69">
    <w:name w:val="纯文本 Char"/>
    <w:basedOn w:val="32"/>
    <w:link w:val="17"/>
    <w:autoRedefine/>
    <w:qFormat/>
    <w:uiPriority w:val="0"/>
    <w:rPr>
      <w:rFonts w:ascii="宋体" w:hAnsi="Courier New" w:eastAsia="宋体" w:cs="Courier New"/>
      <w:szCs w:val="21"/>
    </w:rPr>
  </w:style>
  <w:style w:type="paragraph" w:customStyle="1" w:styleId="70">
    <w:name w:val="Table Paragraph"/>
    <w:basedOn w:val="1"/>
    <w:autoRedefine/>
    <w:qFormat/>
    <w:uiPriority w:val="1"/>
    <w:rPr>
      <w:rFonts w:ascii="宋体" w:hAnsi="宋体" w:eastAsia="宋体" w:cs="宋体"/>
      <w:lang w:val="en-US" w:eastAsia="zh-CN" w:bidi="ar-SA"/>
    </w:rPr>
  </w:style>
  <w:style w:type="paragraph" w:customStyle="1" w:styleId="71">
    <w:name w:val="style4"/>
    <w:basedOn w:val="1"/>
    <w:next w:val="72"/>
    <w:autoRedefine/>
    <w:qFormat/>
    <w:uiPriority w:val="0"/>
    <w:pPr>
      <w:widowControl/>
      <w:spacing w:before="100" w:beforeAutospacing="1" w:after="100" w:afterAutospacing="1"/>
      <w:jc w:val="left"/>
    </w:pPr>
    <w:rPr>
      <w:rFonts w:hint="eastAsia" w:ascii="宋体" w:hAnsi="宋体"/>
      <w:kern w:val="0"/>
      <w:sz w:val="18"/>
    </w:rPr>
  </w:style>
  <w:style w:type="paragraph" w:customStyle="1" w:styleId="72">
    <w:name w:val="2"/>
    <w:next w:val="1"/>
    <w:autoRedefine/>
    <w:qFormat/>
    <w:uiPriority w:val="0"/>
    <w:pPr>
      <w:widowControl w:val="0"/>
      <w:jc w:val="both"/>
    </w:pPr>
    <w:rPr>
      <w:rFonts w:ascii="Times New Roman" w:hAnsi="Times New Roman" w:eastAsia="宋体" w:cs="Times New Roman"/>
      <w:sz w:val="21"/>
      <w:lang w:val="en-US" w:eastAsia="zh-CN" w:bidi="ar-SA"/>
    </w:rPr>
  </w:style>
  <w:style w:type="paragraph" w:customStyle="1" w:styleId="73">
    <w:name w:val="UserStyle_0"/>
    <w:basedOn w:val="1"/>
    <w:qFormat/>
    <w:uiPriority w:val="0"/>
    <w:pPr>
      <w:spacing w:line="400" w:lineRule="exact"/>
      <w:jc w:val="center"/>
      <w:textAlignment w:val="baseline"/>
    </w:pPr>
    <w:rPr>
      <w:rFonts w:eastAsia="仿宋_GB2312" w:cs="宋体"/>
      <w:sz w:val="24"/>
    </w:rPr>
  </w:style>
  <w:style w:type="character" w:customStyle="1" w:styleId="74">
    <w:name w:val="font31"/>
    <w:basedOn w:val="32"/>
    <w:qFormat/>
    <w:uiPriority w:val="0"/>
    <w:rPr>
      <w:rFonts w:hint="eastAsia" w:ascii="仿宋" w:hAnsi="仿宋" w:eastAsia="仿宋" w:cs="仿宋"/>
      <w:color w:val="000000"/>
      <w:sz w:val="24"/>
      <w:szCs w:val="24"/>
      <w:u w:val="none"/>
    </w:rPr>
  </w:style>
  <w:style w:type="character" w:customStyle="1" w:styleId="75">
    <w:name w:val="font11"/>
    <w:basedOn w:val="32"/>
    <w:qFormat/>
    <w:uiPriority w:val="0"/>
    <w:rPr>
      <w:rFonts w:hint="eastAsia" w:ascii="仿宋" w:hAnsi="仿宋" w:eastAsia="仿宋" w:cs="仿宋"/>
      <w:b/>
      <w:bCs/>
      <w:color w:val="000000"/>
      <w:sz w:val="24"/>
      <w:szCs w:val="24"/>
      <w:u w:val="none"/>
    </w:rPr>
  </w:style>
  <w:style w:type="character" w:customStyle="1" w:styleId="76">
    <w:name w:val="font41"/>
    <w:basedOn w:val="32"/>
    <w:qFormat/>
    <w:uiPriority w:val="0"/>
    <w:rPr>
      <w:rFonts w:hint="default" w:ascii="Times New Roman" w:hAnsi="Times New Roman" w:cs="Times New Roman"/>
      <w:color w:val="000000"/>
      <w:sz w:val="24"/>
      <w:szCs w:val="24"/>
      <w:u w:val="none"/>
    </w:rPr>
  </w:style>
  <w:style w:type="paragraph" w:customStyle="1" w:styleId="77">
    <w:name w:val="列出段落1"/>
    <w:basedOn w:val="1"/>
    <w:unhideWhenUsed/>
    <w:qFormat/>
    <w:uiPriority w:val="99"/>
    <w:pPr>
      <w:ind w:firstLine="420" w:firstLineChars="200"/>
    </w:pPr>
  </w:style>
  <w:style w:type="character" w:customStyle="1" w:styleId="78">
    <w:name w:val="first-child"/>
    <w:basedOn w:val="32"/>
    <w:qFormat/>
    <w:uiPriority w:val="0"/>
  </w:style>
  <w:style w:type="character" w:customStyle="1" w:styleId="79">
    <w:name w:val="first-child1"/>
    <w:basedOn w:val="32"/>
    <w:qFormat/>
    <w:uiPriority w:val="0"/>
  </w:style>
  <w:style w:type="character" w:customStyle="1" w:styleId="80">
    <w:name w:val="nth-child(n+2)"/>
    <w:basedOn w:val="32"/>
    <w:qFormat/>
    <w:uiPriority w:val="0"/>
  </w:style>
  <w:style w:type="character" w:customStyle="1" w:styleId="81">
    <w:name w:val="layui-layer-tabnow"/>
    <w:basedOn w:val="32"/>
    <w:qFormat/>
    <w:uiPriority w:val="0"/>
    <w:rPr>
      <w:bdr w:val="single" w:color="CCCCCC" w:sz="4" w:space="0"/>
      <w:shd w:val="clear" w:fill="FFFFFF"/>
    </w:rPr>
  </w:style>
  <w:style w:type="character" w:customStyle="1" w:styleId="82">
    <w:name w:val="hover17"/>
    <w:basedOn w:val="32"/>
    <w:qFormat/>
    <w:uiPriority w:val="0"/>
  </w:style>
  <w:style w:type="character" w:customStyle="1" w:styleId="83">
    <w:name w:val="hover"/>
    <w:basedOn w:val="32"/>
    <w:qFormat/>
    <w:uiPriority w:val="0"/>
  </w:style>
  <w:style w:type="character" w:customStyle="1" w:styleId="84">
    <w:name w:val="hover18"/>
    <w:basedOn w:val="32"/>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1.jpeg"/><Relationship Id="rId15" Type="http://schemas.openxmlformats.org/officeDocument/2006/relationships/theme" Target="theme/theme1.xml"/><Relationship Id="rId14" Type="http://schemas.openxmlformats.org/officeDocument/2006/relationships/footer" Target="footer7.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xtc</Company>
  <Pages>78</Pages>
  <Words>3540</Words>
  <Characters>3983</Characters>
  <Lines>234</Lines>
  <Paragraphs>66</Paragraphs>
  <TotalTime>7</TotalTime>
  <ScaleCrop>false</ScaleCrop>
  <LinksUpToDate>false</LinksUpToDate>
  <CharactersWithSpaces>4088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2024-03-11T01:40:00Z</dcterms:created>
  <dc:creator>NTKO</dc:creator>
  <cp:lastModifiedBy>火火的姑娘</cp:lastModifiedBy>
  <cp:lastPrinted>2026-04-09T08:19:00Z</cp:lastPrinted>
  <dcterms:modified xsi:type="dcterms:W3CDTF">2026-04-14T07:06:34Z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71DE78DB7D754ABEB59BBF4FFA6E0D3D_13</vt:lpwstr>
  </property>
  <property fmtid="{D5CDD505-2E9C-101B-9397-08002B2CF9AE}" pid="4" name="KSOTemplateDocerSaveRecord">
    <vt:lpwstr>eyJoZGlkIjoiZTE1ODNkNGExMmFiZjhkNmYxMmJlZDBiNDc0M2Q2MDkiLCJ1c2VySWQiOiIzODUwMjUzNDQifQ==</vt:lpwstr>
  </property>
</Properties>
</file>