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480" w:firstLineChars="200"/>
        <w:jc w:val="center"/>
        <w:rPr>
          <w:rFonts w:hint="eastAsia" w:ascii="宋体" w:hAnsi="宋体" w:cs="宋体"/>
          <w:bCs/>
          <w:snapToGrid w:val="0"/>
          <w:sz w:val="24"/>
          <w:szCs w:val="24"/>
          <w:lang w:eastAsia="zh-CN"/>
        </w:rPr>
      </w:pPr>
      <w:r>
        <w:rPr>
          <w:rFonts w:hint="eastAsia" w:ascii="宋体" w:hAnsi="宋体" w:cs="宋体"/>
          <w:bCs/>
          <w:snapToGrid w:val="0"/>
          <w:sz w:val="24"/>
          <w:szCs w:val="24"/>
          <w:lang w:eastAsia="zh-CN"/>
        </w:rPr>
        <w:t>河南省生态环境监测和安全中心河南省重点污染源</w:t>
      </w:r>
    </w:p>
    <w:p>
      <w:pPr>
        <w:adjustRightInd w:val="0"/>
        <w:snapToGrid w:val="0"/>
        <w:spacing w:line="360" w:lineRule="auto"/>
        <w:ind w:firstLine="480" w:firstLineChars="200"/>
        <w:jc w:val="center"/>
        <w:rPr>
          <w:rFonts w:hint="eastAsia" w:ascii="宋体" w:hAnsi="宋体" w:cs="宋体"/>
          <w:bCs/>
          <w:snapToGrid w:val="0"/>
          <w:sz w:val="24"/>
          <w:szCs w:val="24"/>
          <w:lang w:eastAsia="zh-CN"/>
        </w:rPr>
      </w:pPr>
      <w:r>
        <w:rPr>
          <w:rFonts w:hint="eastAsia" w:ascii="宋体" w:hAnsi="宋体" w:cs="宋体"/>
          <w:bCs/>
          <w:snapToGrid w:val="0"/>
          <w:sz w:val="24"/>
          <w:szCs w:val="24"/>
          <w:lang w:eastAsia="zh-CN"/>
        </w:rPr>
        <w:t>和自然保护区视频监控系统运维服务（2024年）项目</w:t>
      </w:r>
    </w:p>
    <w:p>
      <w:pPr>
        <w:adjustRightInd w:val="0"/>
        <w:snapToGrid w:val="0"/>
        <w:spacing w:line="360" w:lineRule="auto"/>
        <w:ind w:firstLine="482" w:firstLineChars="200"/>
        <w:jc w:val="center"/>
        <w:rPr>
          <w:rFonts w:hint="eastAsia" w:ascii="宋体" w:hAnsi="宋体" w:eastAsia="宋体" w:cs="宋体"/>
          <w:sz w:val="24"/>
          <w:szCs w:val="24"/>
          <w:lang w:eastAsia="zh-CN"/>
        </w:rPr>
      </w:pPr>
      <w:r>
        <w:rPr>
          <w:rFonts w:hint="eastAsia" w:ascii="宋体" w:hAnsi="宋体" w:cs="宋体"/>
          <w:b/>
          <w:bCs w:val="0"/>
          <w:snapToGrid w:val="0"/>
          <w:sz w:val="24"/>
          <w:szCs w:val="24"/>
          <w:lang w:eastAsia="zh-CN"/>
        </w:rPr>
        <w:t>包</w:t>
      </w:r>
      <w:r>
        <w:rPr>
          <w:rFonts w:hint="eastAsia" w:ascii="宋体" w:hAnsi="宋体" w:cs="宋体"/>
          <w:b/>
          <w:bCs w:val="0"/>
          <w:snapToGrid w:val="0"/>
          <w:sz w:val="24"/>
          <w:szCs w:val="24"/>
          <w:lang w:val="en-US" w:eastAsia="zh-CN"/>
        </w:rPr>
        <w:t>3</w:t>
      </w:r>
      <w:r>
        <w:rPr>
          <w:rFonts w:hint="eastAsia" w:ascii="宋体" w:hAnsi="宋体" w:cs="宋体"/>
          <w:bCs/>
          <w:snapToGrid w:val="0"/>
          <w:sz w:val="24"/>
          <w:szCs w:val="24"/>
          <w:lang w:val="en-US" w:eastAsia="zh-CN"/>
        </w:rPr>
        <w:t>二次</w:t>
      </w:r>
      <w:r>
        <w:rPr>
          <w:rFonts w:hint="eastAsia" w:ascii="宋体" w:hAnsi="宋体" w:cs="宋体"/>
          <w:bCs/>
          <w:snapToGrid w:val="0"/>
          <w:sz w:val="24"/>
          <w:szCs w:val="24"/>
          <w:lang w:eastAsia="zh-CN"/>
        </w:rPr>
        <w:t>竞争性磋商公告</w:t>
      </w:r>
    </w:p>
    <w:p>
      <w:pPr>
        <w:pBdr>
          <w:top w:val="single" w:color="auto" w:sz="4" w:space="1"/>
          <w:left w:val="single" w:color="auto" w:sz="4" w:space="4"/>
          <w:bottom w:val="single" w:color="auto" w:sz="4" w:space="0"/>
          <w:right w:val="single" w:color="auto" w:sz="4" w:space="4"/>
        </w:pBdr>
        <w:ind w:firstLine="420" w:firstLineChars="200"/>
        <w:rPr>
          <w:rFonts w:hint="eastAsia" w:ascii="宋体" w:hAnsi="宋体" w:cs="宋体"/>
          <w:szCs w:val="21"/>
          <w:highlight w:val="none"/>
        </w:rPr>
      </w:pPr>
      <w:bookmarkStart w:id="0" w:name="_Toc531597126"/>
      <w:bookmarkStart w:id="1" w:name="_Toc491249405"/>
      <w:bookmarkStart w:id="2" w:name="_Toc493691605"/>
      <w:bookmarkStart w:id="3" w:name="_Toc513385701"/>
      <w:bookmarkStart w:id="4" w:name="_Toc6488899"/>
      <w:bookmarkStart w:id="5" w:name="_Toc467871640"/>
      <w:bookmarkStart w:id="6" w:name="_Toc468886912"/>
      <w:bookmarkStart w:id="7" w:name="_Toc513386620"/>
      <w:bookmarkStart w:id="8" w:name="_Toc467871735"/>
      <w:r>
        <w:rPr>
          <w:rFonts w:hint="eastAsia" w:ascii="宋体" w:hAnsi="宋体" w:cs="宋体"/>
          <w:szCs w:val="21"/>
          <w:highlight w:val="none"/>
        </w:rPr>
        <w:t>项目概况：</w:t>
      </w:r>
    </w:p>
    <w:p>
      <w:pPr>
        <w:pBdr>
          <w:top w:val="single" w:color="auto" w:sz="4" w:space="1"/>
          <w:left w:val="single" w:color="auto" w:sz="4" w:space="4"/>
          <w:bottom w:val="single" w:color="auto" w:sz="4" w:space="0"/>
          <w:right w:val="single" w:color="auto" w:sz="4" w:space="4"/>
        </w:pBdr>
        <w:spacing w:line="360" w:lineRule="auto"/>
        <w:ind w:firstLine="420" w:firstLineChars="200"/>
        <w:rPr>
          <w:rFonts w:hint="eastAsia" w:ascii="宋体" w:hAnsi="宋体" w:cs="宋体"/>
          <w:szCs w:val="21"/>
          <w:highlight w:val="none"/>
        </w:rPr>
      </w:pPr>
      <w:r>
        <w:rPr>
          <w:rFonts w:hint="eastAsia" w:ascii="宋体" w:hAnsi="宋体" w:cs="宋体"/>
          <w:bCs/>
          <w:snapToGrid w:val="0"/>
          <w:szCs w:val="21"/>
          <w:highlight w:val="none"/>
          <w:lang w:eastAsia="zh-CN"/>
        </w:rPr>
        <w:t>河南省生态环境监测和安全中心河南省重点污染源和自然保护区视频监控系统运维服务（2024年）项目</w:t>
      </w:r>
      <w:r>
        <w:rPr>
          <w:rFonts w:hint="eastAsia" w:ascii="宋体" w:hAnsi="宋体" w:cs="宋体"/>
          <w:b/>
          <w:bCs w:val="0"/>
          <w:snapToGrid w:val="0"/>
          <w:szCs w:val="21"/>
          <w:highlight w:val="none"/>
          <w:lang w:eastAsia="zh-CN"/>
        </w:rPr>
        <w:t>包</w:t>
      </w:r>
      <w:r>
        <w:rPr>
          <w:rFonts w:hint="eastAsia" w:ascii="宋体" w:hAnsi="宋体" w:cs="宋体"/>
          <w:b/>
          <w:bCs w:val="0"/>
          <w:snapToGrid w:val="0"/>
          <w:szCs w:val="21"/>
          <w:highlight w:val="none"/>
          <w:lang w:val="en-US" w:eastAsia="zh-CN"/>
        </w:rPr>
        <w:t>3</w:t>
      </w:r>
      <w:r>
        <w:rPr>
          <w:rFonts w:hint="eastAsia" w:ascii="宋体" w:hAnsi="宋体" w:cs="宋体"/>
          <w:bCs/>
          <w:snapToGrid w:val="0"/>
          <w:szCs w:val="21"/>
          <w:highlight w:val="none"/>
        </w:rPr>
        <w:t>的潜在供应商应在“河南省公共资源交易中心（http://www.hnggzy.net）”网上，凭企业CA数字证书进行网上获取获取竞争性磋商采购文件，并于</w:t>
      </w:r>
      <w:r>
        <w:rPr>
          <w:rFonts w:hint="eastAsia" w:ascii="宋体" w:hAnsi="宋体" w:cs="宋体"/>
          <w:b/>
          <w:bCs w:val="0"/>
          <w:snapToGrid w:val="0"/>
          <w:szCs w:val="21"/>
          <w:highlight w:val="yellow"/>
        </w:rPr>
        <w:t>2023年</w:t>
      </w:r>
      <w:r>
        <w:rPr>
          <w:rFonts w:hint="eastAsia" w:ascii="宋体" w:hAnsi="宋体" w:cs="宋体"/>
          <w:b/>
          <w:bCs w:val="0"/>
          <w:snapToGrid w:val="0"/>
          <w:szCs w:val="21"/>
          <w:highlight w:val="yellow"/>
          <w:lang w:val="en-US" w:eastAsia="zh-CN"/>
        </w:rPr>
        <w:t>12</w:t>
      </w:r>
      <w:r>
        <w:rPr>
          <w:rFonts w:hint="eastAsia" w:ascii="宋体" w:hAnsi="宋体" w:cs="宋体"/>
          <w:b/>
          <w:bCs w:val="0"/>
          <w:snapToGrid w:val="0"/>
          <w:szCs w:val="21"/>
          <w:highlight w:val="yellow"/>
        </w:rPr>
        <w:t>月</w:t>
      </w:r>
      <w:r>
        <w:rPr>
          <w:rFonts w:hint="eastAsia" w:ascii="宋体" w:hAnsi="宋体" w:cs="宋体"/>
          <w:b/>
          <w:bCs w:val="0"/>
          <w:snapToGrid w:val="0"/>
          <w:szCs w:val="21"/>
          <w:highlight w:val="yellow"/>
          <w:lang w:val="en-US" w:eastAsia="zh-CN"/>
        </w:rPr>
        <w:t>1</w:t>
      </w:r>
      <w:r>
        <w:rPr>
          <w:rFonts w:hint="eastAsia" w:ascii="宋体" w:hAnsi="宋体" w:cs="宋体"/>
          <w:b/>
          <w:bCs w:val="0"/>
          <w:snapToGrid w:val="0"/>
          <w:szCs w:val="21"/>
          <w:highlight w:val="yellow"/>
        </w:rPr>
        <w:t>日9：00分（北京时间）</w:t>
      </w:r>
      <w:r>
        <w:rPr>
          <w:rFonts w:hint="eastAsia" w:ascii="宋体" w:hAnsi="宋体" w:cs="宋体"/>
          <w:bCs/>
          <w:snapToGrid w:val="0"/>
          <w:szCs w:val="21"/>
          <w:highlight w:val="none"/>
        </w:rPr>
        <w:t>前递交响应文件。</w:t>
      </w:r>
    </w:p>
    <w:bookmarkEnd w:id="0"/>
    <w:bookmarkEnd w:id="1"/>
    <w:bookmarkEnd w:id="2"/>
    <w:bookmarkEnd w:id="3"/>
    <w:bookmarkEnd w:id="4"/>
    <w:bookmarkEnd w:id="5"/>
    <w:bookmarkEnd w:id="6"/>
    <w:bookmarkEnd w:id="7"/>
    <w:bookmarkEnd w:id="8"/>
    <w:p>
      <w:pPr>
        <w:pStyle w:val="3"/>
        <w:rPr>
          <w:rFonts w:hint="eastAsia" w:ascii="宋体" w:hAnsi="宋体" w:cs="宋体"/>
          <w:sz w:val="21"/>
          <w:szCs w:val="21"/>
          <w:highlight w:val="none"/>
        </w:rPr>
      </w:pPr>
      <w:bookmarkStart w:id="9" w:name="_Toc12254"/>
      <w:bookmarkStart w:id="10" w:name="_Toc13522"/>
      <w:r>
        <w:rPr>
          <w:rFonts w:hint="eastAsia" w:ascii="宋体" w:hAnsi="宋体" w:cs="宋体"/>
          <w:sz w:val="21"/>
          <w:szCs w:val="21"/>
          <w:highlight w:val="none"/>
        </w:rPr>
        <w:t>一、项目基本情况</w:t>
      </w:r>
      <w:bookmarkEnd w:id="9"/>
      <w:bookmarkEnd w:id="10"/>
    </w:p>
    <w:p>
      <w:pPr>
        <w:adjustRightInd w:val="0"/>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r>
        <w:rPr>
          <w:rFonts w:hint="eastAsia" w:ascii="宋体" w:hAnsi="宋体" w:cs="宋体"/>
          <w:szCs w:val="21"/>
          <w:highlight w:val="none"/>
        </w:rPr>
        <w:t>项目编号：</w:t>
      </w:r>
      <w:r>
        <w:rPr>
          <w:rFonts w:hint="eastAsia" w:ascii="宋体" w:hAnsi="宋体" w:cs="宋体"/>
          <w:szCs w:val="21"/>
          <w:highlight w:val="none"/>
          <w:lang w:eastAsia="zh-CN"/>
        </w:rPr>
        <w:t>豫财磋商采购-2023-1168</w:t>
      </w:r>
    </w:p>
    <w:p>
      <w:pPr>
        <w:adjustRightInd w:val="0"/>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r>
        <w:rPr>
          <w:rFonts w:hint="eastAsia" w:ascii="宋体" w:hAnsi="宋体" w:cs="宋体"/>
          <w:szCs w:val="21"/>
          <w:highlight w:val="none"/>
        </w:rPr>
        <w:t>项目名称：</w:t>
      </w:r>
      <w:r>
        <w:rPr>
          <w:rFonts w:hint="eastAsia" w:ascii="宋体" w:hAnsi="宋体" w:cs="宋体"/>
          <w:bCs/>
          <w:snapToGrid w:val="0"/>
          <w:szCs w:val="21"/>
          <w:highlight w:val="none"/>
          <w:lang w:eastAsia="zh-CN"/>
        </w:rPr>
        <w:t>河南省生态环境监测和安全中心河南省重点污染源和自然保护区视频监控系统运维服务（2024年）项目</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采购方式：竞争性磋商</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预算金额：人民币壹佰捌拾贰万元整(￥1,820,000.00元)</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最高限价：人民币壹佰捌拾贰万元整(￥1,820,000.00元)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622"/>
        <w:gridCol w:w="1691"/>
        <w:gridCol w:w="1559"/>
        <w:gridCol w:w="1251"/>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1622"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包号</w:t>
            </w:r>
          </w:p>
        </w:tc>
        <w:tc>
          <w:tcPr>
            <w:tcW w:w="1691"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包名称</w:t>
            </w:r>
          </w:p>
        </w:tc>
        <w:tc>
          <w:tcPr>
            <w:tcW w:w="1559"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包预算（元）</w:t>
            </w:r>
          </w:p>
        </w:tc>
        <w:tc>
          <w:tcPr>
            <w:tcW w:w="1251"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是否专门面向中小企业</w:t>
            </w:r>
          </w:p>
        </w:tc>
        <w:tc>
          <w:tcPr>
            <w:tcW w:w="1565"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pPr>
              <w:spacing w:line="44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p>
        </w:tc>
        <w:tc>
          <w:tcPr>
            <w:tcW w:w="1622" w:type="dxa"/>
            <w:noWrap w:val="0"/>
            <w:vAlign w:val="center"/>
          </w:tcPr>
          <w:p>
            <w:pPr>
              <w:spacing w:line="440" w:lineRule="exact"/>
              <w:jc w:val="center"/>
              <w:rPr>
                <w:rFonts w:hint="eastAsia" w:ascii="宋体" w:hAnsi="宋体" w:cs="宋体"/>
                <w:szCs w:val="21"/>
                <w:highlight w:val="none"/>
              </w:rPr>
            </w:pPr>
            <w:r>
              <w:rPr>
                <w:rFonts w:hint="default" w:ascii="Arial" w:hAnsi="Arial" w:eastAsia="宋体" w:cs="Arial"/>
                <w:color w:val="5C5C5C"/>
                <w:sz w:val="21"/>
                <w:szCs w:val="21"/>
                <w:highlight w:val="none"/>
              </w:rPr>
              <w:t>豫政采(2)20231838-3</w:t>
            </w:r>
          </w:p>
        </w:tc>
        <w:tc>
          <w:tcPr>
            <w:tcW w:w="1691" w:type="dxa"/>
            <w:noWrap w:val="0"/>
            <w:vAlign w:val="center"/>
          </w:tcPr>
          <w:p>
            <w:pPr>
              <w:adjustRightInd w:val="0"/>
              <w:snapToGrid w:val="0"/>
              <w:spacing w:line="560" w:lineRule="exact"/>
              <w:jc w:val="center"/>
              <w:rPr>
                <w:rFonts w:hint="eastAsia" w:ascii="宋体" w:hAnsi="宋体" w:cs="宋体"/>
                <w:bCs/>
                <w:snapToGrid w:val="0"/>
                <w:szCs w:val="21"/>
                <w:highlight w:val="none"/>
              </w:rPr>
            </w:pPr>
            <w:r>
              <w:rPr>
                <w:rFonts w:hint="eastAsia" w:ascii="宋体" w:hAnsi="宋体" w:cs="宋体"/>
                <w:szCs w:val="21"/>
                <w:highlight w:val="none"/>
              </w:rPr>
              <w:t>河南省自然保护区环境监控系统运行维护</w:t>
            </w:r>
          </w:p>
        </w:tc>
        <w:tc>
          <w:tcPr>
            <w:tcW w:w="1559" w:type="dxa"/>
            <w:noWrap w:val="0"/>
            <w:vAlign w:val="center"/>
          </w:tcPr>
          <w:p>
            <w:pPr>
              <w:spacing w:line="440" w:lineRule="exact"/>
              <w:jc w:val="center"/>
              <w:rPr>
                <w:rFonts w:hint="eastAsia" w:ascii="宋体" w:hAnsi="宋体" w:cs="宋体"/>
                <w:szCs w:val="21"/>
                <w:highlight w:val="none"/>
              </w:rPr>
            </w:pPr>
            <w:r>
              <w:rPr>
                <w:rFonts w:ascii="宋体" w:hAnsi="宋体" w:cs="宋体"/>
                <w:szCs w:val="21"/>
                <w:highlight w:val="none"/>
              </w:rPr>
              <w:t>735000</w:t>
            </w:r>
          </w:p>
        </w:tc>
        <w:tc>
          <w:tcPr>
            <w:tcW w:w="1251"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否</w:t>
            </w:r>
          </w:p>
        </w:tc>
        <w:tc>
          <w:tcPr>
            <w:tcW w:w="1565" w:type="dxa"/>
            <w:noWrap w:val="0"/>
            <w:vAlign w:val="center"/>
          </w:tcPr>
          <w:p>
            <w:pPr>
              <w:spacing w:line="440" w:lineRule="exact"/>
              <w:jc w:val="center"/>
              <w:rPr>
                <w:rFonts w:hint="eastAsia" w:ascii="宋体" w:hAnsi="宋体" w:cs="宋体"/>
                <w:szCs w:val="21"/>
                <w:highlight w:val="none"/>
              </w:rPr>
            </w:pPr>
            <w:r>
              <w:rPr>
                <w:rFonts w:ascii="宋体" w:hAnsi="宋体" w:cs="宋体"/>
                <w:szCs w:val="21"/>
                <w:highlight w:val="none"/>
              </w:rPr>
              <w:t>735000</w:t>
            </w:r>
          </w:p>
        </w:tc>
      </w:tr>
    </w:tbl>
    <w:p>
      <w:pPr>
        <w:adjustRightInd w:val="0"/>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5、采购需求</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5.1</w:t>
      </w:r>
      <w:r>
        <w:rPr>
          <w:rFonts w:hint="eastAsia" w:ascii="宋体" w:hAnsi="宋体" w:cs="宋体"/>
          <w:szCs w:val="21"/>
          <w:highlight w:val="none"/>
        </w:rPr>
        <w:t>采购内容：</w:t>
      </w:r>
      <w:r>
        <w:rPr>
          <w:rFonts w:hint="eastAsia" w:ascii="宋体" w:hAnsi="宋体" w:cs="宋体"/>
          <w:bCs/>
          <w:snapToGrid w:val="0"/>
          <w:szCs w:val="21"/>
          <w:highlight w:val="none"/>
        </w:rPr>
        <w:t>河南省生态环境监测和安全中心河南省重点污染源和自然保护区视频监控系统运维服务。</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5.2</w:t>
      </w:r>
      <w:r>
        <w:rPr>
          <w:rFonts w:hint="eastAsia" w:ascii="宋体" w:hAnsi="宋体" w:cs="宋体"/>
          <w:szCs w:val="21"/>
          <w:highlight w:val="none"/>
        </w:rPr>
        <w:t>服务期：运维期限为合同签订后1年。</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5.3</w:t>
      </w:r>
      <w:r>
        <w:rPr>
          <w:rFonts w:hint="eastAsia" w:ascii="宋体" w:hAnsi="宋体" w:cs="宋体"/>
          <w:szCs w:val="21"/>
          <w:highlight w:val="none"/>
        </w:rPr>
        <w:t>服务地点：采购人指定地点。</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合同履行期限：同服务期。</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本项目是否接受联合体投标：否</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是否接受进口产品：否</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是否专门面向中小企业：否</w:t>
      </w:r>
    </w:p>
    <w:p>
      <w:pPr>
        <w:pStyle w:val="3"/>
        <w:rPr>
          <w:rFonts w:hint="eastAsia" w:ascii="宋体" w:hAnsi="宋体" w:cs="宋体"/>
          <w:sz w:val="21"/>
          <w:szCs w:val="21"/>
          <w:highlight w:val="none"/>
        </w:rPr>
      </w:pPr>
      <w:bookmarkStart w:id="11" w:name="_Toc16599"/>
      <w:bookmarkStart w:id="12" w:name="_Toc22794"/>
      <w:r>
        <w:rPr>
          <w:rFonts w:hint="eastAsia" w:ascii="宋体" w:hAnsi="宋体" w:cs="宋体"/>
          <w:sz w:val="21"/>
          <w:szCs w:val="21"/>
          <w:highlight w:val="none"/>
        </w:rPr>
        <w:t>二、申请人的资格要求</w:t>
      </w:r>
      <w:bookmarkEnd w:id="11"/>
      <w:bookmarkEnd w:id="12"/>
    </w:p>
    <w:p>
      <w:pPr>
        <w:adjustRightInd w:val="0"/>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满足《中华人民共和国政府采购法》第二十二条规定</w:t>
      </w:r>
      <w:r>
        <w:rPr>
          <w:rFonts w:hint="eastAsia" w:ascii="宋体" w:hAnsi="宋体" w:cs="宋体"/>
          <w:szCs w:val="21"/>
          <w:highlight w:val="none"/>
          <w:lang w:eastAsia="zh-CN"/>
        </w:rPr>
        <w:t>。</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rPr>
        <w:t>落实政府采购政策需满足的资格要求：无。</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本项目的特定资格要求：</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3.1</w:t>
      </w:r>
      <w:r>
        <w:rPr>
          <w:rFonts w:hint="eastAsia" w:ascii="宋体" w:hAnsi="宋体" w:cs="宋体"/>
          <w:szCs w:val="21"/>
          <w:highlight w:val="none"/>
        </w:rPr>
        <w:t>根据《关于在招标采购活动中查询及使用信用记录有关问题的通知》(财库[2016]125号)的规定，对列入失信被执行人、重大税收违法失信主体、政府采购严重违法失信行为记录名单及其他不符合《中华人民共和国政府采购法》第二十二条规定条件的供应商，拒绝参与本项目采购活动。【查询渠道：“信用中国”网站（www.creditchina.gov.cn）、中国政府采购网（www.ccgp.gov.cn）】。</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3.2</w:t>
      </w:r>
      <w:r>
        <w:rPr>
          <w:rFonts w:hint="eastAsia" w:ascii="宋体" w:hAnsi="宋体" w:cs="宋体"/>
          <w:szCs w:val="21"/>
          <w:highlight w:val="none"/>
        </w:rPr>
        <w:t>单位负责人为同一人或者存在直接控股、管理关系的不同供应商，不得参加同一合同项下的政府采购活动。</w:t>
      </w:r>
    </w:p>
    <w:p>
      <w:pPr>
        <w:pStyle w:val="3"/>
        <w:rPr>
          <w:rFonts w:hint="eastAsia" w:ascii="宋体" w:hAnsi="宋体" w:cs="宋体"/>
          <w:sz w:val="21"/>
          <w:szCs w:val="21"/>
          <w:highlight w:val="none"/>
        </w:rPr>
      </w:pPr>
      <w:bookmarkStart w:id="13" w:name="_Toc1615"/>
      <w:bookmarkStart w:id="14" w:name="_Toc30223"/>
      <w:r>
        <w:rPr>
          <w:rFonts w:hint="eastAsia" w:ascii="宋体" w:hAnsi="宋体" w:cs="宋体"/>
          <w:sz w:val="21"/>
          <w:szCs w:val="21"/>
          <w:highlight w:val="none"/>
        </w:rPr>
        <w:t>三、获取采购文件</w:t>
      </w:r>
      <w:bookmarkEnd w:id="13"/>
      <w:bookmarkEnd w:id="14"/>
    </w:p>
    <w:p>
      <w:pPr>
        <w:adjustRightInd w:val="0"/>
        <w:snapToGrid w:val="0"/>
        <w:spacing w:line="360" w:lineRule="auto"/>
        <w:ind w:firstLine="420" w:firstLineChars="200"/>
        <w:rPr>
          <w:rFonts w:ascii="SourceHanSansCN-Regular" w:hAnsi="SourceHanSansCN-Regular" w:eastAsia="SourceHanSansCN-Regular" w:cs="SourceHanSansCN-Regular"/>
          <w:i w:val="0"/>
          <w:iCs w:val="0"/>
          <w:caps w:val="0"/>
          <w:color w:val="333333"/>
          <w:spacing w:val="0"/>
          <w:sz w:val="21"/>
          <w:szCs w:val="21"/>
          <w:shd w:val="clear" w:fill="FFFFFF"/>
        </w:rPr>
      </w:pPr>
      <w:r>
        <w:rPr>
          <w:rFonts w:hint="eastAsia" w:ascii="宋体" w:hAnsi="宋体" w:cs="宋体"/>
          <w:szCs w:val="21"/>
          <w:highlight w:val="none"/>
          <w:lang w:val="en-US" w:eastAsia="zh-CN"/>
        </w:rPr>
        <w:t>1、</w:t>
      </w:r>
      <w:r>
        <w:rPr>
          <w:rFonts w:hint="eastAsia" w:ascii="宋体" w:hAnsi="宋体" w:cs="宋体"/>
          <w:szCs w:val="21"/>
          <w:highlight w:val="none"/>
        </w:rPr>
        <w:t>时 间：</w:t>
      </w:r>
      <w:r>
        <w:rPr>
          <w:rFonts w:hint="eastAsia" w:ascii="宋体" w:hAnsi="宋体" w:cs="宋体"/>
          <w:b/>
          <w:bCs/>
          <w:szCs w:val="21"/>
          <w:highlight w:val="yellow"/>
          <w:u w:val="none"/>
        </w:rPr>
        <w:t>2023年</w:t>
      </w:r>
      <w:r>
        <w:rPr>
          <w:rFonts w:hint="eastAsia" w:ascii="宋体" w:hAnsi="宋体" w:cs="宋体"/>
          <w:b/>
          <w:bCs/>
          <w:szCs w:val="21"/>
          <w:highlight w:val="yellow"/>
          <w:u w:val="none"/>
          <w:lang w:val="en-US" w:eastAsia="zh-CN"/>
        </w:rPr>
        <w:t>11</w:t>
      </w:r>
      <w:r>
        <w:rPr>
          <w:rFonts w:hint="eastAsia" w:ascii="宋体" w:hAnsi="宋体" w:cs="宋体"/>
          <w:b/>
          <w:bCs/>
          <w:szCs w:val="21"/>
          <w:highlight w:val="yellow"/>
          <w:u w:val="none"/>
        </w:rPr>
        <w:t>月</w:t>
      </w:r>
      <w:r>
        <w:rPr>
          <w:rFonts w:hint="eastAsia" w:ascii="宋体" w:hAnsi="宋体" w:cs="宋体"/>
          <w:b/>
          <w:bCs/>
          <w:szCs w:val="21"/>
          <w:highlight w:val="yellow"/>
          <w:u w:val="none"/>
          <w:lang w:val="en-US" w:eastAsia="zh-CN"/>
        </w:rPr>
        <w:t>21</w:t>
      </w:r>
      <w:r>
        <w:rPr>
          <w:rFonts w:hint="eastAsia" w:ascii="宋体" w:hAnsi="宋体" w:cs="宋体"/>
          <w:b/>
          <w:bCs/>
          <w:szCs w:val="21"/>
          <w:highlight w:val="yellow"/>
          <w:u w:val="none"/>
        </w:rPr>
        <w:t>日至2023年</w:t>
      </w:r>
      <w:r>
        <w:rPr>
          <w:rFonts w:hint="eastAsia" w:ascii="宋体" w:hAnsi="宋体" w:cs="宋体"/>
          <w:b/>
          <w:bCs/>
          <w:szCs w:val="21"/>
          <w:highlight w:val="yellow"/>
          <w:u w:val="none"/>
          <w:lang w:val="en-US" w:eastAsia="zh-CN"/>
        </w:rPr>
        <w:t>11</w:t>
      </w:r>
      <w:r>
        <w:rPr>
          <w:rFonts w:hint="eastAsia" w:ascii="宋体" w:hAnsi="宋体" w:cs="宋体"/>
          <w:b/>
          <w:bCs/>
          <w:szCs w:val="21"/>
          <w:highlight w:val="yellow"/>
          <w:u w:val="none"/>
        </w:rPr>
        <w:t>月</w:t>
      </w:r>
      <w:r>
        <w:rPr>
          <w:rFonts w:hint="eastAsia" w:ascii="宋体" w:hAnsi="宋体" w:cs="宋体"/>
          <w:b/>
          <w:bCs/>
          <w:szCs w:val="21"/>
          <w:highlight w:val="yellow"/>
          <w:u w:val="none"/>
          <w:lang w:val="en-US" w:eastAsia="zh-CN"/>
        </w:rPr>
        <w:t>27</w:t>
      </w:r>
      <w:r>
        <w:rPr>
          <w:rFonts w:hint="eastAsia" w:ascii="宋体" w:hAnsi="宋体" w:cs="宋体"/>
          <w:b/>
          <w:bCs/>
          <w:szCs w:val="21"/>
          <w:highlight w:val="yellow"/>
          <w:u w:val="none"/>
        </w:rPr>
        <w:t>日</w:t>
      </w:r>
      <w:r>
        <w:rPr>
          <w:rFonts w:hint="eastAsia" w:ascii="宋体" w:hAnsi="宋体" w:cs="宋体"/>
          <w:b/>
          <w:bCs/>
          <w:szCs w:val="21"/>
          <w:highlight w:val="none"/>
          <w:u w:val="none"/>
          <w:lang w:eastAsia="zh-CN"/>
        </w:rPr>
        <w:t>，</w:t>
      </w:r>
      <w:r>
        <w:rPr>
          <w:rFonts w:hint="eastAsia" w:ascii="宋体" w:hAnsi="宋体" w:cs="宋体"/>
          <w:szCs w:val="21"/>
          <w:highlight w:val="none"/>
        </w:rPr>
        <w:t>每天上午00:00至12:00，下午12:00至23:59（北京时间，法定节假日除外。）</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地 点：登录“河南省公共资源交易中心（http://www.hnggzy.net）”网上，凭企业CA数字证书进行网上获取。</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方 式：</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（1）供应商需要完成信息登记及CA数字证书办理，才能通过省公共资源交易平台参与交易活动。</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（2）凡有意参加投标者，登录“河南省公共资源交易中心（http://www.hnggzy.net）”网上，凭企业CA数字证书下载采购文件。采购文件以《河南省公共资源交易中心网》下载的电子采购文件为准，采购人不</w:t>
      </w:r>
      <w:bookmarkStart w:id="25" w:name="_GoBack"/>
      <w:bookmarkEnd w:id="25"/>
      <w:r>
        <w:rPr>
          <w:rFonts w:hint="eastAsia" w:ascii="宋体" w:hAnsi="宋体" w:cs="宋体"/>
          <w:szCs w:val="21"/>
          <w:highlight w:val="none"/>
        </w:rPr>
        <w:t>再提供纸质采购文件。供应商未按规定在网上下载采购文件的，其投标将被拒绝。</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售 价：</w:t>
      </w:r>
      <w:r>
        <w:rPr>
          <w:rFonts w:hint="eastAsia" w:ascii="宋体" w:hAnsi="宋体" w:cs="宋体"/>
          <w:szCs w:val="21"/>
          <w:highlight w:val="none"/>
          <w:lang w:val="en-US" w:eastAsia="zh-CN"/>
        </w:rPr>
        <w:t>0元</w:t>
      </w:r>
      <w:r>
        <w:rPr>
          <w:rFonts w:hint="eastAsia" w:ascii="宋体" w:hAnsi="宋体" w:cs="宋体"/>
          <w:szCs w:val="21"/>
          <w:highlight w:val="none"/>
        </w:rPr>
        <w:t>。</w:t>
      </w:r>
    </w:p>
    <w:p>
      <w:pPr>
        <w:pStyle w:val="3"/>
        <w:rPr>
          <w:rFonts w:hint="eastAsia" w:ascii="宋体" w:hAnsi="宋体" w:cs="宋体"/>
          <w:sz w:val="21"/>
          <w:szCs w:val="21"/>
          <w:highlight w:val="none"/>
        </w:rPr>
      </w:pPr>
      <w:bookmarkStart w:id="15" w:name="_Toc32020"/>
      <w:bookmarkStart w:id="16" w:name="_Toc5887"/>
      <w:r>
        <w:rPr>
          <w:rFonts w:hint="eastAsia" w:ascii="宋体" w:hAnsi="宋体" w:cs="宋体"/>
          <w:sz w:val="21"/>
          <w:szCs w:val="21"/>
          <w:highlight w:val="none"/>
        </w:rPr>
        <w:t>四、响应文件的提交</w:t>
      </w:r>
      <w:bookmarkEnd w:id="15"/>
      <w:bookmarkEnd w:id="16"/>
    </w:p>
    <w:p>
      <w:pPr>
        <w:spacing w:line="360" w:lineRule="auto"/>
        <w:ind w:firstLine="420" w:firstLineChars="200"/>
        <w:rPr>
          <w:rFonts w:hint="eastAsia" w:ascii="宋体" w:hAnsi="宋体" w:cs="宋体"/>
          <w:bCs/>
          <w:szCs w:val="21"/>
          <w:highlight w:val="yellow"/>
          <w:u w:val="none"/>
        </w:rPr>
      </w:pPr>
      <w:r>
        <w:rPr>
          <w:rFonts w:hint="eastAsia" w:ascii="宋体" w:hAnsi="宋体" w:cs="宋体"/>
          <w:szCs w:val="21"/>
          <w:highlight w:val="none"/>
          <w:u w:val="none"/>
          <w:lang w:val="en-US" w:eastAsia="zh-CN"/>
        </w:rPr>
        <w:t>1、</w:t>
      </w:r>
      <w:r>
        <w:rPr>
          <w:rFonts w:hint="eastAsia" w:ascii="宋体" w:hAnsi="宋体" w:cs="宋体"/>
          <w:szCs w:val="21"/>
          <w:highlight w:val="none"/>
          <w:u w:val="none"/>
        </w:rPr>
        <w:t>时 间</w:t>
      </w:r>
      <w:r>
        <w:rPr>
          <w:rFonts w:hint="eastAsia" w:ascii="宋体" w:hAnsi="宋体" w:cs="宋体"/>
          <w:bCs/>
          <w:szCs w:val="21"/>
          <w:highlight w:val="none"/>
          <w:u w:val="none"/>
        </w:rPr>
        <w:t>：</w:t>
      </w:r>
      <w:r>
        <w:rPr>
          <w:rFonts w:hint="eastAsia" w:ascii="宋体" w:hAnsi="宋体" w:cs="宋体"/>
          <w:b/>
          <w:bCs w:val="0"/>
          <w:szCs w:val="21"/>
          <w:highlight w:val="yellow"/>
          <w:u w:val="none"/>
        </w:rPr>
        <w:t>2023年</w:t>
      </w:r>
      <w:r>
        <w:rPr>
          <w:rFonts w:hint="eastAsia" w:ascii="宋体" w:hAnsi="宋体" w:cs="宋体"/>
          <w:b/>
          <w:bCs w:val="0"/>
          <w:szCs w:val="21"/>
          <w:highlight w:val="yellow"/>
          <w:u w:val="none"/>
          <w:lang w:val="en-US" w:eastAsia="zh-CN"/>
        </w:rPr>
        <w:t>12</w:t>
      </w:r>
      <w:r>
        <w:rPr>
          <w:rFonts w:hint="eastAsia" w:ascii="宋体" w:hAnsi="宋体" w:cs="宋体"/>
          <w:b/>
          <w:bCs w:val="0"/>
          <w:szCs w:val="21"/>
          <w:highlight w:val="yellow"/>
          <w:u w:val="none"/>
        </w:rPr>
        <w:t>月</w:t>
      </w:r>
      <w:r>
        <w:rPr>
          <w:rFonts w:hint="eastAsia" w:ascii="宋体" w:hAnsi="宋体" w:cs="宋体"/>
          <w:b/>
          <w:bCs w:val="0"/>
          <w:szCs w:val="21"/>
          <w:highlight w:val="yellow"/>
          <w:u w:val="none"/>
          <w:lang w:val="en-US" w:eastAsia="zh-CN"/>
        </w:rPr>
        <w:t>1</w:t>
      </w:r>
      <w:r>
        <w:rPr>
          <w:rFonts w:hint="eastAsia" w:ascii="宋体" w:hAnsi="宋体" w:cs="宋体"/>
          <w:b/>
          <w:bCs w:val="0"/>
          <w:szCs w:val="21"/>
          <w:highlight w:val="yellow"/>
          <w:u w:val="none"/>
        </w:rPr>
        <w:t>日9：00分（北京时间）</w:t>
      </w:r>
    </w:p>
    <w:p>
      <w:pPr>
        <w:spacing w:line="360" w:lineRule="auto"/>
        <w:ind w:firstLine="420" w:firstLineChars="200"/>
        <w:rPr>
          <w:rFonts w:hint="eastAsia" w:ascii="宋体" w:hAnsi="宋体" w:cs="宋体"/>
          <w:szCs w:val="21"/>
          <w:highlight w:val="none"/>
          <w:u w:val="none"/>
        </w:rPr>
      </w:pPr>
      <w:r>
        <w:rPr>
          <w:rFonts w:hint="eastAsia" w:ascii="宋体" w:hAnsi="宋体" w:cs="宋体"/>
          <w:szCs w:val="21"/>
          <w:highlight w:val="none"/>
          <w:u w:val="none"/>
          <w:lang w:val="en-US" w:eastAsia="zh-CN"/>
        </w:rPr>
        <w:t>2、</w:t>
      </w:r>
      <w:r>
        <w:rPr>
          <w:rFonts w:hint="eastAsia" w:ascii="宋体" w:hAnsi="宋体" w:cs="宋体"/>
          <w:szCs w:val="21"/>
          <w:highlight w:val="none"/>
          <w:u w:val="none"/>
        </w:rPr>
        <w:t>地 点：加密电子</w:t>
      </w:r>
      <w:r>
        <w:rPr>
          <w:rFonts w:hint="eastAsia" w:ascii="宋体" w:hAnsi="宋体" w:cs="宋体"/>
          <w:szCs w:val="21"/>
          <w:highlight w:val="none"/>
          <w:u w:val="none"/>
          <w:lang w:eastAsia="zh-CN"/>
        </w:rPr>
        <w:t>响应</w:t>
      </w:r>
      <w:r>
        <w:rPr>
          <w:rFonts w:hint="eastAsia" w:ascii="宋体" w:hAnsi="宋体" w:cs="宋体"/>
          <w:szCs w:val="21"/>
          <w:highlight w:val="none"/>
          <w:u w:val="none"/>
        </w:rPr>
        <w:t>文件须在投标截止时间前通过“河南省公共资源交易中心（http://www.hnggzy.net/）”电子交易平台中递交/上传，加密电子</w:t>
      </w:r>
      <w:r>
        <w:rPr>
          <w:rFonts w:hint="eastAsia" w:ascii="宋体" w:hAnsi="宋体" w:cs="宋体"/>
          <w:szCs w:val="21"/>
          <w:highlight w:val="none"/>
          <w:u w:val="none"/>
          <w:lang w:eastAsia="zh-CN"/>
        </w:rPr>
        <w:t>响应</w:t>
      </w:r>
      <w:r>
        <w:rPr>
          <w:rFonts w:hint="eastAsia" w:ascii="宋体" w:hAnsi="宋体" w:cs="宋体"/>
          <w:szCs w:val="21"/>
          <w:highlight w:val="none"/>
          <w:u w:val="none"/>
        </w:rPr>
        <w:t>文件逾期或未按规定递交/上传的，采购人不予受理。</w:t>
      </w:r>
    </w:p>
    <w:p>
      <w:pPr>
        <w:pStyle w:val="3"/>
        <w:rPr>
          <w:rFonts w:hint="eastAsia" w:ascii="宋体" w:hAnsi="宋体" w:cs="宋体"/>
          <w:sz w:val="21"/>
          <w:szCs w:val="21"/>
          <w:highlight w:val="none"/>
          <w:u w:val="none"/>
        </w:rPr>
      </w:pPr>
      <w:bookmarkStart w:id="17" w:name="_Toc19737"/>
      <w:bookmarkStart w:id="18" w:name="_Toc29240"/>
      <w:r>
        <w:rPr>
          <w:rFonts w:hint="eastAsia" w:ascii="宋体" w:hAnsi="宋体" w:cs="宋体"/>
          <w:sz w:val="21"/>
          <w:szCs w:val="21"/>
          <w:highlight w:val="none"/>
          <w:u w:val="none"/>
        </w:rPr>
        <w:t>五、响应文件的开启</w:t>
      </w:r>
      <w:bookmarkEnd w:id="17"/>
      <w:bookmarkEnd w:id="18"/>
    </w:p>
    <w:p>
      <w:pPr>
        <w:adjustRightInd w:val="0"/>
        <w:snapToGrid w:val="0"/>
        <w:spacing w:line="360" w:lineRule="auto"/>
        <w:ind w:firstLine="420" w:firstLineChars="200"/>
        <w:rPr>
          <w:rFonts w:hint="eastAsia" w:ascii="宋体" w:hAnsi="宋体" w:cs="宋体"/>
          <w:b/>
          <w:bCs/>
          <w:szCs w:val="21"/>
          <w:highlight w:val="yellow"/>
          <w:u w:val="none"/>
        </w:rPr>
      </w:pPr>
      <w:r>
        <w:rPr>
          <w:rFonts w:hint="eastAsia" w:ascii="宋体" w:hAnsi="宋体" w:cs="宋体"/>
          <w:szCs w:val="21"/>
          <w:highlight w:val="none"/>
          <w:u w:val="none"/>
          <w:lang w:val="en-US" w:eastAsia="zh-CN"/>
        </w:rPr>
        <w:t>1、</w:t>
      </w:r>
      <w:r>
        <w:rPr>
          <w:rFonts w:hint="eastAsia" w:ascii="宋体" w:hAnsi="宋体" w:cs="宋体"/>
          <w:szCs w:val="21"/>
          <w:highlight w:val="none"/>
          <w:u w:val="none"/>
        </w:rPr>
        <w:t>时间：</w:t>
      </w:r>
      <w:r>
        <w:rPr>
          <w:rFonts w:hint="eastAsia" w:ascii="宋体" w:hAnsi="宋体" w:cs="宋体"/>
          <w:b/>
          <w:bCs/>
          <w:szCs w:val="21"/>
          <w:highlight w:val="yellow"/>
          <w:u w:val="none"/>
        </w:rPr>
        <w:t>2023年</w:t>
      </w:r>
      <w:r>
        <w:rPr>
          <w:rFonts w:hint="eastAsia" w:ascii="宋体" w:hAnsi="宋体" w:cs="宋体"/>
          <w:b/>
          <w:bCs/>
          <w:szCs w:val="21"/>
          <w:highlight w:val="yellow"/>
          <w:u w:val="none"/>
          <w:lang w:val="en-US" w:eastAsia="zh-CN"/>
        </w:rPr>
        <w:t>12</w:t>
      </w:r>
      <w:r>
        <w:rPr>
          <w:rFonts w:hint="eastAsia" w:ascii="宋体" w:hAnsi="宋体" w:cs="宋体"/>
          <w:b/>
          <w:bCs/>
          <w:szCs w:val="21"/>
          <w:highlight w:val="yellow"/>
          <w:u w:val="none"/>
        </w:rPr>
        <w:t>月</w:t>
      </w:r>
      <w:r>
        <w:rPr>
          <w:rFonts w:hint="eastAsia" w:ascii="宋体" w:hAnsi="宋体" w:cs="宋体"/>
          <w:b/>
          <w:bCs/>
          <w:szCs w:val="21"/>
          <w:highlight w:val="yellow"/>
          <w:u w:val="none"/>
          <w:lang w:val="en-US" w:eastAsia="zh-CN"/>
        </w:rPr>
        <w:t>1</w:t>
      </w:r>
      <w:r>
        <w:rPr>
          <w:rFonts w:hint="eastAsia" w:ascii="宋体" w:hAnsi="宋体" w:cs="宋体"/>
          <w:b/>
          <w:bCs/>
          <w:szCs w:val="21"/>
          <w:highlight w:val="yellow"/>
          <w:u w:val="none"/>
        </w:rPr>
        <w:t>日9点00分（北京时间）</w:t>
      </w:r>
    </w:p>
    <w:p>
      <w:pPr>
        <w:adjustRightInd w:val="0"/>
        <w:snapToGrid w:val="0"/>
        <w:spacing w:line="360" w:lineRule="auto"/>
        <w:ind w:firstLine="420" w:firstLineChars="200"/>
        <w:rPr>
          <w:rFonts w:hint="eastAsia" w:ascii="宋体" w:hAnsi="宋体" w:cs="宋体"/>
          <w:szCs w:val="21"/>
          <w:highlight w:val="none"/>
          <w:u w:val="none"/>
        </w:rPr>
      </w:pPr>
      <w:r>
        <w:rPr>
          <w:rFonts w:hint="eastAsia" w:ascii="宋体" w:hAnsi="宋体" w:cs="宋体"/>
          <w:szCs w:val="21"/>
          <w:highlight w:val="none"/>
          <w:u w:val="none"/>
          <w:lang w:val="en-US" w:eastAsia="zh-CN"/>
        </w:rPr>
        <w:t>2、</w:t>
      </w:r>
      <w:r>
        <w:rPr>
          <w:rFonts w:hint="eastAsia" w:ascii="宋体" w:hAnsi="宋体" w:cs="宋体"/>
          <w:szCs w:val="21"/>
          <w:highlight w:val="none"/>
          <w:u w:val="none"/>
        </w:rPr>
        <w:t>地点：河南省公共资源交易中心（郑州市经二路12号（经二路与纬四路向南50米路西））</w:t>
      </w:r>
      <w:r>
        <w:rPr>
          <w:rFonts w:hint="eastAsia" w:ascii="宋体" w:hAnsi="宋体" w:cs="宋体"/>
          <w:b/>
          <w:bCs/>
          <w:szCs w:val="21"/>
          <w:highlight w:val="none"/>
          <w:u w:val="none"/>
        </w:rPr>
        <w:t>开标室</w:t>
      </w:r>
      <w:r>
        <w:rPr>
          <w:rFonts w:hint="eastAsia" w:ascii="宋体" w:hAnsi="宋体" w:cs="宋体"/>
          <w:b/>
          <w:bCs/>
          <w:szCs w:val="21"/>
          <w:highlight w:val="none"/>
          <w:u w:val="none"/>
          <w:lang w:eastAsia="zh-CN"/>
        </w:rPr>
        <w:t>六</w:t>
      </w:r>
      <w:r>
        <w:rPr>
          <w:rFonts w:hint="eastAsia" w:ascii="宋体" w:hAnsi="宋体" w:cs="宋体"/>
          <w:szCs w:val="21"/>
          <w:highlight w:val="none"/>
          <w:u w:val="none"/>
        </w:rPr>
        <w:t>。</w:t>
      </w:r>
    </w:p>
    <w:p>
      <w:pPr>
        <w:pStyle w:val="3"/>
        <w:rPr>
          <w:rFonts w:hint="eastAsia" w:ascii="宋体" w:hAnsi="宋体" w:cs="宋体"/>
          <w:sz w:val="21"/>
          <w:szCs w:val="21"/>
          <w:highlight w:val="none"/>
        </w:rPr>
      </w:pPr>
      <w:bookmarkStart w:id="19" w:name="_Toc18140"/>
      <w:bookmarkStart w:id="20" w:name="_Toc4089"/>
      <w:r>
        <w:rPr>
          <w:rFonts w:hint="eastAsia" w:ascii="宋体" w:hAnsi="宋体" w:cs="宋体"/>
          <w:sz w:val="21"/>
          <w:szCs w:val="21"/>
          <w:highlight w:val="none"/>
        </w:rPr>
        <w:t>六、发布公告的媒介及公告期限</w:t>
      </w:r>
      <w:bookmarkEnd w:id="19"/>
      <w:bookmarkEnd w:id="20"/>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本次竞争性磋商公告同时在《河南省政府采购网》、《河南省公共资源交易中心网》上发布，公告期限为3个工作日。</w:t>
      </w:r>
    </w:p>
    <w:p>
      <w:pPr>
        <w:pStyle w:val="3"/>
        <w:rPr>
          <w:rFonts w:hint="eastAsia" w:ascii="宋体" w:hAnsi="宋体" w:cs="宋体"/>
          <w:sz w:val="21"/>
          <w:szCs w:val="21"/>
          <w:highlight w:val="none"/>
        </w:rPr>
      </w:pPr>
      <w:bookmarkStart w:id="21" w:name="_Toc11121"/>
      <w:bookmarkStart w:id="22" w:name="_Toc18430"/>
      <w:r>
        <w:rPr>
          <w:rFonts w:hint="eastAsia" w:ascii="宋体" w:hAnsi="宋体" w:cs="宋体"/>
          <w:sz w:val="21"/>
          <w:szCs w:val="21"/>
          <w:highlight w:val="none"/>
        </w:rPr>
        <w:t>七、其他补充事宜</w:t>
      </w:r>
      <w:bookmarkEnd w:id="21"/>
      <w:bookmarkEnd w:id="22"/>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本项目执行优先采购节能环保、环境标志性产品、优先采购自主创新产品，扶持不发达地区和少数民族地区，促进中小企业、监狱企业、残疾人福利性企业发展等（具体详见竞争性磋商文件）。</w:t>
      </w:r>
    </w:p>
    <w:p>
      <w:pPr>
        <w:pStyle w:val="3"/>
        <w:rPr>
          <w:rFonts w:hint="eastAsia" w:ascii="宋体" w:hAnsi="宋体" w:cs="宋体"/>
          <w:sz w:val="21"/>
          <w:szCs w:val="21"/>
          <w:highlight w:val="none"/>
        </w:rPr>
      </w:pPr>
      <w:bookmarkStart w:id="23" w:name="_Toc19826"/>
      <w:bookmarkStart w:id="24" w:name="_Toc6690"/>
      <w:r>
        <w:rPr>
          <w:rFonts w:hint="eastAsia" w:ascii="宋体" w:hAnsi="宋体" w:cs="宋体"/>
          <w:sz w:val="21"/>
          <w:szCs w:val="21"/>
          <w:highlight w:val="none"/>
        </w:rPr>
        <w:t>八、凡对本次采购提出询问，请按照以下方式联系</w:t>
      </w:r>
      <w:bookmarkEnd w:id="23"/>
      <w:bookmarkEnd w:id="24"/>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1、采购人信息</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名称：河南省生态环境监测和安全中心</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地址：郑州市郑东新区学理路10号</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联系人：李岳君昇</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联系电话：0371-66309409</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2、采购代理机构信息</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名称：河南省国贸招标有限公司</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地址：郑州市农业路72号国际企业中心B座三楼东侧</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联系人：韩艳霞 危坤峰</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联系方式：0371-69131990</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E-mail：389230478@qq.com</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3、项目联系方式</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项目联系人：韩艳霞</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联系方式：0371-69131990</w:t>
      </w:r>
    </w:p>
    <w:p>
      <w:pPr>
        <w:adjustRightInd w:val="0"/>
        <w:snapToGrid w:val="0"/>
        <w:spacing w:line="360" w:lineRule="auto"/>
        <w:ind w:firstLine="420" w:firstLineChars="200"/>
        <w:rPr>
          <w:rFonts w:hint="eastAsia" w:ascii="宋体" w:hAnsi="宋体" w:cs="宋体"/>
          <w:szCs w:val="21"/>
          <w:highlight w:val="none"/>
        </w:rPr>
      </w:pPr>
    </w:p>
    <w:p>
      <w:pPr>
        <w:spacing w:line="360" w:lineRule="auto"/>
        <w:jc w:val="right"/>
        <w:rPr>
          <w:rFonts w:hint="eastAsia" w:ascii="宋体" w:hAnsi="宋体" w:cs="宋体"/>
          <w:szCs w:val="21"/>
          <w:highlight w:val="none"/>
        </w:rPr>
      </w:pPr>
      <w:r>
        <w:rPr>
          <w:rFonts w:hint="eastAsia" w:ascii="宋体" w:hAnsi="宋体" w:cs="宋体"/>
          <w:szCs w:val="21"/>
          <w:highlight w:val="none"/>
        </w:rPr>
        <w:t>发布人：河南省生态环境监测和安全中心、河南省国贸招标有限公司</w:t>
      </w:r>
    </w:p>
    <w:p>
      <w:pPr>
        <w:spacing w:line="360" w:lineRule="auto"/>
        <w:ind w:firstLine="2730" w:firstLineChars="1300"/>
        <w:jc w:val="right"/>
        <w:rPr>
          <w:rFonts w:hint="eastAsia" w:ascii="宋体" w:hAnsi="宋体" w:cs="宋体"/>
          <w:szCs w:val="21"/>
          <w:highlight w:val="none"/>
        </w:rPr>
      </w:pPr>
      <w:r>
        <w:rPr>
          <w:rFonts w:hint="eastAsia" w:ascii="宋体" w:hAnsi="宋体" w:cs="宋体"/>
          <w:szCs w:val="21"/>
          <w:highlight w:val="none"/>
        </w:rPr>
        <w:t>发布时间：</w:t>
      </w:r>
      <w:r>
        <w:rPr>
          <w:rFonts w:hint="eastAsia" w:ascii="宋体" w:hAnsi="宋体" w:cs="宋体"/>
          <w:b/>
          <w:bCs/>
          <w:szCs w:val="21"/>
          <w:highlight w:val="none"/>
        </w:rPr>
        <w:t>2023年</w:t>
      </w:r>
      <w:r>
        <w:rPr>
          <w:rFonts w:hint="eastAsia" w:ascii="宋体" w:hAnsi="宋体" w:cs="宋体"/>
          <w:b/>
          <w:bCs/>
          <w:szCs w:val="21"/>
          <w:highlight w:val="none"/>
          <w:lang w:val="en-US" w:eastAsia="zh-CN"/>
        </w:rPr>
        <w:t>11</w:t>
      </w:r>
      <w:r>
        <w:rPr>
          <w:rFonts w:hint="eastAsia" w:ascii="宋体" w:hAnsi="宋体" w:cs="宋体"/>
          <w:b/>
          <w:bCs/>
          <w:szCs w:val="21"/>
          <w:highlight w:val="none"/>
        </w:rPr>
        <w:t>月</w:t>
      </w:r>
      <w:r>
        <w:rPr>
          <w:rFonts w:hint="eastAsia" w:ascii="宋体" w:hAnsi="宋体" w:cs="宋体"/>
          <w:b/>
          <w:bCs/>
          <w:szCs w:val="21"/>
          <w:highlight w:val="none"/>
          <w:lang w:val="en-US" w:eastAsia="zh-CN"/>
        </w:rPr>
        <w:t>17</w:t>
      </w:r>
      <w:r>
        <w:rPr>
          <w:rFonts w:hint="eastAsia" w:ascii="宋体" w:hAnsi="宋体" w:cs="宋体"/>
          <w:b/>
          <w:bCs/>
          <w:szCs w:val="21"/>
          <w:highlight w:val="none"/>
        </w:rPr>
        <w:t>日</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4MmYwYTQ5OTZjZjU2MDlmN2RjNjk1ZGVhYzAxZGQifQ=="/>
  </w:docVars>
  <w:rsids>
    <w:rsidRoot w:val="00000000"/>
    <w:rsid w:val="11E46C8F"/>
    <w:rsid w:val="2C2E283F"/>
    <w:rsid w:val="31ED17D1"/>
    <w:rsid w:val="31FD03D4"/>
    <w:rsid w:val="37C1236E"/>
    <w:rsid w:val="408F1FF5"/>
    <w:rsid w:val="43157425"/>
    <w:rsid w:val="5F8D7D6C"/>
    <w:rsid w:val="6A956B7D"/>
    <w:rsid w:val="6C385136"/>
    <w:rsid w:val="7EEF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libri Light" w:hAnsi="Calibri Light"/>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2023-11-01T06:34:00Z</dcterms:created>
  <dc:creator>Administrator</dc:creator>
  <cp:lastModifiedBy>NTKO</cp:lastModifiedBy>
  <dcterms:modified xsi:type="dcterms:W3CDTF">2023-11-17T07:41:23Z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3E6F4350B7C34B81A40B242E18EAE4EF_12</vt:lpwstr>
  </property>
</Properties>
</file>