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河南省生态环境监测和安全中心河南省重点污染源和自然保护区视频监控系统运维服务（2024年）项目</w:t>
      </w:r>
      <w:r>
        <w:rPr>
          <w:rFonts w:hint="eastAsia" w:ascii="宋体" w:hAnsi="宋体" w:cs="宋体"/>
          <w:b/>
          <w:bCs w:val="0"/>
          <w:snapToGrid w:val="0"/>
          <w:sz w:val="24"/>
          <w:szCs w:val="24"/>
          <w:lang w:eastAsia="zh-CN"/>
        </w:rPr>
        <w:t>包</w:t>
      </w:r>
      <w:r>
        <w:rPr>
          <w:rFonts w:hint="eastAsia" w:ascii="宋体" w:hAnsi="宋体" w:cs="宋体"/>
          <w:b/>
          <w:bCs w:val="0"/>
          <w:snapToGrid w:val="0"/>
          <w:sz w:val="24"/>
          <w:szCs w:val="24"/>
          <w:lang w:val="en-US" w:eastAsia="zh-CN"/>
        </w:rPr>
        <w:t>3</w:t>
      </w:r>
      <w:r>
        <w:rPr>
          <w:rFonts w:hint="eastAsia" w:ascii="宋体" w:hAnsi="宋体" w:cs="宋体"/>
          <w:bCs/>
          <w:snapToGrid w:val="0"/>
          <w:sz w:val="24"/>
          <w:szCs w:val="24"/>
          <w:lang w:val="en-US" w:eastAsia="zh-CN"/>
        </w:rPr>
        <w:t>二次</w:t>
      </w:r>
      <w:r>
        <w:rPr>
          <w:rFonts w:hint="eastAsia" w:ascii="宋体" w:hAnsi="宋体" w:cs="宋体"/>
          <w:bCs/>
          <w:snapToGrid w:val="0"/>
          <w:sz w:val="24"/>
          <w:szCs w:val="24"/>
          <w:lang w:eastAsia="zh-CN"/>
        </w:rPr>
        <w:t>竞争性磋商</w:t>
      </w:r>
      <w:r>
        <w:rPr>
          <w:rFonts w:hint="eastAsia" w:ascii="宋体" w:hAnsi="宋体" w:eastAsia="宋体" w:cs="宋体"/>
          <w:sz w:val="24"/>
          <w:szCs w:val="24"/>
          <w:lang w:eastAsia="zh-CN"/>
        </w:rPr>
        <w:t>成交结果公告</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一、项目基本情况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1、采购项目编号：</w:t>
      </w:r>
      <w:r>
        <w:rPr>
          <w:rFonts w:hint="eastAsia" w:ascii="宋体" w:hAnsi="宋体" w:eastAsia="宋体" w:cs="宋体"/>
          <w:sz w:val="21"/>
          <w:szCs w:val="21"/>
          <w:highlight w:val="none"/>
          <w:lang w:eastAsia="zh-CN"/>
        </w:rPr>
        <w:t>豫财磋商采购-2023-1168</w:t>
      </w:r>
      <w:r>
        <w:rPr>
          <w:rFonts w:hint="eastAsia" w:ascii="宋体" w:hAnsi="宋体" w:eastAsia="宋体" w:cs="宋体"/>
          <w:sz w:val="21"/>
          <w:szCs w:val="21"/>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2、采购项目名称：</w:t>
      </w:r>
      <w:r>
        <w:rPr>
          <w:rFonts w:hint="eastAsia" w:ascii="宋体" w:hAnsi="宋体" w:eastAsia="宋体" w:cs="宋体"/>
          <w:bCs/>
          <w:snapToGrid w:val="0"/>
          <w:sz w:val="21"/>
          <w:szCs w:val="21"/>
          <w:highlight w:val="none"/>
          <w:lang w:eastAsia="zh-CN"/>
        </w:rPr>
        <w:t>河南省生态环境监测和安全中心河南省重点污染源和自然保护区视频监控系统运维服务（2024年）项目</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3、采购方式：竞争性磋商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4、采购公告发布日期：2023年1</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日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5、评审日期：2023年1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月1日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二、采购项目用途、数量、简要技术要求、合同履行日期：</w:t>
      </w:r>
    </w:p>
    <w:p>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采购内容：</w:t>
      </w:r>
      <w:r>
        <w:rPr>
          <w:rFonts w:hint="eastAsia" w:ascii="宋体" w:hAnsi="宋体" w:eastAsia="宋体" w:cs="宋体"/>
          <w:bCs/>
          <w:snapToGrid w:val="0"/>
          <w:sz w:val="21"/>
          <w:szCs w:val="21"/>
          <w:highlight w:val="none"/>
        </w:rPr>
        <w:t>河南省生态环境监测和安全中心河南省重点污染源和自然保护区视频监控系统运维服务。</w:t>
      </w:r>
    </w:p>
    <w:p>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服务期：运维期限为合同签订后1年。</w:t>
      </w:r>
    </w:p>
    <w:p>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服务地点：采购人指定地点。</w:t>
      </w:r>
    </w:p>
    <w:p>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合同履行期限：同服务期。</w:t>
      </w:r>
    </w:p>
    <w:p>
      <w:pPr>
        <w:keepNext w:val="0"/>
        <w:keepLines w:val="0"/>
        <w:pageBreakBefore w:val="0"/>
        <w:numPr>
          <w:ilvl w:val="0"/>
          <w:numId w:val="1"/>
        </w:numPr>
        <w:kinsoku/>
        <w:wordWrap/>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成交情况 </w:t>
      </w:r>
      <w:r>
        <w:rPr>
          <w:rFonts w:hint="eastAsia" w:ascii="宋体" w:hAnsi="宋体" w:eastAsia="宋体" w:cs="宋体"/>
          <w:sz w:val="21"/>
          <w:szCs w:val="21"/>
          <w:lang w:val="en-US" w:eastAsia="zh-CN"/>
        </w:rPr>
        <w:t xml:space="preserve"> </w:t>
      </w:r>
    </w:p>
    <w:tbl>
      <w:tblPr>
        <w:tblStyle w:val="4"/>
        <w:tblW w:w="5346" w:type="pct"/>
        <w:tblCellSpacing w:w="0" w:type="dxa"/>
        <w:tblInd w:w="-405" w:type="dxa"/>
        <w:tblBorders>
          <w:top w:val="none" w:color="auto" w:sz="0" w:space="0"/>
          <w:left w:val="single" w:color="333333" w:sz="6" w:space="0"/>
          <w:bottom w:val="single" w:color="333333"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11"/>
        <w:gridCol w:w="1868"/>
        <w:gridCol w:w="1591"/>
        <w:gridCol w:w="1816"/>
        <w:gridCol w:w="1140"/>
        <w:gridCol w:w="982"/>
      </w:tblGrid>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blCellSpacing w:w="0" w:type="dxa"/>
        </w:trPr>
        <w:tc>
          <w:tcPr>
            <w:tcW w:w="848" w:type="pct"/>
            <w:tcBorders>
              <w:top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包号</w:t>
            </w:r>
          </w:p>
        </w:tc>
        <w:tc>
          <w:tcPr>
            <w:tcW w:w="10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采购内容</w:t>
            </w:r>
          </w:p>
        </w:tc>
        <w:tc>
          <w:tcPr>
            <w:tcW w:w="8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供应商名称</w:t>
            </w:r>
          </w:p>
        </w:tc>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地 址</w:t>
            </w:r>
          </w:p>
        </w:tc>
        <w:tc>
          <w:tcPr>
            <w:tcW w:w="6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中标金额</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单位</w:t>
            </w:r>
          </w:p>
        </w:tc>
      </w:tr>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731" w:hRule="atLeast"/>
          <w:tblCellSpacing w:w="0" w:type="dxa"/>
        </w:trPr>
        <w:tc>
          <w:tcPr>
            <w:tcW w:w="8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p>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color w:val="444444"/>
                <w:sz w:val="21"/>
                <w:szCs w:val="21"/>
                <w:lang w:val="en-US" w:eastAsia="zh-CN"/>
              </w:rPr>
              <w:t>豫政采(2)20231838-3</w:t>
            </w:r>
          </w:p>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p>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p>
        </w:tc>
        <w:tc>
          <w:tcPr>
            <w:tcW w:w="1048"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444444"/>
                <w:sz w:val="21"/>
                <w:szCs w:val="21"/>
              </w:rPr>
            </w:pPr>
            <w:r>
              <w:rPr>
                <w:rFonts w:hint="eastAsia"/>
              </w:rPr>
              <w:t>河南省自然保护区环境监控系统运行维护</w:t>
            </w:r>
          </w:p>
        </w:tc>
        <w:tc>
          <w:tcPr>
            <w:tcW w:w="893" w:type="pc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color w:val="444444"/>
                <w:szCs w:val="21"/>
              </w:rPr>
            </w:pPr>
            <w:r>
              <w:rPr>
                <w:rFonts w:hint="eastAsia"/>
              </w:rPr>
              <w:t>铁塔智联技术有限公司河南省分公司</w:t>
            </w:r>
          </w:p>
        </w:tc>
        <w:tc>
          <w:tcPr>
            <w:tcW w:w="1019" w:type="pc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color w:val="444444"/>
                <w:szCs w:val="21"/>
              </w:rPr>
            </w:pPr>
            <w:r>
              <w:rPr>
                <w:rFonts w:hint="eastAsia"/>
              </w:rPr>
              <w:t>河南自贸试验区郑州片区（郑东）祥盛街8号附1号1号楼11层10号</w:t>
            </w:r>
          </w:p>
        </w:tc>
        <w:tc>
          <w:tcPr>
            <w:tcW w:w="6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color w:val="auto"/>
                <w:sz w:val="24"/>
                <w:lang w:val="en-US" w:eastAsia="zh-CN"/>
              </w:rPr>
              <w:t>731000</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元</w:t>
            </w:r>
          </w:p>
        </w:tc>
      </w:tr>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2639" w:hRule="atLeast"/>
          <w:tblCellSpacing w:w="0" w:type="dxa"/>
        </w:trPr>
        <w:tc>
          <w:tcPr>
            <w:tcW w:w="84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444444"/>
                <w:sz w:val="21"/>
                <w:szCs w:val="21"/>
              </w:rPr>
            </w:pPr>
          </w:p>
        </w:tc>
        <w:tc>
          <w:tcPr>
            <w:tcW w:w="4151" w:type="pct"/>
            <w:gridSpan w:val="5"/>
            <w:tcBorders>
              <w:top w:val="single" w:color="auto" w:sz="4" w:space="0"/>
              <w:left w:val="single" w:color="auto" w:sz="4" w:space="0"/>
              <w:bottom w:val="single" w:color="auto" w:sz="4" w:space="0"/>
              <w:right w:val="single" w:color="auto" w:sz="4" w:space="0"/>
            </w:tcBorders>
            <w:noWrap w:val="0"/>
            <w:vAlign w:val="center"/>
          </w:tcPr>
          <w:tbl>
            <w:tblPr>
              <w:tblStyle w:val="4"/>
              <w:tblW w:w="492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6"/>
              <w:gridCol w:w="1407"/>
              <w:gridCol w:w="1421"/>
              <w:gridCol w:w="1524"/>
              <w:gridCol w:w="104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jc w:val="center"/>
              </w:trPr>
              <w:tc>
                <w:tcPr>
                  <w:tcW w:w="314" w:type="pct"/>
                  <w:noWrap/>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序号</w:t>
                  </w:r>
                </w:p>
              </w:tc>
              <w:tc>
                <w:tcPr>
                  <w:tcW w:w="968" w:type="pct"/>
                  <w:noWrap/>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名称</w:t>
                  </w:r>
                </w:p>
              </w:tc>
              <w:tc>
                <w:tcPr>
                  <w:tcW w:w="978" w:type="pct"/>
                  <w:noWrap/>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kern w:val="0"/>
                      <w:sz w:val="21"/>
                      <w:szCs w:val="21"/>
                    </w:rPr>
                    <w:t>服务范围</w:t>
                  </w:r>
                </w:p>
              </w:tc>
              <w:tc>
                <w:tcPr>
                  <w:tcW w:w="1049" w:type="pct"/>
                  <w:noWrap/>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kern w:val="0"/>
                      <w:sz w:val="21"/>
                      <w:szCs w:val="21"/>
                    </w:rPr>
                    <w:t>服务要求</w:t>
                  </w:r>
                </w:p>
              </w:tc>
              <w:tc>
                <w:tcPr>
                  <w:tcW w:w="720" w:type="pct"/>
                  <w:noWrap/>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kern w:val="0"/>
                      <w:sz w:val="21"/>
                      <w:szCs w:val="21"/>
                    </w:rPr>
                    <w:t>服务时间</w:t>
                  </w:r>
                </w:p>
              </w:tc>
              <w:tc>
                <w:tcPr>
                  <w:tcW w:w="968" w:type="pct"/>
                  <w:noWrap/>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color w:val="444444"/>
                      <w:sz w:val="21"/>
                      <w:szCs w:val="21"/>
                    </w:rPr>
                  </w:pPr>
                  <w:r>
                    <w:rPr>
                      <w:rFonts w:hint="eastAsia" w:ascii="宋体" w:hAnsi="宋体" w:eastAsia="宋体" w:cs="宋体"/>
                      <w:kern w:val="0"/>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4" w:type="pct"/>
                  <w:noWrap w:val="0"/>
                  <w:vAlign w:val="center"/>
                </w:tcPr>
                <w:p>
                  <w:pPr>
                    <w:keepNext w:val="0"/>
                    <w:keepLines w:val="0"/>
                    <w:widowControl/>
                    <w:suppressLineNumbers w:val="0"/>
                    <w:spacing w:line="432" w:lineRule="auto"/>
                    <w:jc w:val="center"/>
                    <w:rPr>
                      <w:rFonts w:hint="eastAsia" w:ascii="宋体" w:hAnsi="宋体" w:eastAsia="宋体" w:cs="宋体"/>
                      <w:color w:val="444444"/>
                      <w:sz w:val="21"/>
                      <w:szCs w:val="21"/>
                    </w:rPr>
                  </w:pPr>
                  <w:r>
                    <w:rPr>
                      <w:rFonts w:hint="eastAsia" w:ascii="宋体" w:hAnsi="宋体" w:eastAsia="宋体" w:cs="宋体"/>
                      <w:color w:val="444444"/>
                      <w:kern w:val="0"/>
                      <w:sz w:val="21"/>
                      <w:szCs w:val="21"/>
                      <w:lang w:val="en-US" w:eastAsia="zh-CN" w:bidi="ar"/>
                    </w:rPr>
                    <w:t>1</w:t>
                  </w:r>
                </w:p>
              </w:tc>
              <w:tc>
                <w:tcPr>
                  <w:tcW w:w="968" w:type="pct"/>
                  <w:noWrap w:val="0"/>
                  <w:vAlign w:val="center"/>
                </w:tcPr>
                <w:p>
                  <w:pPr>
                    <w:rPr>
                      <w:rFonts w:hint="eastAsia" w:ascii="宋体" w:hAnsi="宋体" w:eastAsia="宋体" w:cs="宋体"/>
                      <w:color w:val="444444"/>
                      <w:sz w:val="21"/>
                      <w:szCs w:val="21"/>
                    </w:rPr>
                  </w:pPr>
                  <w:r>
                    <w:rPr>
                      <w:rFonts w:hint="eastAsia"/>
                    </w:rPr>
                    <w:t>河南省自然保护区环境监控系统运行维护</w:t>
                  </w:r>
                </w:p>
              </w:tc>
              <w:tc>
                <w:tcPr>
                  <w:tcW w:w="978" w:type="pct"/>
                  <w:noWrap w:val="0"/>
                  <w:vAlign w:val="center"/>
                </w:tcPr>
                <w:p>
                  <w:pPr>
                    <w:bidi w:val="0"/>
                    <w:rPr>
                      <w:rFonts w:hint="eastAsia" w:ascii="宋体" w:hAnsi="宋体" w:cs="宋体" w:eastAsiaTheme="minorEastAsia"/>
                      <w:color w:val="444444"/>
                      <w:szCs w:val="21"/>
                      <w:lang w:eastAsia="zh-CN"/>
                    </w:rPr>
                  </w:pPr>
                  <w:r>
                    <w:rPr>
                      <w:rFonts w:hint="eastAsia"/>
                    </w:rPr>
                    <w:t>运维的范围为全省30个自然保护区共90个视频监控点位</w:t>
                  </w:r>
                  <w:r>
                    <w:rPr>
                      <w:rFonts w:hint="eastAsia"/>
                      <w:lang w:eastAsia="zh-CN"/>
                    </w:rPr>
                    <w:t>。</w:t>
                  </w:r>
                </w:p>
              </w:tc>
              <w:tc>
                <w:tcPr>
                  <w:tcW w:w="1049" w:type="pct"/>
                  <w:noWrap w:val="0"/>
                  <w:vAlign w:val="center"/>
                </w:tcPr>
                <w:p>
                  <w:pPr>
                    <w:bidi w:val="0"/>
                    <w:rPr>
                      <w:rFonts w:hint="eastAsia"/>
                    </w:rPr>
                  </w:pPr>
                  <w:r>
                    <w:rPr>
                      <w:rFonts w:hint="eastAsia"/>
                    </w:rPr>
                    <w:t>对全省自然保护区环境监控系统进行运行维护，完成日定期巡检、故障维修和设备更换工作，保证视频监控图像清晰、稳定上传。</w:t>
                  </w:r>
                </w:p>
                <w:p>
                  <w:pPr>
                    <w:keepNext w:val="0"/>
                    <w:keepLines w:val="0"/>
                    <w:widowControl/>
                    <w:suppressLineNumbers w:val="0"/>
                    <w:spacing w:line="432" w:lineRule="auto"/>
                    <w:jc w:val="center"/>
                    <w:rPr>
                      <w:rFonts w:hint="eastAsia" w:ascii="宋体" w:hAnsi="宋体" w:eastAsia="宋体" w:cs="宋体"/>
                      <w:color w:val="444444"/>
                      <w:sz w:val="21"/>
                      <w:szCs w:val="21"/>
                    </w:rPr>
                  </w:pPr>
                </w:p>
              </w:tc>
              <w:tc>
                <w:tcPr>
                  <w:tcW w:w="0" w:type="auto"/>
                  <w:noWrap w:val="0"/>
                  <w:vAlign w:val="center"/>
                </w:tcPr>
                <w:p>
                  <w:pPr>
                    <w:bidi w:val="0"/>
                    <w:rPr>
                      <w:rFonts w:hint="eastAsia" w:ascii="宋体" w:hAnsi="宋体" w:eastAsia="宋体" w:cs="宋体"/>
                      <w:color w:val="444444"/>
                      <w:szCs w:val="21"/>
                    </w:rPr>
                  </w:pPr>
                  <w:r>
                    <w:rPr>
                      <w:rFonts w:hint="eastAsia"/>
                    </w:rPr>
                    <w:t>运维期限为合同签订后1年。</w:t>
                  </w:r>
                </w:p>
              </w:tc>
              <w:tc>
                <w:tcPr>
                  <w:tcW w:w="0" w:type="auto"/>
                  <w:noWrap w:val="0"/>
                  <w:vAlign w:val="center"/>
                </w:tcPr>
                <w:p>
                  <w:pPr>
                    <w:bidi w:val="0"/>
                    <w:rPr>
                      <w:rFonts w:hint="eastAsia"/>
                    </w:rPr>
                  </w:pPr>
                  <w:r>
                    <w:rPr>
                      <w:rFonts w:hint="eastAsia"/>
                    </w:rPr>
                    <w:t>对全省自然保护区环境监控系统进行运行维护，完成日定期巡检、故障维修和设备更换工作，保证视频监控图像清晰、稳定上传。</w:t>
                  </w:r>
                </w:p>
                <w:p>
                  <w:pPr>
                    <w:keepNext w:val="0"/>
                    <w:keepLines w:val="0"/>
                    <w:widowControl/>
                    <w:suppressLineNumbers w:val="0"/>
                    <w:spacing w:line="432" w:lineRule="auto"/>
                    <w:jc w:val="center"/>
                    <w:rPr>
                      <w:rFonts w:hint="eastAsia" w:ascii="宋体" w:hAnsi="宋体" w:eastAsia="宋体" w:cs="宋体"/>
                      <w:color w:val="444444"/>
                      <w:sz w:val="21"/>
                      <w:szCs w:val="21"/>
                    </w:rPr>
                  </w:pPr>
                </w:p>
              </w:tc>
            </w:tr>
          </w:tbl>
          <w:p>
            <w:pPr>
              <w:jc w:val="center"/>
              <w:rPr>
                <w:rFonts w:hint="eastAsia" w:ascii="宋体" w:hAnsi="宋体" w:eastAsia="宋体" w:cs="宋体"/>
                <w:color w:val="444444"/>
                <w:sz w:val="21"/>
                <w:szCs w:val="21"/>
              </w:rPr>
            </w:pPr>
          </w:p>
        </w:tc>
      </w:tr>
    </w:tbl>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 xml:space="preserve">、评审专家名单 </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袁驰</w:t>
      </w:r>
      <w:r>
        <w:rPr>
          <w:rFonts w:hint="eastAsia" w:ascii="宋体" w:hAnsi="宋体" w:eastAsia="宋体" w:cs="宋体"/>
          <w:sz w:val="21"/>
          <w:szCs w:val="21"/>
        </w:rPr>
        <w:t>、</w:t>
      </w:r>
      <w:r>
        <w:rPr>
          <w:rFonts w:hint="eastAsia" w:ascii="宋体" w:hAnsi="宋体" w:eastAsia="宋体" w:cs="宋体"/>
          <w:sz w:val="21"/>
          <w:szCs w:val="21"/>
          <w:lang w:eastAsia="zh-CN"/>
        </w:rPr>
        <w:t>张珣媛、杜鹏</w:t>
      </w:r>
      <w:r>
        <w:rPr>
          <w:rFonts w:hint="eastAsia" w:ascii="宋体" w:hAnsi="宋体" w:eastAsia="宋体" w:cs="宋体"/>
          <w:sz w:val="21"/>
          <w:szCs w:val="21"/>
        </w:rPr>
        <w:t xml:space="preserve">（采购人代表）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 xml:space="preserve">、代理服务收费标准及金额 </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收费标准：</w:t>
      </w:r>
      <w:r>
        <w:rPr>
          <w:rFonts w:hint="eastAsia" w:ascii="宋体" w:hAnsi="宋体" w:eastAsia="宋体" w:cs="宋体"/>
          <w:color w:val="auto"/>
          <w:sz w:val="21"/>
          <w:szCs w:val="21"/>
          <w:highlight w:val="none"/>
        </w:rPr>
        <w:t>本次招标代理服务费由中标人参照计价办[2002]1980号文、发改办价格[2003]857号文和发改办价格[2011]534号文的有关规定向采购代理机构交纳。</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收费金额：</w:t>
      </w:r>
      <w:r>
        <w:rPr>
          <w:rFonts w:hint="eastAsia" w:ascii="宋体" w:hAnsi="宋体" w:eastAsia="宋体" w:cs="宋体"/>
          <w:color w:val="auto"/>
          <w:sz w:val="21"/>
          <w:szCs w:val="21"/>
          <w:highlight w:val="none"/>
          <w:lang w:eastAsia="zh-CN"/>
        </w:rPr>
        <w:t>包</w:t>
      </w:r>
      <w:r>
        <w:rPr>
          <w:rFonts w:hint="eastAsia" w:ascii="宋体" w:hAnsi="宋体" w:eastAsia="宋体" w:cs="宋体"/>
          <w:color w:val="auto"/>
          <w:sz w:val="21"/>
          <w:szCs w:val="21"/>
          <w:highlight w:val="none"/>
          <w:lang w:val="en-US" w:eastAsia="zh-CN"/>
        </w:rPr>
        <w:t xml:space="preserve">3：10965元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六</w:t>
      </w:r>
      <w:r>
        <w:rPr>
          <w:rFonts w:hint="eastAsia" w:ascii="宋体" w:hAnsi="宋体" w:eastAsia="宋体" w:cs="宋体"/>
          <w:sz w:val="21"/>
          <w:szCs w:val="21"/>
        </w:rPr>
        <w:t xml:space="preserve">、成交公告发布的媒介及成交公告期限 </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本次公告在</w:t>
      </w:r>
      <w:r>
        <w:rPr>
          <w:rFonts w:hint="eastAsia" w:ascii="宋体" w:hAnsi="宋体" w:eastAsia="宋体" w:cs="宋体"/>
          <w:sz w:val="21"/>
          <w:szCs w:val="21"/>
          <w:highlight w:val="none"/>
        </w:rPr>
        <w:t>《河南省政府采购网》、《河南省公共资源交易中心网》</w:t>
      </w:r>
      <w:r>
        <w:rPr>
          <w:rFonts w:hint="eastAsia" w:ascii="宋体" w:hAnsi="宋体" w:eastAsia="宋体" w:cs="宋体"/>
          <w:sz w:val="21"/>
          <w:szCs w:val="21"/>
        </w:rPr>
        <w:t xml:space="preserve">上发布，成交公告期限为1个工作日 。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七、其他补充事宜</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有关当事人如对结果有异议，可以在公告期结束之日起七个工作日内，以书面形式向采购人或采购代理机构提出质疑(加盖单位公章且法定代表人签字，并附带相应的证明材料)，由法定代表人或其授权代表携带企业营业执照复印件（加盖公章）及本人身份证件（原件）一并提交（邮寄、邮件不予受理），并以质疑函接受确认日期作为受理时间。逾期未提交或未按照要求提交的质疑函将不予受理。</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八、凡对本次公告内容提出询问，请按以下方式联系</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名称：河南省生态环境监测和安全中心</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地址：郑州市郑东新区学理路10号</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联系人：李岳君昇</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联系电话：0371-66309409</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名称：河南省国贸招标有限公司</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地址：郑州市农业路72号国际企业中心B座三楼东侧</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联系人：韩艳霞 危坤峰</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联系方式：0371-69131990</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E-mail：389230478@qq.com</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3、项目联系方式</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项目联系人：韩艳霞</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联系方式：0371-69131990</w:t>
      </w:r>
      <w:bookmarkStart w:id="0" w:name="_GoBack"/>
      <w:bookmarkEnd w:id="0"/>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 采购文件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5F56"/>
    <w:multiLevelType w:val="singleLevel"/>
    <w:tmpl w:val="D3965F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wYTQ5OTZjZjU2MDlmN2RjNjk1ZGVhYzAxZGQifQ=="/>
  </w:docVars>
  <w:rsids>
    <w:rsidRoot w:val="00000000"/>
    <w:rsid w:val="02C62564"/>
    <w:rsid w:val="04247911"/>
    <w:rsid w:val="043B2EAD"/>
    <w:rsid w:val="06497B03"/>
    <w:rsid w:val="07206717"/>
    <w:rsid w:val="075E3086"/>
    <w:rsid w:val="09E30437"/>
    <w:rsid w:val="0DD7181E"/>
    <w:rsid w:val="0FD20B69"/>
    <w:rsid w:val="12E26B10"/>
    <w:rsid w:val="145E5651"/>
    <w:rsid w:val="14FB61C2"/>
    <w:rsid w:val="18083E89"/>
    <w:rsid w:val="19DD0CF1"/>
    <w:rsid w:val="1AB165D3"/>
    <w:rsid w:val="1B44195B"/>
    <w:rsid w:val="1C890801"/>
    <w:rsid w:val="1DC51D0D"/>
    <w:rsid w:val="1E566A86"/>
    <w:rsid w:val="23F30C56"/>
    <w:rsid w:val="24D57369"/>
    <w:rsid w:val="27160EE4"/>
    <w:rsid w:val="27DA3A30"/>
    <w:rsid w:val="33064502"/>
    <w:rsid w:val="36AA4AF9"/>
    <w:rsid w:val="38581121"/>
    <w:rsid w:val="39EB6764"/>
    <w:rsid w:val="3A1A25A0"/>
    <w:rsid w:val="4CC0395A"/>
    <w:rsid w:val="51481364"/>
    <w:rsid w:val="52F54004"/>
    <w:rsid w:val="5BB06662"/>
    <w:rsid w:val="5C3A37FB"/>
    <w:rsid w:val="60A615E0"/>
    <w:rsid w:val="621C2B4B"/>
    <w:rsid w:val="6D9847DE"/>
    <w:rsid w:val="6F6A75EB"/>
    <w:rsid w:val="76432DD6"/>
    <w:rsid w:val="79D93CE4"/>
    <w:rsid w:val="7C9237AB"/>
    <w:rsid w:val="7D72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Normal (Web)"/>
    <w:basedOn w:val="1"/>
    <w:uiPriority w:val="0"/>
    <w:rPr>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character" w:styleId="8">
    <w:name w:val="FollowedHyperlink"/>
    <w:basedOn w:val="6"/>
    <w:qFormat/>
    <w:uiPriority w:val="0"/>
    <w:rPr>
      <w:color w:val="5C5C5C"/>
      <w:u w:val="none"/>
    </w:rPr>
  </w:style>
  <w:style w:type="character" w:styleId="9">
    <w:name w:val="Emphasis"/>
    <w:basedOn w:val="6"/>
    <w:qFormat/>
    <w:uiPriority w:val="0"/>
    <w:rPr>
      <w:rFonts w:ascii="ActionIcon ! important" w:hAnsi="ActionIcon ! important" w:eastAsia="ActionIcon ! important" w:cs="ActionIcon ! important"/>
      <w:b/>
      <w:bCs/>
      <w:vanish/>
      <w:color w:val="DE2A2A"/>
      <w:sz w:val="24"/>
      <w:szCs w:val="24"/>
    </w:rPr>
  </w:style>
  <w:style w:type="character" w:styleId="10">
    <w:name w:val="HTML Definition"/>
    <w:basedOn w:val="6"/>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uiPriority w:val="0"/>
    <w:rPr>
      <w:bdr w:val="none" w:color="auto" w:sz="0" w:space="0"/>
    </w:rPr>
  </w:style>
  <w:style w:type="character" w:styleId="13">
    <w:name w:val="HTML Variable"/>
    <w:basedOn w:val="6"/>
    <w:qFormat/>
    <w:uiPriority w:val="0"/>
  </w:style>
  <w:style w:type="character" w:styleId="14">
    <w:name w:val="Hyperlink"/>
    <w:basedOn w:val="6"/>
    <w:uiPriority w:val="0"/>
    <w:rPr>
      <w:color w:val="5C5C5C"/>
      <w:u w:val="none"/>
    </w:rPr>
  </w:style>
  <w:style w:type="character" w:styleId="15">
    <w:name w:val="HTML Code"/>
    <w:basedOn w:val="6"/>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uiPriority w:val="0"/>
    <w:rPr>
      <w:rFonts w:hint="default" w:ascii="monospace" w:hAnsi="monospace" w:eastAsia="monospace" w:cs="monospace"/>
      <w:sz w:val="20"/>
    </w:rPr>
  </w:style>
  <w:style w:type="character" w:styleId="18">
    <w:name w:val="HTML Sample"/>
    <w:basedOn w:val="6"/>
    <w:uiPriority w:val="0"/>
    <w:rPr>
      <w:rFonts w:ascii="monospace" w:hAnsi="monospace" w:eastAsia="monospace" w:cs="monospace"/>
    </w:rPr>
  </w:style>
  <w:style w:type="character" w:customStyle="1" w:styleId="19">
    <w:name w:val="hover"/>
    <w:basedOn w:val="6"/>
    <w:uiPriority w:val="0"/>
    <w:rPr>
      <w:color w:val="2590EB"/>
      <w:shd w:val="clear" w:fill="E9F4FD"/>
    </w:rPr>
  </w:style>
  <w:style w:type="character" w:customStyle="1" w:styleId="20">
    <w:name w:val="hover1"/>
    <w:basedOn w:val="6"/>
    <w:uiPriority w:val="0"/>
    <w:rPr>
      <w:color w:val="2590EB"/>
    </w:rPr>
  </w:style>
  <w:style w:type="character" w:customStyle="1" w:styleId="21">
    <w:name w:val="hover2"/>
    <w:basedOn w:val="6"/>
    <w:qFormat/>
    <w:uiPriority w:val="0"/>
    <w:rPr>
      <w:color w:val="2590EB"/>
    </w:rPr>
  </w:style>
  <w:style w:type="character" w:customStyle="1" w:styleId="22">
    <w:name w:val="hover3"/>
    <w:basedOn w:val="6"/>
    <w:uiPriority w:val="0"/>
  </w:style>
  <w:style w:type="paragraph" w:customStyle="1" w:styleId="23">
    <w:name w:val="card-title"/>
    <w:basedOn w:val="1"/>
    <w:uiPriority w:val="0"/>
    <w:pPr>
      <w:spacing w:line="600" w:lineRule="atLeast"/>
      <w:ind w:right="750"/>
      <w:jc w:val="left"/>
    </w:pPr>
    <w:rPr>
      <w:color w:val="666666"/>
      <w:kern w:val="0"/>
      <w:lang w:val="en-US" w:eastAsia="zh-CN" w:bidi="ar"/>
    </w:rPr>
  </w:style>
  <w:style w:type="character" w:customStyle="1" w:styleId="24">
    <w:name w:val="hover4"/>
    <w:basedOn w:val="6"/>
    <w:uiPriority w:val="0"/>
    <w:rPr>
      <w:bdr w:val="none" w:color="AFD1EE" w:sz="0" w:space="0"/>
    </w:rPr>
  </w:style>
  <w:style w:type="paragraph" w:customStyle="1" w:styleId="25">
    <w:name w:val="card-num"/>
    <w:basedOn w:val="1"/>
    <w:uiPriority w:val="0"/>
    <w:pPr>
      <w:spacing w:before="45" w:beforeAutospacing="0" w:line="375" w:lineRule="atLeast"/>
      <w:ind w:right="75"/>
      <w:jc w:val="left"/>
    </w:pPr>
    <w:rPr>
      <w:kern w:val="0"/>
      <w:lang w:val="en-US" w:eastAsia="zh-CN" w:bidi="ar"/>
    </w:rPr>
  </w:style>
  <w:style w:type="paragraph" w:customStyle="1" w:styleId="26">
    <w:name w:val="普通(网站)1"/>
    <w:basedOn w:val="1"/>
    <w:qFormat/>
    <w:uiPriority w:val="0"/>
    <w:pPr>
      <w:widowControl/>
      <w:spacing w:before="100" w:beforeAutospacing="1" w:after="100" w:afterAutospacing="1"/>
      <w:jc w:val="left"/>
    </w:pPr>
    <w:rPr>
      <w:rFonts w:ascii="Arial" w:hAnsi="Arial" w:cs="Arial"/>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2023-11-15T01:47:00Z</dcterms:created>
  <dc:creator>Administrator</dc:creator>
  <cp:lastModifiedBy>NTKO</cp:lastModifiedBy>
  <dcterms:modified xsi:type="dcterms:W3CDTF">2023-12-01T08:52:36Z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95283973F8944534BE4567640716EF23_12</vt:lpwstr>
  </property>
</Properties>
</file>