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C4B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包1：液质联用仪</w:t>
      </w:r>
    </w:p>
    <w:p w14:paraId="0C4745FD">
      <w:r>
        <w:drawing>
          <wp:inline distT="0" distB="0" distL="114300" distR="114300">
            <wp:extent cx="5271770" cy="54438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95A7">
      <w:r>
        <w:br w:type="page"/>
      </w:r>
    </w:p>
    <w:p w14:paraId="4084CD8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包2：多功能蛋白质表达定量分析系统</w:t>
      </w:r>
    </w:p>
    <w:p w14:paraId="622E5B6A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360035" cy="5222240"/>
            <wp:effectExtent l="0" t="0" r="1206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1A0C17">
      <w:pPr>
        <w:rPr>
          <w:rFonts w:hint="eastAsia"/>
          <w:lang w:val="en-US" w:eastAsia="zh-CN"/>
        </w:rPr>
      </w:pPr>
    </w:p>
    <w:p w14:paraId="08EAC083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15C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2024-07-05T08:42:02Z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3F8EAF807BB84B36AFDF18354E0B54BF_12</vt:lpwstr>
  </property>
</Properties>
</file>