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340BD">
      <w:r>
        <w:drawing>
          <wp:inline distT="0" distB="0" distL="114300" distR="114300">
            <wp:extent cx="5272405" cy="7454900"/>
            <wp:effectExtent l="0" t="0" r="4445"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2405" cy="7454900"/>
                    </a:xfrm>
                    <a:prstGeom prst="rect">
                      <a:avLst/>
                    </a:prstGeom>
                    <a:noFill/>
                    <a:ln>
                      <a:noFill/>
                    </a:ln>
                  </pic:spPr>
                </pic:pic>
              </a:graphicData>
            </a:graphic>
          </wp:inline>
        </w:drawing>
      </w:r>
    </w:p>
    <w:p w14:paraId="2891BC36">
      <w:pPr>
        <w:snapToGrid w:val="0"/>
        <w:spacing w:line="360" w:lineRule="auto"/>
        <w:ind w:firstLine="480" w:firstLineChars="200"/>
        <w:rPr>
          <w:rFonts w:hint="eastAsia" w:ascii="宋体" w:hAnsi="宋体"/>
          <w:sz w:val="24"/>
        </w:rPr>
      </w:pPr>
    </w:p>
    <w:p w14:paraId="1EBDA18B">
      <w:pPr>
        <w:snapToGrid w:val="0"/>
        <w:spacing w:line="360" w:lineRule="auto"/>
        <w:ind w:firstLine="480" w:firstLineChars="200"/>
        <w:rPr>
          <w:rFonts w:hint="eastAsia" w:ascii="宋体" w:hAnsi="宋体"/>
          <w:sz w:val="24"/>
        </w:rPr>
      </w:pPr>
    </w:p>
    <w:p w14:paraId="357D82B9">
      <w:pPr>
        <w:snapToGrid w:val="0"/>
        <w:spacing w:line="360" w:lineRule="auto"/>
        <w:ind w:firstLine="480" w:firstLineChars="200"/>
        <w:rPr>
          <w:rFonts w:hint="eastAsia" w:ascii="宋体" w:hAnsi="宋体"/>
          <w:sz w:val="24"/>
        </w:rPr>
      </w:pPr>
    </w:p>
    <w:p w14:paraId="0618AADE">
      <w:pPr>
        <w:snapToGrid w:val="0"/>
        <w:spacing w:line="360" w:lineRule="auto"/>
        <w:ind w:firstLine="480" w:firstLineChars="200"/>
        <w:rPr>
          <w:rFonts w:hint="eastAsia" w:ascii="宋体" w:hAnsi="宋体"/>
          <w:sz w:val="24"/>
        </w:rPr>
      </w:pPr>
    </w:p>
    <w:p w14:paraId="6945E796">
      <w:pPr>
        <w:snapToGrid w:val="0"/>
        <w:spacing w:line="360" w:lineRule="auto"/>
        <w:ind w:firstLine="480" w:firstLineChars="200"/>
        <w:rPr>
          <w:rFonts w:hint="eastAsia" w:ascii="宋体" w:hAnsi="宋体"/>
          <w:sz w:val="24"/>
        </w:rPr>
      </w:pPr>
      <w:r>
        <w:rPr>
          <w:rFonts w:hint="eastAsia" w:ascii="宋体" w:hAnsi="宋体"/>
          <w:sz w:val="24"/>
        </w:rPr>
        <w:t>告；（3）开具增值税普通发票。</w:t>
      </w:r>
    </w:p>
    <w:p w14:paraId="349645E9">
      <w:pPr>
        <w:snapToGrid w:val="0"/>
        <w:spacing w:line="360" w:lineRule="auto"/>
        <w:ind w:firstLine="480" w:firstLineChars="200"/>
        <w:rPr>
          <w:rFonts w:hint="eastAsia" w:ascii="宋体" w:hAnsi="宋体"/>
          <w:sz w:val="24"/>
        </w:rPr>
      </w:pPr>
      <w:r>
        <w:rPr>
          <w:rFonts w:hint="eastAsia" w:ascii="宋体" w:hAnsi="宋体"/>
          <w:sz w:val="24"/>
        </w:rPr>
        <w:t>具体步骤：乙方填写《资金支付申请书》、开具抬头为甲方的发票，并送交甲方；甲方填写《验收报告》，乙方凭《资金支付申请书》和《验收报告》由甲方支付货款。</w:t>
      </w:r>
    </w:p>
    <w:p w14:paraId="6BBB86B7">
      <w:pPr>
        <w:snapToGrid w:val="0"/>
        <w:spacing w:line="360" w:lineRule="auto"/>
        <w:ind w:firstLine="480" w:firstLineChars="200"/>
        <w:rPr>
          <w:rFonts w:ascii="宋体" w:hAnsi="宋体"/>
          <w:sz w:val="24"/>
        </w:rPr>
      </w:pPr>
      <w:r>
        <w:rPr>
          <w:rFonts w:hint="eastAsia" w:ascii="宋体" w:hAnsi="宋体"/>
          <w:sz w:val="24"/>
        </w:rPr>
        <w:t>9、乙方帐户信息如下：</w:t>
      </w:r>
    </w:p>
    <w:tbl>
      <w:tblPr>
        <w:tblStyle w:val="2"/>
        <w:tblW w:w="0" w:type="auto"/>
        <w:tblInd w:w="722" w:type="dxa"/>
        <w:tblLayout w:type="fixed"/>
        <w:tblCellMar>
          <w:top w:w="0" w:type="dxa"/>
          <w:left w:w="108" w:type="dxa"/>
          <w:bottom w:w="0" w:type="dxa"/>
          <w:right w:w="108" w:type="dxa"/>
        </w:tblCellMar>
      </w:tblPr>
      <w:tblGrid>
        <w:gridCol w:w="1796"/>
        <w:gridCol w:w="4394"/>
      </w:tblGrid>
      <w:tr w14:paraId="04B77184">
        <w:tblPrEx>
          <w:tblCellMar>
            <w:top w:w="0" w:type="dxa"/>
            <w:left w:w="108" w:type="dxa"/>
            <w:bottom w:w="0" w:type="dxa"/>
            <w:right w:w="108" w:type="dxa"/>
          </w:tblCellMar>
        </w:tblPrEx>
        <w:tc>
          <w:tcPr>
            <w:tcW w:w="1796" w:type="dxa"/>
            <w:noWrap w:val="0"/>
            <w:vAlign w:val="center"/>
          </w:tcPr>
          <w:p w14:paraId="1D6FEC16">
            <w:pPr>
              <w:snapToGrid w:val="0"/>
              <w:spacing w:after="50" w:line="360" w:lineRule="auto"/>
              <w:ind w:left="19" w:hanging="19" w:hangingChars="8"/>
              <w:rPr>
                <w:rFonts w:ascii="宋体" w:hAnsi="宋体"/>
                <w:sz w:val="24"/>
              </w:rPr>
            </w:pPr>
            <w:r>
              <w:rPr>
                <w:rFonts w:hint="eastAsia" w:ascii="宋体" w:hAnsi="宋体"/>
                <w:sz w:val="24"/>
              </w:rPr>
              <w:t>帐户名称：</w:t>
            </w:r>
          </w:p>
        </w:tc>
        <w:tc>
          <w:tcPr>
            <w:tcW w:w="4394" w:type="dxa"/>
            <w:noWrap w:val="0"/>
            <w:vAlign w:val="center"/>
          </w:tcPr>
          <w:p w14:paraId="5336804F">
            <w:pPr>
              <w:snapToGrid w:val="0"/>
              <w:spacing w:after="50" w:line="360" w:lineRule="auto"/>
              <w:rPr>
                <w:rFonts w:ascii="宋体" w:hAnsi="宋体"/>
                <w:sz w:val="24"/>
              </w:rPr>
            </w:pPr>
            <w:r>
              <w:rPr>
                <w:rFonts w:hint="eastAsia" w:ascii="宋体" w:hAnsi="宋体"/>
                <w:sz w:val="24"/>
              </w:rPr>
              <w:t>北京嘉博环球教育科技有限公司</w:t>
            </w:r>
          </w:p>
        </w:tc>
      </w:tr>
      <w:tr w14:paraId="031BB1FE">
        <w:tblPrEx>
          <w:tblCellMar>
            <w:top w:w="0" w:type="dxa"/>
            <w:left w:w="108" w:type="dxa"/>
            <w:bottom w:w="0" w:type="dxa"/>
            <w:right w:w="108" w:type="dxa"/>
          </w:tblCellMar>
        </w:tblPrEx>
        <w:tc>
          <w:tcPr>
            <w:tcW w:w="1796" w:type="dxa"/>
            <w:noWrap w:val="0"/>
            <w:vAlign w:val="center"/>
          </w:tcPr>
          <w:p w14:paraId="2A9B54E9">
            <w:pPr>
              <w:snapToGrid w:val="0"/>
              <w:spacing w:after="50" w:line="360" w:lineRule="auto"/>
              <w:rPr>
                <w:rFonts w:ascii="宋体" w:hAnsi="宋体"/>
                <w:sz w:val="24"/>
              </w:rPr>
            </w:pPr>
            <w:r>
              <w:rPr>
                <w:rFonts w:hint="eastAsia" w:ascii="宋体" w:hAnsi="宋体"/>
                <w:sz w:val="24"/>
              </w:rPr>
              <w:t>开户银行：</w:t>
            </w:r>
          </w:p>
        </w:tc>
        <w:tc>
          <w:tcPr>
            <w:tcW w:w="4394" w:type="dxa"/>
            <w:noWrap w:val="0"/>
            <w:vAlign w:val="center"/>
          </w:tcPr>
          <w:p w14:paraId="44FACA2B">
            <w:pPr>
              <w:snapToGrid w:val="0"/>
              <w:spacing w:after="50" w:line="360" w:lineRule="auto"/>
              <w:rPr>
                <w:rFonts w:ascii="宋体" w:hAnsi="宋体"/>
                <w:sz w:val="24"/>
              </w:rPr>
            </w:pPr>
            <w:r>
              <w:rPr>
                <w:rFonts w:hint="eastAsia" w:ascii="宋体" w:hAnsi="宋体"/>
                <w:sz w:val="24"/>
              </w:rPr>
              <w:t>中国工商银行股份有限公司北京甜水园支行</w:t>
            </w:r>
          </w:p>
        </w:tc>
      </w:tr>
      <w:tr w14:paraId="4833815A">
        <w:tblPrEx>
          <w:tblCellMar>
            <w:top w:w="0" w:type="dxa"/>
            <w:left w:w="108" w:type="dxa"/>
            <w:bottom w:w="0" w:type="dxa"/>
            <w:right w:w="108" w:type="dxa"/>
          </w:tblCellMar>
        </w:tblPrEx>
        <w:tc>
          <w:tcPr>
            <w:tcW w:w="1796" w:type="dxa"/>
            <w:noWrap w:val="0"/>
            <w:vAlign w:val="center"/>
          </w:tcPr>
          <w:p w14:paraId="265CBA73">
            <w:pPr>
              <w:snapToGrid w:val="0"/>
              <w:spacing w:after="50" w:line="360" w:lineRule="auto"/>
              <w:rPr>
                <w:rFonts w:ascii="宋体" w:hAnsi="宋体"/>
                <w:sz w:val="24"/>
              </w:rPr>
            </w:pPr>
            <w:r>
              <w:rPr>
                <w:rFonts w:hint="eastAsia" w:ascii="宋体" w:hAnsi="宋体"/>
                <w:sz w:val="24"/>
              </w:rPr>
              <w:t>银行帐号：</w:t>
            </w:r>
          </w:p>
        </w:tc>
        <w:tc>
          <w:tcPr>
            <w:tcW w:w="4394" w:type="dxa"/>
            <w:noWrap w:val="0"/>
            <w:vAlign w:val="center"/>
          </w:tcPr>
          <w:p w14:paraId="2C6A1501">
            <w:pPr>
              <w:snapToGrid w:val="0"/>
              <w:spacing w:after="50" w:line="360" w:lineRule="auto"/>
              <w:rPr>
                <w:rFonts w:ascii="宋体" w:hAnsi="宋体"/>
                <w:sz w:val="24"/>
              </w:rPr>
            </w:pPr>
            <w:r>
              <w:rPr>
                <w:rFonts w:hint="eastAsia" w:ascii="宋体" w:hAnsi="宋体"/>
                <w:sz w:val="24"/>
              </w:rPr>
              <w:t>0200211609000077961</w:t>
            </w:r>
          </w:p>
        </w:tc>
      </w:tr>
    </w:tbl>
    <w:p w14:paraId="2CCC095D">
      <w:pPr>
        <w:snapToGrid w:val="0"/>
        <w:spacing w:before="312" w:beforeLines="100" w:after="312" w:afterLines="100" w:line="300" w:lineRule="auto"/>
        <w:ind w:firstLine="482" w:firstLineChars="200"/>
        <w:rPr>
          <w:rFonts w:ascii="宋体" w:hAnsi="宋体"/>
          <w:b/>
          <w:sz w:val="24"/>
        </w:rPr>
      </w:pPr>
      <w:r>
        <w:rPr>
          <w:rFonts w:hint="eastAsia" w:ascii="宋体" w:hAnsi="宋体"/>
          <w:b/>
          <w:sz w:val="24"/>
        </w:rPr>
        <w:t>二、甲方的权利与义务</w:t>
      </w:r>
    </w:p>
    <w:p w14:paraId="62FC6E54">
      <w:pPr>
        <w:snapToGrid w:val="0"/>
        <w:spacing w:line="360" w:lineRule="auto"/>
        <w:ind w:firstLine="480" w:firstLineChars="200"/>
        <w:rPr>
          <w:rFonts w:ascii="宋体"/>
          <w:sz w:val="24"/>
        </w:rPr>
      </w:pPr>
      <w:r>
        <w:rPr>
          <w:rFonts w:ascii="宋体" w:hAnsi="宋体"/>
          <w:sz w:val="24"/>
        </w:rPr>
        <w:t>1</w:t>
      </w:r>
      <w:r>
        <w:rPr>
          <w:rFonts w:hint="eastAsia" w:ascii="宋体" w:hAnsi="宋体"/>
          <w:sz w:val="24"/>
        </w:rPr>
        <w:t>、如实提供本单位</w:t>
      </w:r>
      <w:r>
        <w:rPr>
          <w:rFonts w:ascii="宋体" w:hAnsi="宋体"/>
          <w:sz w:val="24"/>
        </w:rPr>
        <w:t>IP</w:t>
      </w:r>
      <w:r>
        <w:rPr>
          <w:rFonts w:hint="eastAsia" w:ascii="宋体" w:hAnsi="宋体"/>
          <w:sz w:val="24"/>
        </w:rPr>
        <w:t>地址范围。</w:t>
      </w:r>
      <w:r>
        <w:rPr>
          <w:rFonts w:ascii="宋体" w:hAnsi="宋体"/>
          <w:sz w:val="24"/>
        </w:rPr>
        <w:t xml:space="preserve"> </w:t>
      </w:r>
    </w:p>
    <w:p w14:paraId="641613A0">
      <w:pPr>
        <w:snapToGrid w:val="0"/>
        <w:spacing w:line="360" w:lineRule="auto"/>
        <w:ind w:firstLine="480" w:firstLineChars="200"/>
        <w:rPr>
          <w:rFonts w:ascii="宋体"/>
          <w:sz w:val="24"/>
          <w:u w:val="single"/>
        </w:rPr>
      </w:pPr>
      <w:r>
        <w:rPr>
          <w:rFonts w:ascii="宋体" w:hAnsi="宋体"/>
          <w:sz w:val="24"/>
        </w:rPr>
        <w:t>2</w:t>
      </w:r>
      <w:r>
        <w:rPr>
          <w:rFonts w:hint="eastAsia" w:ascii="宋体" w:hAnsi="宋体"/>
          <w:sz w:val="24"/>
        </w:rPr>
        <w:t>、甲方人员可在网络上按照本协议所约定</w:t>
      </w:r>
      <w:r>
        <w:rPr>
          <w:rFonts w:ascii="宋体" w:hAnsi="宋体"/>
          <w:sz w:val="24"/>
        </w:rPr>
        <w:t>IP</w:t>
      </w:r>
      <w:r>
        <w:rPr>
          <w:rFonts w:hint="eastAsia" w:ascii="宋体" w:hAnsi="宋体"/>
          <w:sz w:val="24"/>
        </w:rPr>
        <w:t>地址内不限次地使用《环球生物医学数据库》。</w:t>
      </w:r>
    </w:p>
    <w:p w14:paraId="27A573D0">
      <w:pPr>
        <w:snapToGrid w:val="0"/>
        <w:spacing w:line="360" w:lineRule="auto"/>
        <w:ind w:firstLine="480" w:firstLineChars="200"/>
        <w:rPr>
          <w:rFonts w:ascii="宋体"/>
          <w:sz w:val="24"/>
        </w:rPr>
      </w:pPr>
      <w:r>
        <w:rPr>
          <w:rFonts w:ascii="宋体" w:hAnsi="宋体"/>
          <w:sz w:val="24"/>
        </w:rPr>
        <w:t>3</w:t>
      </w:r>
      <w:r>
        <w:rPr>
          <w:rFonts w:hint="eastAsia" w:ascii="宋体" w:hAnsi="宋体"/>
          <w:sz w:val="24"/>
        </w:rPr>
        <w:t>、甲方不得通过任何途径允许任何第三方（包括：任何公司、组织或个人）以任何方式使用《环球生物医学数据库》。如有违反，乙方有权根据甲方允许第三方使用的数量，就每户按本协议项下的收费标准向甲方索赔。</w:t>
      </w:r>
    </w:p>
    <w:p w14:paraId="40A768D3">
      <w:pPr>
        <w:snapToGrid w:val="0"/>
        <w:spacing w:line="360" w:lineRule="auto"/>
        <w:ind w:firstLine="480" w:firstLineChars="200"/>
        <w:rPr>
          <w:rFonts w:ascii="宋体" w:hAnsi="宋体"/>
          <w:sz w:val="24"/>
        </w:rPr>
      </w:pPr>
      <w:r>
        <w:rPr>
          <w:rFonts w:ascii="宋体" w:hAnsi="宋体"/>
          <w:sz w:val="24"/>
        </w:rPr>
        <w:t>4</w:t>
      </w:r>
      <w:r>
        <w:rPr>
          <w:rFonts w:hint="eastAsia" w:ascii="宋体" w:hAnsi="宋体"/>
          <w:sz w:val="24"/>
        </w:rPr>
        <w:t>、本协议的优惠价格只适用于甲方，甲方有义务不向任何第三方泄露此优惠价格。</w:t>
      </w:r>
    </w:p>
    <w:p w14:paraId="76897CC9">
      <w:pPr>
        <w:snapToGrid w:val="0"/>
        <w:spacing w:line="360" w:lineRule="auto"/>
        <w:ind w:firstLine="480" w:firstLineChars="200"/>
        <w:rPr>
          <w:rFonts w:ascii="宋体" w:hAnsi="宋体"/>
          <w:sz w:val="24"/>
        </w:rPr>
      </w:pPr>
      <w:r>
        <w:rPr>
          <w:rFonts w:hint="eastAsia" w:ascii="宋体" w:hAnsi="宋体"/>
          <w:sz w:val="24"/>
        </w:rPr>
        <w:t>5、甲方应按本协议支付货款，如甲方违反本协议，乙方有权终止提供相关服务且解除合同，并要求甲方承担违约赔偿责任。</w:t>
      </w:r>
    </w:p>
    <w:p w14:paraId="457CC4C2">
      <w:pPr>
        <w:snapToGrid w:val="0"/>
        <w:spacing w:before="312" w:beforeLines="100" w:after="312" w:afterLines="100" w:line="300" w:lineRule="auto"/>
        <w:ind w:firstLine="482" w:firstLineChars="200"/>
        <w:rPr>
          <w:rFonts w:ascii="宋体" w:hAnsi="宋体"/>
          <w:b/>
          <w:sz w:val="24"/>
        </w:rPr>
      </w:pPr>
      <w:r>
        <w:rPr>
          <w:rFonts w:hint="eastAsia" w:ascii="宋体" w:hAnsi="宋体"/>
          <w:b/>
          <w:sz w:val="24"/>
        </w:rPr>
        <w:t>三、乙方的权利与义务</w:t>
      </w:r>
    </w:p>
    <w:p w14:paraId="37F01987">
      <w:pPr>
        <w:snapToGrid w:val="0"/>
        <w:spacing w:line="360" w:lineRule="auto"/>
        <w:ind w:firstLine="480" w:firstLineChars="200"/>
        <w:rPr>
          <w:rFonts w:ascii="宋体"/>
          <w:sz w:val="24"/>
        </w:rPr>
      </w:pPr>
      <w:r>
        <w:rPr>
          <w:rFonts w:ascii="宋体" w:hAnsi="宋体"/>
          <w:sz w:val="24"/>
        </w:rPr>
        <w:t>1</w:t>
      </w:r>
      <w:r>
        <w:rPr>
          <w:rFonts w:hint="eastAsia" w:ascii="宋体" w:hAnsi="宋体"/>
          <w:sz w:val="24"/>
        </w:rPr>
        <w:t>、乙方应按照本协议约定为甲方开通相应服务。</w:t>
      </w:r>
      <w:bookmarkStart w:id="0" w:name="_GoBack"/>
      <w:bookmarkEnd w:id="0"/>
    </w:p>
    <w:p w14:paraId="1CCDF0B7">
      <w:pPr>
        <w:snapToGrid w:val="0"/>
        <w:spacing w:line="360" w:lineRule="auto"/>
        <w:ind w:firstLine="480" w:firstLineChars="200"/>
        <w:rPr>
          <w:rFonts w:ascii="宋体"/>
          <w:sz w:val="24"/>
        </w:rPr>
      </w:pPr>
      <w:r>
        <w:rPr>
          <w:rFonts w:ascii="宋体" w:hAnsi="宋体"/>
          <w:sz w:val="24"/>
        </w:rPr>
        <w:t>2</w:t>
      </w:r>
      <w:r>
        <w:rPr>
          <w:rFonts w:hint="eastAsia" w:ascii="宋体" w:hAnsi="宋体"/>
          <w:sz w:val="24"/>
        </w:rPr>
        <w:t>、乙方保证全年不间断为甲方提供《环球生物医学数据库》在线服务。如因乙方系统原因（受不可抗拒影响除外）造成的服务中断，乙方承诺双倍补偿甲方中断服务的时间。</w:t>
      </w:r>
    </w:p>
    <w:p w14:paraId="6C7A9DF3">
      <w:pPr>
        <w:snapToGrid w:val="0"/>
        <w:spacing w:line="360" w:lineRule="auto"/>
        <w:ind w:firstLine="480" w:firstLineChars="200"/>
        <w:rPr>
          <w:rFonts w:ascii="宋体"/>
          <w:sz w:val="24"/>
        </w:rPr>
      </w:pPr>
      <w:r>
        <w:rPr>
          <w:rFonts w:ascii="宋体" w:hAnsi="宋体"/>
          <w:sz w:val="24"/>
        </w:rPr>
        <w:t>3</w:t>
      </w:r>
      <w:r>
        <w:rPr>
          <w:rFonts w:hint="eastAsia" w:ascii="宋体" w:hAnsi="宋体"/>
          <w:sz w:val="24"/>
        </w:rPr>
        <w:t>、乙方有权对甲方使用《环球生物医学数据库》的</w:t>
      </w:r>
      <w:r>
        <w:rPr>
          <w:rFonts w:ascii="宋体" w:hAnsi="宋体"/>
          <w:sz w:val="24"/>
        </w:rPr>
        <w:t>IP</w:t>
      </w:r>
      <w:r>
        <w:rPr>
          <w:rFonts w:hint="eastAsia" w:ascii="宋体" w:hAnsi="宋体"/>
          <w:sz w:val="24"/>
        </w:rPr>
        <w:t>地址范围进行监控。</w:t>
      </w:r>
    </w:p>
    <w:p w14:paraId="6C1E10FB">
      <w:pPr>
        <w:snapToGrid w:val="0"/>
        <w:spacing w:line="360" w:lineRule="auto"/>
        <w:ind w:firstLine="480" w:firstLineChars="200"/>
        <w:rPr>
          <w:rFonts w:ascii="宋体" w:hAnsi="宋体"/>
          <w:sz w:val="24"/>
        </w:rPr>
      </w:pPr>
      <w:r>
        <w:rPr>
          <w:rFonts w:ascii="宋体" w:hAnsi="宋体"/>
          <w:sz w:val="24"/>
        </w:rPr>
        <w:t>4</w:t>
      </w:r>
      <w:r>
        <w:rPr>
          <w:rFonts w:hint="eastAsia" w:ascii="宋体" w:hAnsi="宋体"/>
          <w:sz w:val="24"/>
        </w:rPr>
        <w:t>、乙方及时解决甲方在使用《环球生物医学数据库》所遇到的各种问题。甲方可以根据实际需求，通过电话咨询、邮件咨询等方式来获取相应的服务。乙方承诺在</w:t>
      </w:r>
      <w:r>
        <w:rPr>
          <w:rFonts w:ascii="宋体" w:hAnsi="宋体"/>
          <w:sz w:val="24"/>
        </w:rPr>
        <w:t>3</w:t>
      </w:r>
      <w:r>
        <w:rPr>
          <w:rFonts w:hint="eastAsia" w:ascii="宋体" w:hAnsi="宋体"/>
          <w:sz w:val="24"/>
        </w:rPr>
        <w:t>个工作日内解决问题或对甲方的疑问做出清晰解释。</w:t>
      </w:r>
    </w:p>
    <w:p w14:paraId="21165343">
      <w:pPr>
        <w:snapToGrid w:val="0"/>
        <w:spacing w:line="360" w:lineRule="auto"/>
        <w:ind w:firstLine="480" w:firstLineChars="200"/>
        <w:rPr>
          <w:rFonts w:hint="eastAsia" w:ascii="宋体" w:hAnsi="宋体"/>
          <w:sz w:val="24"/>
        </w:rPr>
      </w:pPr>
      <w:r>
        <w:rPr>
          <w:rFonts w:hint="eastAsia" w:ascii="宋体" w:hAnsi="宋体"/>
          <w:sz w:val="24"/>
        </w:rPr>
        <w:t>5、乙方应按本协议约定按时按量更新数据，如乙方违反本协议，甲方有权终止且解除本合同，并要求乙方承担违约赔偿责任。</w:t>
      </w:r>
    </w:p>
    <w:p w14:paraId="1DEC4F23">
      <w:pPr>
        <w:snapToGrid w:val="0"/>
        <w:spacing w:before="312" w:beforeLines="100" w:after="312" w:afterLines="100" w:line="300" w:lineRule="auto"/>
        <w:ind w:firstLine="482" w:firstLineChars="200"/>
        <w:rPr>
          <w:rFonts w:ascii="宋体" w:hAnsi="宋体"/>
          <w:b/>
          <w:sz w:val="24"/>
        </w:rPr>
      </w:pPr>
      <w:r>
        <w:rPr>
          <w:rFonts w:hint="eastAsia" w:ascii="宋体" w:hAnsi="宋体"/>
          <w:b/>
          <w:sz w:val="24"/>
        </w:rPr>
        <w:t>四、知识产权与保护</w:t>
      </w:r>
    </w:p>
    <w:p w14:paraId="0598186C">
      <w:pPr>
        <w:snapToGrid w:val="0"/>
        <w:spacing w:line="360" w:lineRule="auto"/>
        <w:ind w:firstLine="480" w:firstLineChars="200"/>
        <w:rPr>
          <w:rFonts w:ascii="宋体" w:hAnsi="宋体"/>
          <w:sz w:val="24"/>
        </w:rPr>
      </w:pPr>
      <w:r>
        <w:rPr>
          <w:rFonts w:hint="eastAsia" w:ascii="宋体" w:hAnsi="宋体"/>
          <w:sz w:val="24"/>
        </w:rPr>
        <w:t>1、本协议所包含的《环球生物医学数据库》利用计算机、通信网络等技术，对信息进行生产、收集、处理、加工、检索和利用</w:t>
      </w:r>
      <w:r>
        <w:rPr>
          <w:rFonts w:hint="eastAsia" w:ascii="宋体" w:hAnsi="宋体"/>
          <w:color w:val="000000"/>
          <w:sz w:val="24"/>
        </w:rPr>
        <w:t>，从而提供信息服务、信息系统集成、网络管理等应用。</w:t>
      </w:r>
      <w:r>
        <w:rPr>
          <w:rFonts w:hint="eastAsia" w:ascii="宋体" w:hAnsi="宋体"/>
          <w:sz w:val="24"/>
        </w:rPr>
        <w:t>该系统知识产权归乙方所有，乙方保证其符合中华人民共和国有关知识产权的法律、法规。</w:t>
      </w:r>
    </w:p>
    <w:p w14:paraId="53B232F5">
      <w:pPr>
        <w:snapToGrid w:val="0"/>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甲方应保护和尊重《环球生物医学数据库》的知识产权，不得以任何方式对其进行非法复制、解密、扩散、转让、制作、销售。甲方若违反本协议规定或国家有关法律法规，均将被视为对《环球生物医学数据库》知识产权的侵权，乙方有权立即终止本协议和所有服务，并依法追究甲方的法律责任。</w:t>
      </w:r>
    </w:p>
    <w:p w14:paraId="4F2F5F7B">
      <w:pPr>
        <w:snapToGrid w:val="0"/>
        <w:spacing w:line="360" w:lineRule="auto"/>
        <w:ind w:firstLine="480" w:firstLineChars="200"/>
        <w:rPr>
          <w:rFonts w:hint="eastAsia" w:ascii="宋体" w:hAnsi="宋体"/>
          <w:sz w:val="24"/>
        </w:rPr>
      </w:pPr>
      <w:r>
        <w:rPr>
          <w:rFonts w:hint="eastAsia" w:ascii="宋体" w:hAnsi="宋体"/>
          <w:sz w:val="24"/>
        </w:rPr>
        <w:t>3、乙方承诺出售给甲方的产品已取得著作权人、出版方的同意及认可。乙方出售的产品不会产生著作权或其他知识产权纠纷。如因此发生争议，由此给甲方造成的经济和名誉损失，乙方承担全部责任。</w:t>
      </w:r>
    </w:p>
    <w:p w14:paraId="382C6CC5">
      <w:pPr>
        <w:snapToGrid w:val="0"/>
        <w:spacing w:line="360" w:lineRule="auto"/>
        <w:ind w:firstLine="480" w:firstLineChars="200"/>
        <w:rPr>
          <w:rFonts w:ascii="宋体"/>
          <w:sz w:val="24"/>
        </w:rPr>
      </w:pPr>
      <w:r>
        <w:rPr>
          <w:rFonts w:hint="eastAsia" w:ascii="宋体" w:hAnsi="宋体"/>
          <w:sz w:val="24"/>
        </w:rPr>
        <w:t>4、本协议保护乙方知识产权未尽事宜，按我国有关法律执行。</w:t>
      </w:r>
    </w:p>
    <w:p w14:paraId="14C9DAB6">
      <w:pPr>
        <w:snapToGrid w:val="0"/>
        <w:spacing w:before="312" w:beforeLines="100" w:after="312" w:afterLines="100" w:line="300" w:lineRule="auto"/>
        <w:ind w:firstLine="482" w:firstLineChars="200"/>
        <w:rPr>
          <w:rFonts w:hint="eastAsia" w:ascii="宋体" w:hAnsi="宋体"/>
          <w:b/>
          <w:sz w:val="24"/>
        </w:rPr>
      </w:pPr>
      <w:r>
        <w:rPr>
          <w:rFonts w:hint="eastAsia" w:ascii="宋体" w:hAnsi="宋体"/>
          <w:b/>
          <w:sz w:val="24"/>
        </w:rPr>
        <w:t>五、开通方式</w:t>
      </w:r>
    </w:p>
    <w:p w14:paraId="299FDC16">
      <w:pPr>
        <w:snapToGrid w:val="0"/>
        <w:spacing w:after="156" w:afterLines="50" w:line="360" w:lineRule="auto"/>
        <w:ind w:firstLine="480" w:firstLineChars="200"/>
        <w:rPr>
          <w:rFonts w:hint="eastAsia" w:ascii="宋体"/>
          <w:sz w:val="24"/>
        </w:rPr>
      </w:pPr>
      <w:r>
        <w:rPr>
          <w:rFonts w:hint="eastAsia" w:ascii="宋体"/>
          <w:sz w:val="24"/>
        </w:rPr>
        <w:t>乙方应按本协议第一条第2款约定的开通日期为甲方开通服务，甲方应按本协议第一条第</w:t>
      </w:r>
      <w:r>
        <w:rPr>
          <w:rFonts w:hint="eastAsia" w:ascii="宋体"/>
          <w:color w:val="FF0000"/>
          <w:sz w:val="24"/>
        </w:rPr>
        <w:t>5</w:t>
      </w:r>
      <w:r>
        <w:rPr>
          <w:rFonts w:hint="eastAsia" w:ascii="宋体"/>
          <w:sz w:val="24"/>
        </w:rPr>
        <w:t>款约定的时间及时足额支付全部货款。如果在乙方开通服务之后，甲方未按本协议第一条第</w:t>
      </w:r>
      <w:r>
        <w:rPr>
          <w:rFonts w:hint="eastAsia" w:ascii="宋体"/>
          <w:color w:val="FF0000"/>
          <w:sz w:val="24"/>
        </w:rPr>
        <w:t>5</w:t>
      </w:r>
      <w:r>
        <w:rPr>
          <w:rFonts w:hint="eastAsia" w:ascii="宋体"/>
          <w:sz w:val="24"/>
        </w:rPr>
        <w:t>款约定的时间及时足额支付全部货款且逾期达到或超过3天的，乙方有权自第4天起关闭为甲方开通的服务，并要求甲方就实际使用的天数，参照本协议第一条第1款的报价标准（折算到日），支付使用费。</w:t>
      </w:r>
    </w:p>
    <w:p w14:paraId="2908218F">
      <w:pPr>
        <w:snapToGrid w:val="0"/>
        <w:spacing w:before="312" w:beforeLines="100" w:after="312" w:afterLines="100" w:line="300" w:lineRule="auto"/>
        <w:ind w:firstLine="482" w:firstLineChars="200"/>
        <w:rPr>
          <w:rFonts w:hint="eastAsia" w:ascii="宋体" w:hAnsi="宋体"/>
          <w:b/>
          <w:sz w:val="24"/>
        </w:rPr>
      </w:pPr>
      <w:r>
        <w:rPr>
          <w:rFonts w:hint="eastAsia" w:ascii="宋体" w:hAnsi="宋体"/>
          <w:b/>
          <w:sz w:val="24"/>
        </w:rPr>
        <w:t>六、违约责任</w:t>
      </w:r>
    </w:p>
    <w:p w14:paraId="72E12990">
      <w:pPr>
        <w:snapToGrid w:val="0"/>
        <w:spacing w:after="156" w:afterLines="50" w:line="360" w:lineRule="auto"/>
        <w:ind w:firstLine="480" w:firstLineChars="200"/>
        <w:rPr>
          <w:rFonts w:ascii="宋体"/>
          <w:sz w:val="24"/>
        </w:rPr>
      </w:pPr>
      <w:r>
        <w:rPr>
          <w:rFonts w:ascii="宋体"/>
          <w:sz w:val="24"/>
        </w:rPr>
        <w:t xml:space="preserve">1. </w:t>
      </w:r>
      <w:r>
        <w:rPr>
          <w:rFonts w:hint="eastAsia" w:ascii="宋体"/>
          <w:sz w:val="24"/>
        </w:rPr>
        <w:t>乙方未按合同约定及时交付使用，每逾期一天，赔偿甲方合同额的千分之一作为补偿。</w:t>
      </w:r>
    </w:p>
    <w:p w14:paraId="19656F57">
      <w:pPr>
        <w:snapToGrid w:val="0"/>
        <w:spacing w:after="156" w:afterLines="50" w:line="360" w:lineRule="auto"/>
        <w:ind w:firstLine="480" w:firstLineChars="200"/>
        <w:rPr>
          <w:rFonts w:ascii="宋体"/>
          <w:sz w:val="24"/>
        </w:rPr>
      </w:pPr>
      <w:r>
        <w:rPr>
          <w:rFonts w:ascii="宋体"/>
          <w:sz w:val="24"/>
        </w:rPr>
        <w:t>2.</w:t>
      </w:r>
      <w:r>
        <w:rPr>
          <w:rFonts w:hint="eastAsia" w:ascii="宋体"/>
          <w:sz w:val="24"/>
        </w:rPr>
        <w:t>若由于乙方原因造成甲方不能及时更新信息内容，甲方要以电话或书面形式及时通知乙方，乙方应当在接到甲方通知后及时安排技术人员在五个工作日内予以解决，逾期不予解决的，每影响一天，赔偿甲方合同额的千分之一作为补偿。</w:t>
      </w:r>
    </w:p>
    <w:p w14:paraId="2AC232C3">
      <w:pPr>
        <w:snapToGrid w:val="0"/>
        <w:spacing w:after="156" w:afterLines="50" w:line="360" w:lineRule="auto"/>
        <w:ind w:firstLine="480" w:firstLineChars="200"/>
        <w:rPr>
          <w:rFonts w:hint="eastAsia" w:ascii="宋体"/>
          <w:sz w:val="24"/>
        </w:rPr>
      </w:pPr>
      <w:r>
        <w:rPr>
          <w:rFonts w:ascii="宋体"/>
          <w:sz w:val="24"/>
        </w:rPr>
        <w:t>3.</w:t>
      </w:r>
      <w:r>
        <w:rPr>
          <w:rFonts w:hint="eastAsia" w:ascii="宋体"/>
          <w:sz w:val="24"/>
        </w:rPr>
        <w:t>甲方未按合同约定，违反条款“甲方的权利与义务”时，乙方有权利立即停止服务，并有权责成甲方承担相关的经济法律责任。</w:t>
      </w:r>
    </w:p>
    <w:p w14:paraId="26BB21D9">
      <w:pPr>
        <w:rPr>
          <w:b/>
          <w:bCs/>
        </w:rPr>
      </w:pPr>
      <w:r>
        <w:drawing>
          <wp:inline distT="0" distB="0" distL="114300" distR="114300">
            <wp:extent cx="5273675" cy="7404735"/>
            <wp:effectExtent l="0" t="0" r="317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3675" cy="740473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5E0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2024-11-28T01:44:39Z</dcterms:created>
  <dc:creator>Administrator</dc:creator>
  <cp:lastModifiedBy>郭亚男15137175828</cp:lastModifiedBy>
  <dcterms:modified xsi:type="dcterms:W3CDTF">2024-11-28T01:52:55Z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7936E5E4E9E84B38975F111B5641411B_12</vt:lpwstr>
  </property>
</Properties>
</file>