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4E185">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6050280" cy="8578215"/>
            <wp:effectExtent l="0" t="0" r="635" b="698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6050280" cy="8578215"/>
                    </a:xfrm>
                    <a:prstGeom prst="rect">
                      <a:avLst/>
                    </a:prstGeom>
                    <a:noFill/>
                    <a:ln w="9525">
                      <a:noFill/>
                    </a:ln>
                  </pic:spPr>
                </pic:pic>
              </a:graphicData>
            </a:graphic>
          </wp:inline>
        </w:drawing>
      </w:r>
    </w:p>
    <w:p w14:paraId="71D28E49">
      <w:pPr>
        <w:snapToGrid w:val="0"/>
        <w:spacing w:line="360" w:lineRule="auto"/>
        <w:ind w:firstLine="480" w:firstLineChars="200"/>
        <w:rPr>
          <w:rFonts w:ascii="宋体"/>
          <w:sz w:val="24"/>
        </w:rPr>
      </w:pPr>
      <w:r>
        <w:rPr>
          <w:rFonts w:hint="eastAsia" w:ascii="宋体" w:hAnsi="宋体"/>
          <w:sz w:val="24"/>
        </w:rPr>
        <w:t>按本协议项下的收费标准向甲方索赔。</w:t>
      </w:r>
    </w:p>
    <w:p w14:paraId="2E3ECF84">
      <w:pPr>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、本协议的优惠价格只适用于甲方，甲方有义务不向任何第三方泄露此优惠价格。</w:t>
      </w:r>
    </w:p>
    <w:p w14:paraId="0F1E444A">
      <w:pPr>
        <w:snapToGrid w:val="0"/>
        <w:spacing w:line="360" w:lineRule="auto"/>
        <w:ind w:firstLine="480" w:firstLineChars="200"/>
        <w:rPr>
          <w:rFonts w:hint="eastAsia" w:ascii="宋体" w:hAnsi="宋体"/>
          <w:sz w:val="24"/>
        </w:rPr>
      </w:pPr>
      <w:r>
        <w:rPr>
          <w:rFonts w:hint="eastAsia" w:ascii="宋体" w:hAnsi="宋体"/>
          <w:sz w:val="24"/>
        </w:rPr>
        <w:t>5、甲方应按本协议支付货款，如甲方违反本协议，乙方有权终止提供相关服务且解除合同，并要求甲方承担违约赔偿责任。</w:t>
      </w:r>
    </w:p>
    <w:p w14:paraId="7247936D">
      <w:pPr>
        <w:snapToGrid w:val="0"/>
        <w:spacing w:before="312" w:beforeLines="100" w:after="312" w:afterLines="100" w:line="300" w:lineRule="auto"/>
        <w:ind w:firstLine="482" w:firstLineChars="200"/>
        <w:rPr>
          <w:rFonts w:ascii="宋体" w:hAnsi="宋体"/>
          <w:b/>
          <w:sz w:val="24"/>
        </w:rPr>
      </w:pPr>
      <w:r>
        <w:rPr>
          <w:rFonts w:hint="eastAsia" w:ascii="宋体" w:hAnsi="宋体"/>
          <w:b/>
          <w:sz w:val="24"/>
        </w:rPr>
        <w:t>三、乙方的权利与义务</w:t>
      </w:r>
    </w:p>
    <w:p w14:paraId="3CB86FA9">
      <w:pPr>
        <w:snapToGrid w:val="0"/>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、乙方应按照本协议约定为甲方开通相应服务。</w:t>
      </w:r>
      <w:r>
        <w:rPr>
          <w:rFonts w:hint="eastAsia" w:ascii="宋体" w:hAnsi="宋体"/>
          <w:sz w:val="24"/>
          <w:lang w:val="en-US" w:eastAsia="zh-CN"/>
        </w:rPr>
        <w:t>开通</w:t>
      </w:r>
      <w:r>
        <w:rPr>
          <w:rFonts w:hint="eastAsia" w:ascii="宋体" w:hAnsi="宋体"/>
          <w:sz w:val="24"/>
        </w:rPr>
        <w:t>资源内容包括西医库和中医库，资源数量</w:t>
      </w:r>
      <w:r>
        <w:rPr>
          <w:rFonts w:hint="eastAsia" w:ascii="宋体" w:hAnsi="宋体"/>
          <w:sz w:val="24"/>
          <w:lang w:val="en-US" w:eastAsia="zh-CN"/>
        </w:rPr>
        <w:t>包含</w:t>
      </w:r>
      <w:r>
        <w:rPr>
          <w:rFonts w:hint="eastAsia" w:ascii="宋体" w:hAnsi="宋体"/>
          <w:sz w:val="24"/>
        </w:rPr>
        <w:t>中西医图书6000余册，西医库每年更新图书400本。知识库按图书章、节、知识点进行结构与碎片化处理，拆分文献100万余篇，图表123万余幅。</w:t>
      </w:r>
    </w:p>
    <w:p w14:paraId="4E50666B">
      <w:pPr>
        <w:snapToGrid w:val="0"/>
        <w:spacing w:line="360" w:lineRule="auto"/>
        <w:ind w:firstLine="480" w:firstLineChars="200"/>
        <w:rPr>
          <w:rFonts w:ascii="宋体"/>
          <w:sz w:val="24"/>
        </w:rPr>
      </w:pPr>
      <w:r>
        <w:rPr>
          <w:rFonts w:ascii="宋体" w:hAnsi="宋体"/>
          <w:sz w:val="24"/>
        </w:rPr>
        <w:t>2</w:t>
      </w:r>
      <w:r>
        <w:rPr>
          <w:rFonts w:hint="eastAsia" w:ascii="宋体" w:hAnsi="宋体"/>
          <w:sz w:val="24"/>
        </w:rPr>
        <w:t>、乙方保证全年不间断为甲方提供《</w:t>
      </w:r>
      <w:r>
        <w:rPr>
          <w:rFonts w:hint="eastAsia" w:ascii="宋体" w:hAnsi="宋体"/>
          <w:sz w:val="24"/>
          <w:lang w:eastAsia="zh-CN"/>
        </w:rPr>
        <w:t>人卫临床知识库</w:t>
      </w:r>
      <w:r>
        <w:rPr>
          <w:rFonts w:hint="eastAsia" w:ascii="宋体" w:hAnsi="宋体"/>
          <w:sz w:val="24"/>
        </w:rPr>
        <w:t>》</w:t>
      </w:r>
      <w:bookmarkStart w:id="0" w:name="_GoBack"/>
      <w:bookmarkEnd w:id="0"/>
      <w:r>
        <w:rPr>
          <w:rFonts w:hint="eastAsia" w:ascii="宋体" w:hAnsi="宋体"/>
          <w:sz w:val="24"/>
        </w:rPr>
        <w:t>在线服务。如因乙方系统原因（受不可抗拒影响除外）造成的服务中断，乙方承诺双倍补偿甲方中断服务的时间。</w:t>
      </w:r>
    </w:p>
    <w:p w14:paraId="0ABAEE92">
      <w:pPr>
        <w:snapToGrid w:val="0"/>
        <w:spacing w:line="360" w:lineRule="auto"/>
        <w:ind w:firstLine="480" w:firstLineChars="200"/>
        <w:rPr>
          <w:rFonts w:ascii="宋体"/>
          <w:sz w:val="24"/>
        </w:rPr>
      </w:pPr>
      <w:r>
        <w:rPr>
          <w:rFonts w:ascii="宋体" w:hAnsi="宋体"/>
          <w:sz w:val="24"/>
        </w:rPr>
        <w:t>3</w:t>
      </w:r>
      <w:r>
        <w:rPr>
          <w:rFonts w:hint="eastAsia" w:ascii="宋体" w:hAnsi="宋体"/>
          <w:sz w:val="24"/>
        </w:rPr>
        <w:t>、乙方有权对甲方使用《</w:t>
      </w:r>
      <w:r>
        <w:rPr>
          <w:rFonts w:hint="eastAsia" w:ascii="宋体" w:hAnsi="宋体"/>
          <w:sz w:val="24"/>
          <w:lang w:eastAsia="zh-CN"/>
        </w:rPr>
        <w:t>人卫临床知识库</w:t>
      </w:r>
      <w:r>
        <w:rPr>
          <w:rFonts w:hint="eastAsia" w:ascii="宋体" w:hAnsi="宋体"/>
          <w:sz w:val="24"/>
        </w:rPr>
        <w:t>》的</w:t>
      </w:r>
      <w:r>
        <w:rPr>
          <w:rFonts w:ascii="宋体" w:hAnsi="宋体"/>
          <w:sz w:val="24"/>
        </w:rPr>
        <w:t>IP</w:t>
      </w:r>
      <w:r>
        <w:rPr>
          <w:rFonts w:hint="eastAsia" w:ascii="宋体" w:hAnsi="宋体"/>
          <w:sz w:val="24"/>
        </w:rPr>
        <w:t>地址范围进行监控。</w:t>
      </w:r>
    </w:p>
    <w:p w14:paraId="7CD1B3EE">
      <w:pPr>
        <w:snapToGrid w:val="0"/>
        <w:spacing w:line="360" w:lineRule="auto"/>
        <w:ind w:firstLine="480" w:firstLineChars="200"/>
        <w:rPr>
          <w:rFonts w:ascii="宋体" w:hAnsi="宋体"/>
          <w:sz w:val="24"/>
        </w:rPr>
      </w:pPr>
      <w:r>
        <w:rPr>
          <w:rFonts w:ascii="宋体" w:hAnsi="宋体"/>
          <w:sz w:val="24"/>
        </w:rPr>
        <w:t>4</w:t>
      </w:r>
      <w:r>
        <w:rPr>
          <w:rFonts w:hint="eastAsia" w:ascii="宋体" w:hAnsi="宋体"/>
          <w:sz w:val="24"/>
        </w:rPr>
        <w:t>、乙方及时解决甲方在使用《</w:t>
      </w:r>
      <w:r>
        <w:rPr>
          <w:rFonts w:hint="eastAsia" w:ascii="宋体" w:hAnsi="宋体"/>
          <w:sz w:val="24"/>
          <w:lang w:eastAsia="zh-CN"/>
        </w:rPr>
        <w:t>人卫临床知识库</w:t>
      </w:r>
      <w:r>
        <w:rPr>
          <w:rFonts w:hint="eastAsia" w:ascii="宋体" w:hAnsi="宋体"/>
          <w:sz w:val="24"/>
        </w:rPr>
        <w:t>》所遇到的各种问题。甲方可以根据实际需求，通过电话咨询、邮件咨询等方式来获取相应的服务。乙方承诺在</w:t>
      </w:r>
      <w:r>
        <w:rPr>
          <w:rFonts w:ascii="宋体" w:hAnsi="宋体"/>
          <w:sz w:val="24"/>
        </w:rPr>
        <w:t>3</w:t>
      </w:r>
      <w:r>
        <w:rPr>
          <w:rFonts w:hint="eastAsia" w:ascii="宋体" w:hAnsi="宋体"/>
          <w:sz w:val="24"/>
        </w:rPr>
        <w:t>个工作日内解决问题或对甲方的疑问做出清晰解释。</w:t>
      </w:r>
    </w:p>
    <w:p w14:paraId="41E79CB6">
      <w:pPr>
        <w:snapToGrid w:val="0"/>
        <w:spacing w:line="360" w:lineRule="auto"/>
        <w:ind w:firstLine="480" w:firstLineChars="200"/>
        <w:rPr>
          <w:rFonts w:hint="eastAsia" w:ascii="宋体" w:hAnsi="宋体"/>
          <w:sz w:val="24"/>
        </w:rPr>
      </w:pPr>
      <w:r>
        <w:rPr>
          <w:rFonts w:hint="eastAsia" w:ascii="宋体" w:hAnsi="宋体"/>
          <w:sz w:val="24"/>
        </w:rPr>
        <w:t>5、乙方应按本协议约定按时按量更新数据，如乙方违反本协议，甲方有权终止且解除本合同，并要求乙方承担违约赔偿责任。</w:t>
      </w:r>
    </w:p>
    <w:p w14:paraId="3870948D">
      <w:pPr>
        <w:snapToGrid w:val="0"/>
        <w:spacing w:before="312" w:beforeLines="100" w:after="312" w:afterLines="100" w:line="300" w:lineRule="auto"/>
        <w:ind w:firstLine="482" w:firstLineChars="200"/>
        <w:rPr>
          <w:rFonts w:ascii="宋体" w:hAnsi="宋体"/>
          <w:b/>
          <w:sz w:val="24"/>
        </w:rPr>
      </w:pPr>
      <w:r>
        <w:rPr>
          <w:rFonts w:hint="eastAsia" w:ascii="宋体" w:hAnsi="宋体"/>
          <w:b/>
          <w:sz w:val="24"/>
        </w:rPr>
        <w:t>四、知识产权与保护</w:t>
      </w:r>
    </w:p>
    <w:p w14:paraId="49A706AB">
      <w:pPr>
        <w:snapToGrid w:val="0"/>
        <w:spacing w:line="360" w:lineRule="auto"/>
        <w:ind w:firstLine="480" w:firstLineChars="200"/>
        <w:rPr>
          <w:rFonts w:ascii="宋体" w:hAnsi="宋体"/>
          <w:sz w:val="24"/>
        </w:rPr>
      </w:pPr>
      <w:r>
        <w:rPr>
          <w:rFonts w:hint="eastAsia" w:ascii="宋体" w:hAnsi="宋体"/>
          <w:sz w:val="24"/>
        </w:rPr>
        <w:t>1、本协议所包含的《</w:t>
      </w:r>
      <w:r>
        <w:rPr>
          <w:rFonts w:hint="eastAsia" w:ascii="宋体" w:hAnsi="宋体"/>
          <w:sz w:val="24"/>
          <w:lang w:eastAsia="zh-CN"/>
        </w:rPr>
        <w:t>人卫临床知识库</w:t>
      </w:r>
      <w:r>
        <w:rPr>
          <w:rFonts w:hint="eastAsia" w:ascii="宋体" w:hAnsi="宋体"/>
          <w:sz w:val="24"/>
        </w:rPr>
        <w:t>》</w:t>
      </w:r>
      <w:r>
        <w:rPr>
          <w:rFonts w:hint="eastAsia" w:ascii="宋体" w:hAnsi="宋体"/>
          <w:sz w:val="24"/>
          <w:lang w:eastAsia="zh-CN"/>
        </w:rPr>
        <w:t>，</w:t>
      </w:r>
      <w:r>
        <w:rPr>
          <w:rFonts w:hint="eastAsia" w:ascii="宋体" w:hAnsi="宋体"/>
          <w:sz w:val="24"/>
        </w:rPr>
        <w:t>知识产权归乙方所有，乙方保证其符合中华人民共和国有关知识产权的法律、法规。</w:t>
      </w:r>
    </w:p>
    <w:p w14:paraId="4E01C6FB">
      <w:pPr>
        <w:snapToGrid w:val="0"/>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、甲方应保护和尊重《</w:t>
      </w:r>
      <w:r>
        <w:rPr>
          <w:rFonts w:hint="eastAsia" w:ascii="宋体" w:hAnsi="宋体"/>
          <w:sz w:val="24"/>
          <w:lang w:eastAsia="zh-CN"/>
        </w:rPr>
        <w:t>人卫临床知识库</w:t>
      </w:r>
      <w:r>
        <w:rPr>
          <w:rFonts w:hint="eastAsia" w:ascii="宋体" w:hAnsi="宋体"/>
          <w:sz w:val="24"/>
        </w:rPr>
        <w:t>》的知识产权，不得以任何方式对其进行非法复制、解密、扩散、转让、制作、销售。甲方若违反本协议规定或国家有关法律法规，均将被视为对《</w:t>
      </w:r>
      <w:r>
        <w:rPr>
          <w:rFonts w:hint="eastAsia" w:ascii="宋体" w:hAnsi="宋体"/>
          <w:sz w:val="24"/>
          <w:lang w:eastAsia="zh-CN"/>
        </w:rPr>
        <w:t>人卫临床知识库</w:t>
      </w:r>
      <w:r>
        <w:rPr>
          <w:rFonts w:hint="eastAsia" w:ascii="宋体" w:hAnsi="宋体"/>
          <w:sz w:val="24"/>
        </w:rPr>
        <w:t>》知识产权的侵权，乙方有权立即终止本协议和所有服务，并依法追究甲方的法律责任。</w:t>
      </w:r>
    </w:p>
    <w:p w14:paraId="0D8559ED">
      <w:pPr>
        <w:snapToGrid w:val="0"/>
        <w:spacing w:line="360" w:lineRule="auto"/>
        <w:ind w:firstLine="480" w:firstLineChars="200"/>
        <w:rPr>
          <w:rFonts w:hint="eastAsia" w:ascii="宋体" w:hAnsi="宋体"/>
          <w:sz w:val="24"/>
        </w:rPr>
      </w:pPr>
      <w:r>
        <w:rPr>
          <w:rFonts w:hint="eastAsia" w:ascii="宋体" w:hAnsi="宋体"/>
          <w:sz w:val="24"/>
        </w:rPr>
        <w:t>3、乙方承诺出售给甲方的产品已取得著作权人、出版方的同意及认可。乙方出售的产品不会产生著作权或其他知识产权纠纷。如因此发生争议， 由此给甲方造成的经济和名誉损失，乙方承担全部责任。</w:t>
      </w:r>
    </w:p>
    <w:p w14:paraId="06705DD3">
      <w:pPr>
        <w:snapToGrid w:val="0"/>
        <w:spacing w:line="360" w:lineRule="auto"/>
        <w:ind w:firstLine="480" w:firstLineChars="200"/>
        <w:rPr>
          <w:rFonts w:ascii="宋体"/>
          <w:sz w:val="24"/>
        </w:rPr>
      </w:pPr>
      <w:r>
        <w:rPr>
          <w:rFonts w:hint="eastAsia" w:ascii="宋体" w:hAnsi="宋体"/>
          <w:sz w:val="24"/>
        </w:rPr>
        <w:t>4、本协议保护乙方知识产权未尽事宜，按我国有关法律执行。</w:t>
      </w:r>
    </w:p>
    <w:p w14:paraId="20E04A74">
      <w:pPr>
        <w:snapToGrid w:val="0"/>
        <w:spacing w:before="312" w:beforeLines="100" w:after="312" w:afterLines="100" w:line="300" w:lineRule="auto"/>
        <w:ind w:firstLine="482" w:firstLineChars="200"/>
        <w:rPr>
          <w:rFonts w:hint="eastAsia" w:ascii="宋体" w:hAnsi="宋体"/>
          <w:b/>
          <w:sz w:val="24"/>
        </w:rPr>
      </w:pPr>
      <w:r>
        <w:rPr>
          <w:rFonts w:hint="eastAsia" w:ascii="宋体" w:hAnsi="宋体"/>
          <w:b/>
          <w:sz w:val="24"/>
        </w:rPr>
        <w:t>五、开通方式</w:t>
      </w:r>
    </w:p>
    <w:p w14:paraId="58E31DF4">
      <w:pPr>
        <w:snapToGrid w:val="0"/>
        <w:spacing w:after="156" w:afterLines="50" w:line="360" w:lineRule="auto"/>
        <w:ind w:firstLine="480" w:firstLineChars="200"/>
        <w:rPr>
          <w:rFonts w:hint="eastAsia" w:ascii="宋体"/>
          <w:sz w:val="24"/>
        </w:rPr>
      </w:pPr>
      <w:r>
        <w:rPr>
          <w:rFonts w:hint="eastAsia" w:ascii="宋体"/>
          <w:sz w:val="24"/>
        </w:rPr>
        <w:t>乙方应按本协议第一条第2款约定的开通日期为甲方开通服务，甲方应按本协议第一条第4款约定的时间及时足额支付全部货款。如果在乙方开通服务之后，甲方未按本协议第一条第4款约定的时间及时足额支付全部货款且逾期达到或超过3天的，乙方有权自第4天起关闭为甲方开通的服务，并要求甲方就实际使用的天数，参照本协议第一条第1款的报价标准（折算到日），支付使用费。</w:t>
      </w:r>
    </w:p>
    <w:p w14:paraId="122E8837">
      <w:pPr>
        <w:snapToGrid w:val="0"/>
        <w:spacing w:before="312" w:beforeLines="100" w:after="312" w:afterLines="100" w:line="300" w:lineRule="auto"/>
        <w:ind w:firstLine="482" w:firstLineChars="200"/>
        <w:rPr>
          <w:rFonts w:hint="eastAsia" w:ascii="宋体" w:hAnsi="宋体"/>
          <w:b/>
          <w:sz w:val="24"/>
        </w:rPr>
      </w:pPr>
      <w:r>
        <w:rPr>
          <w:rFonts w:hint="eastAsia" w:ascii="宋体" w:hAnsi="宋体"/>
          <w:b/>
          <w:sz w:val="24"/>
        </w:rPr>
        <w:t>六、违约责任</w:t>
      </w:r>
    </w:p>
    <w:p w14:paraId="5254081B">
      <w:pPr>
        <w:snapToGrid w:val="0"/>
        <w:spacing w:after="156" w:afterLines="50" w:line="360" w:lineRule="auto"/>
        <w:ind w:firstLine="480" w:firstLineChars="200"/>
        <w:rPr>
          <w:rFonts w:ascii="宋体"/>
          <w:sz w:val="24"/>
        </w:rPr>
      </w:pPr>
      <w:r>
        <w:rPr>
          <w:rFonts w:ascii="宋体"/>
          <w:sz w:val="24"/>
        </w:rPr>
        <w:t xml:space="preserve">1. </w:t>
      </w:r>
      <w:r>
        <w:rPr>
          <w:rFonts w:hint="eastAsia" w:ascii="宋体"/>
          <w:sz w:val="24"/>
        </w:rPr>
        <w:t>乙方未按合同约定及时交付使用，每逾期一天，赔偿甲方合同额的千分之一作为补偿。</w:t>
      </w:r>
    </w:p>
    <w:p w14:paraId="679876F5">
      <w:pPr>
        <w:snapToGrid w:val="0"/>
        <w:spacing w:after="156" w:afterLines="50" w:line="360" w:lineRule="auto"/>
        <w:ind w:firstLine="480" w:firstLineChars="200"/>
        <w:rPr>
          <w:rFonts w:ascii="宋体"/>
          <w:sz w:val="24"/>
        </w:rPr>
      </w:pPr>
      <w:r>
        <w:rPr>
          <w:rFonts w:ascii="宋体"/>
          <w:sz w:val="24"/>
        </w:rPr>
        <w:t>2.</w:t>
      </w:r>
      <w:r>
        <w:rPr>
          <w:rFonts w:hint="eastAsia" w:ascii="宋体"/>
          <w:sz w:val="24"/>
        </w:rPr>
        <w:t>若由于乙方原因造成甲方不能及时更新信息内容，甲方要以电话或书面形式及时通知乙方，乙方应当在接到甲方通知后及时安排技术人员在五个工作日内予以解决，逾期不予解决的，每影响一天，赔偿甲方合同额的千分之一作为补偿。</w:t>
      </w:r>
    </w:p>
    <w:p w14:paraId="57379505">
      <w:pPr>
        <w:snapToGrid w:val="0"/>
        <w:spacing w:after="156" w:afterLines="50" w:line="360" w:lineRule="auto"/>
        <w:ind w:firstLine="480" w:firstLineChars="200"/>
        <w:rPr>
          <w:rFonts w:hint="eastAsia" w:ascii="宋体"/>
          <w:sz w:val="24"/>
        </w:rPr>
      </w:pPr>
      <w:r>
        <w:rPr>
          <w:rFonts w:ascii="宋体"/>
          <w:sz w:val="24"/>
        </w:rPr>
        <w:t>3.</w:t>
      </w:r>
      <w:r>
        <w:rPr>
          <w:rFonts w:hint="eastAsia" w:ascii="宋体"/>
          <w:sz w:val="24"/>
        </w:rPr>
        <w:t>甲方未按合同约定，违反条款“甲方的权利与义务”时，乙方有权利立即停止服务，并有权责成甲方承担相关的经济法律责任。</w:t>
      </w:r>
    </w:p>
    <w:p w14:paraId="6039C49B">
      <w:pPr>
        <w:snapToGrid w:val="0"/>
        <w:spacing w:before="312" w:beforeLines="100" w:after="312" w:afterLines="100" w:line="300" w:lineRule="auto"/>
        <w:ind w:firstLine="482" w:firstLineChars="200"/>
        <w:rPr>
          <w:rFonts w:hint="eastAsia" w:ascii="宋体" w:hAnsi="宋体"/>
          <w:b/>
          <w:sz w:val="24"/>
        </w:rPr>
      </w:pPr>
      <w:r>
        <w:rPr>
          <w:rFonts w:hint="eastAsia" w:ascii="宋体" w:hAnsi="宋体"/>
          <w:b/>
          <w:sz w:val="24"/>
        </w:rPr>
        <w:t>七、争议解决条款</w:t>
      </w:r>
    </w:p>
    <w:p w14:paraId="2BE41A88">
      <w:pPr>
        <w:snapToGrid w:val="0"/>
        <w:spacing w:after="156" w:afterLines="50" w:line="360" w:lineRule="auto"/>
        <w:ind w:firstLine="480" w:firstLineChars="200"/>
        <w:rPr>
          <w:rFonts w:ascii="宋体"/>
          <w:sz w:val="24"/>
        </w:rPr>
      </w:pPr>
      <w:r>
        <w:rPr>
          <w:rFonts w:ascii="宋体"/>
          <w:sz w:val="24"/>
        </w:rPr>
        <w:t>1.</w:t>
      </w:r>
      <w:r>
        <w:rPr>
          <w:rFonts w:hint="eastAsia" w:ascii="宋体"/>
          <w:sz w:val="24"/>
        </w:rPr>
        <w:t>本合同未尽事宜，由甲乙双方协商解决，协商成功后签订本合同的补充合同，经双方确认签字盖章后生效，与本合同有同等的法律效力。</w:t>
      </w:r>
    </w:p>
    <w:p w14:paraId="0994C6FB">
      <w:pPr>
        <w:snapToGrid w:val="0"/>
        <w:spacing w:after="156" w:afterLines="50" w:line="360" w:lineRule="auto"/>
        <w:ind w:firstLine="480" w:firstLineChars="200"/>
        <w:rPr>
          <w:rFonts w:ascii="宋体"/>
          <w:sz w:val="24"/>
        </w:rPr>
      </w:pPr>
      <w:r>
        <w:rPr>
          <w:rFonts w:hint="eastAsia" w:ascii="宋体"/>
          <w:sz w:val="24"/>
        </w:rPr>
        <w:t>2.本合同执行过程中遇到的争议，甲乙双方应本着友好协商的原则协商解决，协商不成的，双方一致同意提交由乙方所在地有管辖权的人民法院诉讼解决。</w:t>
      </w:r>
    </w:p>
    <w:p w14:paraId="2B5FB71A">
      <w:pPr>
        <w:snapToGrid w:val="0"/>
        <w:spacing w:after="156" w:afterLines="50" w:line="360" w:lineRule="auto"/>
        <w:ind w:firstLine="480" w:firstLineChars="200"/>
        <w:rPr>
          <w:rFonts w:ascii="宋体"/>
          <w:sz w:val="24"/>
        </w:rPr>
      </w:pPr>
      <w:r>
        <w:rPr>
          <w:rFonts w:ascii="宋体"/>
          <w:sz w:val="24"/>
        </w:rPr>
        <w:t>3.</w:t>
      </w:r>
      <w:r>
        <w:rPr>
          <w:rFonts w:hint="eastAsia" w:ascii="宋体"/>
          <w:sz w:val="24"/>
        </w:rPr>
        <w:t>争议解决期间，除正在解决的争议部分外，双方应继续执行合同的其余部分。</w:t>
      </w:r>
    </w:p>
    <w:p w14:paraId="44D47E14">
      <w:pPr>
        <w:snapToGrid w:val="0"/>
        <w:spacing w:before="312" w:beforeLines="100" w:after="312" w:afterLines="100" w:line="300" w:lineRule="auto"/>
        <w:ind w:firstLine="482" w:firstLineChars="200"/>
        <w:rPr>
          <w:rFonts w:hint="eastAsia" w:ascii="宋体" w:hAnsi="宋体"/>
          <w:b/>
          <w:sz w:val="24"/>
        </w:rPr>
      </w:pPr>
      <w:r>
        <w:rPr>
          <w:rFonts w:hint="eastAsia" w:ascii="宋体" w:hAnsi="宋体"/>
          <w:b/>
          <w:sz w:val="24"/>
        </w:rPr>
        <w:t>八、生效</w:t>
      </w:r>
    </w:p>
    <w:p w14:paraId="3490DD88">
      <w:pPr>
        <w:snapToGrid w:val="0"/>
        <w:spacing w:after="156" w:afterLines="50" w:line="300" w:lineRule="auto"/>
        <w:ind w:firstLine="480" w:firstLineChars="200"/>
        <w:rPr>
          <w:rFonts w:ascii="宋体"/>
          <w:sz w:val="24"/>
        </w:rPr>
      </w:pPr>
      <w:r>
        <w:rPr>
          <w:rFonts w:hint="eastAsia" w:ascii="宋体" w:hAnsi="宋体"/>
          <w:sz w:val="24"/>
        </w:rPr>
        <w:t>本协议一式</w:t>
      </w:r>
      <w:r>
        <w:rPr>
          <w:rFonts w:hint="eastAsia" w:ascii="宋体" w:hAnsi="宋体"/>
          <w:sz w:val="24"/>
          <w:u w:val="single"/>
        </w:rPr>
        <w:t>陆</w:t>
      </w:r>
      <w:r>
        <w:rPr>
          <w:rFonts w:hint="eastAsia" w:ascii="宋体" w:hAnsi="宋体"/>
          <w:sz w:val="24"/>
        </w:rPr>
        <w:t>份，甲方持</w:t>
      </w:r>
      <w:r>
        <w:rPr>
          <w:rFonts w:hint="eastAsia" w:ascii="宋体" w:hAnsi="宋体"/>
          <w:sz w:val="24"/>
          <w:u w:val="single"/>
        </w:rPr>
        <w:t>肆</w:t>
      </w:r>
      <w:r>
        <w:rPr>
          <w:rFonts w:hint="eastAsia" w:ascii="宋体" w:hAnsi="宋体"/>
          <w:sz w:val="24"/>
        </w:rPr>
        <w:t>份，乙方持</w:t>
      </w:r>
      <w:r>
        <w:rPr>
          <w:rFonts w:hint="eastAsia" w:ascii="宋体" w:hAnsi="宋体"/>
          <w:sz w:val="24"/>
          <w:u w:val="single"/>
        </w:rPr>
        <w:t>贰</w:t>
      </w:r>
      <w:r>
        <w:rPr>
          <w:rFonts w:hint="eastAsia" w:ascii="宋体" w:hAnsi="宋体"/>
          <w:sz w:val="24"/>
        </w:rPr>
        <w:t>份，具有同等法律效力。</w:t>
      </w:r>
    </w:p>
    <w:p w14:paraId="093AB1AB">
      <w:pPr>
        <w:snapToGrid w:val="0"/>
        <w:spacing w:after="156" w:afterLines="50" w:line="300" w:lineRule="auto"/>
        <w:ind w:firstLine="480" w:firstLineChars="200"/>
        <w:rPr>
          <w:rFonts w:hint="eastAsia" w:ascii="宋体" w:hAnsi="宋体"/>
          <w:sz w:val="24"/>
        </w:rPr>
      </w:pPr>
      <w:r>
        <w:rPr>
          <w:rFonts w:hint="eastAsia" w:ascii="宋体" w:hAnsi="宋体"/>
          <w:sz w:val="24"/>
        </w:rPr>
        <w:t>本协议自甲、乙双方盖章之日起生效。</w:t>
      </w:r>
    </w:p>
    <w:p w14:paraId="7ADDA20A">
      <w:pPr>
        <w:snapToGrid w:val="0"/>
        <w:spacing w:after="156" w:afterLines="50" w:line="300" w:lineRule="auto"/>
        <w:ind w:firstLine="480" w:firstLineChars="200"/>
        <w:rPr>
          <w:rFonts w:hint="eastAsia" w:ascii="宋体" w:hAnsi="宋体"/>
          <w:sz w:val="24"/>
        </w:rPr>
      </w:pPr>
      <w:r>
        <w:rPr>
          <w:rFonts w:hint="eastAsia" w:ascii="宋体" w:hAnsi="宋体"/>
          <w:sz w:val="24"/>
        </w:rPr>
        <w:t>(以下为双方签字确认页)</w:t>
      </w:r>
    </w:p>
    <w:p w14:paraId="54B2EFA8">
      <w:pPr>
        <w:numPr>
          <w:ilvl w:val="0"/>
          <w:numId w:val="0"/>
        </w:numPr>
        <w:jc w:val="both"/>
        <w:rPr>
          <w:rFonts w:ascii="宋体" w:hAnsi="宋体" w:eastAsia="宋体" w:cs="宋体"/>
          <w:sz w:val="24"/>
          <w:szCs w:val="24"/>
        </w:rPr>
      </w:pPr>
      <w:r>
        <w:rPr>
          <w:rFonts w:ascii="宋体" w:hAnsi="宋体" w:eastAsia="宋体" w:cs="宋体"/>
          <w:sz w:val="24"/>
          <w:szCs w:val="24"/>
        </w:rPr>
        <w:drawing>
          <wp:inline distT="0" distB="0" distL="114300" distR="114300">
            <wp:extent cx="6111240" cy="8663940"/>
            <wp:effectExtent l="0" t="0" r="5715"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6111240" cy="8663940"/>
                    </a:xfrm>
                    <a:prstGeom prst="rect">
                      <a:avLst/>
                    </a:prstGeom>
                    <a:noFill/>
                    <a:ln w="9525">
                      <a:noFill/>
                    </a:ln>
                  </pic:spPr>
                </pic:pic>
              </a:graphicData>
            </a:graphic>
          </wp:inline>
        </w:drawing>
      </w:r>
    </w:p>
    <w:p w14:paraId="025FF685">
      <w:pPr>
        <w:spacing w:line="360" w:lineRule="auto"/>
        <w:rPr>
          <w:rFonts w:hint="eastAsia" w:ascii="宋体" w:hAnsi="宋体"/>
          <w:b/>
          <w:sz w:val="24"/>
        </w:rPr>
      </w:pPr>
      <w:r>
        <w:rPr>
          <w:rFonts w:hint="eastAsia" w:ascii="宋体" w:hAnsi="宋体"/>
          <w:b/>
          <w:sz w:val="24"/>
        </w:rPr>
        <w:t>附件1：（成交通知书）</w:t>
      </w:r>
    </w:p>
    <w:p w14:paraId="616D6667">
      <w:pPr>
        <w:spacing w:line="360" w:lineRule="auto"/>
        <w:rPr>
          <w:rFonts w:hint="eastAsia" w:ascii="宋体" w:hAnsi="宋体" w:eastAsia="宋体"/>
          <w:b/>
          <w:sz w:val="24"/>
          <w:lang w:eastAsia="zh-CN"/>
        </w:rPr>
      </w:pPr>
      <w:r>
        <w:rPr>
          <w:rFonts w:hint="eastAsia" w:ascii="宋体" w:hAnsi="宋体" w:eastAsia="宋体"/>
          <w:b/>
          <w:sz w:val="24"/>
          <w:lang w:eastAsia="zh-CN"/>
        </w:rPr>
        <w:drawing>
          <wp:inline distT="0" distB="0" distL="114300" distR="114300">
            <wp:extent cx="6040755" cy="8117205"/>
            <wp:effectExtent l="0" t="0" r="1905" b="5715"/>
            <wp:docPr id="4" name="图片 4" descr="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_00"/>
                    <pic:cNvPicPr>
                      <a:picLocks noChangeAspect="1"/>
                    </pic:cNvPicPr>
                  </pic:nvPicPr>
                  <pic:blipFill>
                    <a:blip r:embed="rId6"/>
                    <a:stretch>
                      <a:fillRect/>
                    </a:stretch>
                  </pic:blipFill>
                  <pic:spPr>
                    <a:xfrm>
                      <a:off x="0" y="0"/>
                      <a:ext cx="6040755" cy="8117205"/>
                    </a:xfrm>
                    <a:prstGeom prst="rect">
                      <a:avLst/>
                    </a:prstGeom>
                    <a:noFill/>
                    <a:ln>
                      <a:noFill/>
                    </a:ln>
                  </pic:spPr>
                </pic:pic>
              </a:graphicData>
            </a:graphic>
          </wp:inline>
        </w:drawing>
      </w:r>
    </w:p>
    <w:p w14:paraId="48C92645">
      <w:pPr>
        <w:spacing w:line="360" w:lineRule="auto"/>
        <w:rPr>
          <w:rFonts w:hint="eastAsia" w:ascii="宋体" w:hAnsi="宋体" w:eastAsia="宋体"/>
          <w:b/>
          <w:sz w:val="24"/>
          <w:lang w:eastAsia="zh-CN"/>
        </w:rPr>
      </w:pPr>
    </w:p>
    <w:p w14:paraId="61D1262E">
      <w:r>
        <w:rPr>
          <w:rFonts w:hint="eastAsia" w:ascii="宋体" w:hAnsi="宋体" w:eastAsia="宋体"/>
          <w:b/>
          <w:sz w:val="24"/>
          <w:lang w:eastAsia="zh-CN"/>
        </w:rPr>
        <w:drawing>
          <wp:inline distT="0" distB="0" distL="114300" distR="114300">
            <wp:extent cx="6043930" cy="8581390"/>
            <wp:effectExtent l="0" t="0" r="6985" b="3810"/>
            <wp:docPr id="5" name="图片 5" descr="2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_01(1)"/>
                    <pic:cNvPicPr>
                      <a:picLocks noChangeAspect="1"/>
                    </pic:cNvPicPr>
                  </pic:nvPicPr>
                  <pic:blipFill>
                    <a:blip r:embed="rId7"/>
                    <a:stretch>
                      <a:fillRect/>
                    </a:stretch>
                  </pic:blipFill>
                  <pic:spPr>
                    <a:xfrm>
                      <a:off x="0" y="0"/>
                      <a:ext cx="6043930" cy="8581390"/>
                    </a:xfrm>
                    <a:prstGeom prst="rect">
                      <a:avLst/>
                    </a:prstGeom>
                    <a:noFill/>
                    <a:ln>
                      <a:noFill/>
                    </a:ln>
                  </pic:spPr>
                </pic:pic>
              </a:graphicData>
            </a:graphic>
          </wp:inline>
        </w:drawing>
      </w: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F4CC0"/>
    <w:rsid w:val="09BF4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2024-11-28T01:27:00Z</dcterms:created>
  <dc:creator>金龙</dc:creator>
  <cp:lastModifiedBy>金龙</cp:lastModifiedBy>
  <dcterms:modified xsi:type="dcterms:W3CDTF">2024-11-28T01:28:43Z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C41DECEF5BCC4592B4CDB6CC9461934F_11</vt:lpwstr>
  </property>
</Properties>
</file>