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C626C">
      <w:pPr>
        <w:spacing w:line="480" w:lineRule="auto"/>
      </w:pPr>
      <w:r>
        <w:drawing>
          <wp:anchor distT="0" distB="0" distL="114300" distR="114300" simplePos="0" relativeHeight="251659264" behindDoc="0" locked="0" layoutInCell="1" allowOverlap="1">
            <wp:simplePos x="0" y="0"/>
            <wp:positionH relativeFrom="column">
              <wp:posOffset>-400050</wp:posOffset>
            </wp:positionH>
            <wp:positionV relativeFrom="paragraph">
              <wp:posOffset>251460</wp:posOffset>
            </wp:positionV>
            <wp:extent cx="5878830" cy="8315960"/>
            <wp:effectExtent l="0" t="0" r="762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878830" cy="8315960"/>
                    </a:xfrm>
                    <a:prstGeom prst="rect">
                      <a:avLst/>
                    </a:prstGeom>
                    <a:noFill/>
                    <a:ln>
                      <a:noFill/>
                    </a:ln>
                  </pic:spPr>
                </pic:pic>
              </a:graphicData>
            </a:graphic>
          </wp:anchor>
        </w:drawing>
      </w:r>
    </w:p>
    <w:p w14:paraId="2A91DBAE">
      <w:pPr>
        <w:spacing w:line="480" w:lineRule="auto"/>
      </w:pPr>
    </w:p>
    <w:p w14:paraId="076EF92F">
      <w:pPr>
        <w:spacing w:line="480" w:lineRule="auto"/>
      </w:pPr>
    </w:p>
    <w:p w14:paraId="0DE46D1E">
      <w:pPr>
        <w:spacing w:line="480" w:lineRule="auto"/>
      </w:pPr>
    </w:p>
    <w:p w14:paraId="083522BF">
      <w:pPr>
        <w:spacing w:line="480" w:lineRule="auto"/>
      </w:pPr>
    </w:p>
    <w:p w14:paraId="7273273B">
      <w:pPr>
        <w:spacing w:line="480" w:lineRule="auto"/>
      </w:pPr>
    </w:p>
    <w:p w14:paraId="157B8C3A">
      <w:pPr>
        <w:spacing w:line="480" w:lineRule="auto"/>
      </w:pPr>
    </w:p>
    <w:p w14:paraId="721F696F">
      <w:pPr>
        <w:spacing w:line="480" w:lineRule="auto"/>
      </w:pPr>
    </w:p>
    <w:p w14:paraId="5FCB54DD">
      <w:pPr>
        <w:spacing w:line="480" w:lineRule="auto"/>
      </w:pPr>
    </w:p>
    <w:p w14:paraId="7043C9AF">
      <w:pPr>
        <w:spacing w:line="480" w:lineRule="auto"/>
      </w:pPr>
    </w:p>
    <w:p w14:paraId="4BFB2A13">
      <w:pPr>
        <w:spacing w:line="480" w:lineRule="auto"/>
      </w:pPr>
    </w:p>
    <w:p w14:paraId="1502462C">
      <w:pPr>
        <w:spacing w:line="480" w:lineRule="auto"/>
      </w:pPr>
    </w:p>
    <w:p w14:paraId="581F36FF">
      <w:pPr>
        <w:spacing w:line="480" w:lineRule="auto"/>
      </w:pPr>
    </w:p>
    <w:p w14:paraId="2B066DA8">
      <w:pPr>
        <w:spacing w:line="480" w:lineRule="auto"/>
      </w:pPr>
    </w:p>
    <w:p w14:paraId="384F7CC4">
      <w:pPr>
        <w:spacing w:line="480" w:lineRule="auto"/>
      </w:pPr>
    </w:p>
    <w:p w14:paraId="05A1E931">
      <w:pPr>
        <w:spacing w:line="480" w:lineRule="auto"/>
      </w:pPr>
    </w:p>
    <w:p w14:paraId="7C09C856">
      <w:pPr>
        <w:spacing w:line="480" w:lineRule="auto"/>
      </w:pPr>
    </w:p>
    <w:p w14:paraId="45DCAC30">
      <w:pPr>
        <w:spacing w:line="480" w:lineRule="auto"/>
      </w:pPr>
    </w:p>
    <w:p w14:paraId="6854F634">
      <w:pPr>
        <w:spacing w:line="480" w:lineRule="auto"/>
      </w:pPr>
    </w:p>
    <w:p w14:paraId="73B83417">
      <w:pPr>
        <w:spacing w:line="480" w:lineRule="auto"/>
      </w:pPr>
    </w:p>
    <w:p w14:paraId="2905A61E">
      <w:pPr>
        <w:spacing w:line="480" w:lineRule="auto"/>
      </w:pPr>
    </w:p>
    <w:p w14:paraId="55A4FE21">
      <w:pPr>
        <w:spacing w:line="480" w:lineRule="auto"/>
      </w:pPr>
    </w:p>
    <w:p w14:paraId="184C4A0C">
      <w:pPr>
        <w:spacing w:before="156" w:beforeLines="50" w:after="156" w:afterLines="50" w:line="500" w:lineRule="exact"/>
        <w:rPr>
          <w:rFonts w:hint="eastAsia" w:ascii="宋体" w:hAnsi="宋体" w:cs="宋体"/>
          <w:sz w:val="24"/>
          <w:szCs w:val="24"/>
        </w:rPr>
      </w:pPr>
      <w:r>
        <w:rPr>
          <w:rFonts w:hint="eastAsia" w:ascii="宋体" w:hAnsi="宋体" w:cs="宋体"/>
          <w:sz w:val="24"/>
          <w:szCs w:val="24"/>
        </w:rPr>
        <w:t>1.3付款方式：</w:t>
      </w:r>
    </w:p>
    <w:p w14:paraId="7DB7B6DC">
      <w:pPr>
        <w:spacing w:before="156" w:beforeLines="50" w:after="156" w:afterLines="50" w:line="500" w:lineRule="exact"/>
        <w:ind w:firstLine="480" w:firstLineChars="200"/>
        <w:rPr>
          <w:rFonts w:hint="eastAsia" w:ascii="宋体" w:hAnsi="宋体"/>
          <w:sz w:val="24"/>
        </w:rPr>
      </w:pPr>
      <w:r>
        <w:rPr>
          <w:rFonts w:hint="eastAsia" w:ascii="宋体" w:hAnsi="宋体"/>
          <w:sz w:val="24"/>
        </w:rPr>
        <w:t>履约保证金：甲乙双方签订合同前，乙方按谈判文件要求向甲方提交合同履约保证金（履约保证金的数额为政府采购合同金额的5%），乙方正常履行合同，服务期满后甲方无息退还履约保证金（凭收款收据）。</w:t>
      </w:r>
    </w:p>
    <w:p w14:paraId="33074D5A">
      <w:pPr>
        <w:spacing w:before="156" w:beforeLines="50" w:after="156" w:afterLines="50" w:line="500" w:lineRule="exact"/>
        <w:ind w:firstLine="480" w:firstLineChars="200"/>
        <w:rPr>
          <w:rFonts w:hint="eastAsia" w:ascii="宋体" w:hAnsi="宋体"/>
          <w:sz w:val="24"/>
        </w:rPr>
      </w:pPr>
      <w:r>
        <w:rPr>
          <w:rFonts w:ascii="宋体" w:hAnsi="宋体" w:cs="宋体"/>
          <w:sz w:val="24"/>
          <w:szCs w:val="24"/>
        </w:rPr>
        <w:t>付款方式：乙方在领取成交通知书后签订合同前向甲方提交合同履约保证金（履约保证金的数额为政府采购合同金额的5%）。乙方对数字资源安装调试，正常运行后，甲方组织有关人员及使用单位联合验收，验收合格后甲方向乙方支付合同总额的100%（</w:t>
      </w:r>
      <w:r>
        <w:rPr>
          <w:rFonts w:hint="eastAsia" w:ascii="宋体" w:hAnsi="宋体" w:cs="宋体"/>
          <w:sz w:val="24"/>
          <w:szCs w:val="24"/>
          <w:u w:val="single"/>
        </w:rPr>
        <w:t>80</w:t>
      </w:r>
      <w:r>
        <w:rPr>
          <w:rFonts w:ascii="宋体" w:hAnsi="宋体" w:cs="宋体"/>
          <w:sz w:val="24"/>
          <w:szCs w:val="24"/>
          <w:u w:val="single"/>
        </w:rPr>
        <w:t>000.00元</w:t>
      </w:r>
      <w:r>
        <w:rPr>
          <w:rFonts w:ascii="宋体" w:hAnsi="宋体" w:cs="宋体"/>
          <w:sz w:val="24"/>
          <w:szCs w:val="24"/>
        </w:rPr>
        <w:t>）。如数字资源达正常使用水平，服务期满后甲方将履约保证金无息退还给乙方（凭收款收据）。</w:t>
      </w:r>
    </w:p>
    <w:p w14:paraId="50179212">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支付至乙方账号如下：</w:t>
      </w:r>
    </w:p>
    <w:p w14:paraId="7E7C47EA">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lang w:val="zh-CN"/>
        </w:rPr>
        <w:t>开户行：</w:t>
      </w:r>
      <w:r>
        <w:rPr>
          <w:rFonts w:hint="eastAsia" w:ascii="宋体" w:hAnsi="宋体" w:cs="宋体"/>
          <w:sz w:val="24"/>
          <w:szCs w:val="24"/>
        </w:rPr>
        <w:t>中国工商银行股份有限公司郑州信息大学支行</w:t>
      </w:r>
    </w:p>
    <w:p w14:paraId="52ADD28F">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lang w:val="zh-CN"/>
        </w:rPr>
        <w:t>开户名：</w:t>
      </w:r>
      <w:r>
        <w:rPr>
          <w:rFonts w:hint="eastAsia" w:ascii="宋体" w:hAnsi="宋体" w:cs="宋体"/>
          <w:sz w:val="24"/>
          <w:szCs w:val="24"/>
        </w:rPr>
        <w:t>中科软股（河南）信息技术有限公司</w:t>
      </w:r>
    </w:p>
    <w:p w14:paraId="1A9D5844">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lang w:val="zh-CN"/>
        </w:rPr>
        <w:t>帐  号：</w:t>
      </w:r>
      <w:r>
        <w:rPr>
          <w:rFonts w:hint="eastAsia" w:ascii="宋体" w:hAnsi="宋体" w:cs="宋体"/>
          <w:sz w:val="24"/>
          <w:szCs w:val="24"/>
        </w:rPr>
        <w:t>1702000909100084666</w:t>
      </w:r>
    </w:p>
    <w:p w14:paraId="7A530326">
      <w:pPr>
        <w:autoSpaceDE w:val="0"/>
        <w:autoSpaceDN w:val="0"/>
        <w:adjustRightInd w:val="0"/>
        <w:spacing w:before="156" w:beforeLines="50" w:after="156" w:afterLines="50" w:line="500" w:lineRule="exact"/>
        <w:ind w:left="600" w:hanging="600" w:hangingChars="250"/>
        <w:rPr>
          <w:rFonts w:hint="eastAsia" w:ascii="宋体" w:hAnsi="宋体" w:cs="宋体"/>
          <w:sz w:val="24"/>
          <w:szCs w:val="24"/>
          <w:shd w:val="clear" w:color="auto" w:fill="FFFF00"/>
        </w:rPr>
      </w:pPr>
      <w:r>
        <w:rPr>
          <w:rFonts w:hint="eastAsia" w:ascii="宋体" w:hAnsi="宋体" w:cs="宋体"/>
          <w:sz w:val="24"/>
          <w:szCs w:val="24"/>
        </w:rPr>
        <w:t>1.4</w:t>
      </w:r>
      <w:r>
        <w:rPr>
          <w:rFonts w:ascii="宋体" w:hAnsi="宋体" w:cs="宋体"/>
          <w:sz w:val="24"/>
          <w:szCs w:val="24"/>
        </w:rPr>
        <w:t xml:space="preserve"> </w:t>
      </w:r>
      <w:r>
        <w:rPr>
          <w:rFonts w:hint="eastAsia" w:ascii="宋体" w:hAnsi="宋体" w:cs="宋体"/>
          <w:sz w:val="24"/>
          <w:szCs w:val="24"/>
        </w:rPr>
        <w:t>供货说明：合同签订7个工作日内，开通远程访问。</w:t>
      </w:r>
    </w:p>
    <w:p w14:paraId="53CC6341">
      <w:pPr>
        <w:autoSpaceDE w:val="0"/>
        <w:autoSpaceDN w:val="0"/>
        <w:adjustRightInd w:val="0"/>
        <w:spacing w:before="156" w:beforeLines="50" w:after="156" w:afterLines="50" w:line="500" w:lineRule="exact"/>
        <w:rPr>
          <w:rFonts w:hint="eastAsia" w:ascii="宋体" w:hAnsi="宋体" w:cs="宋体"/>
          <w:b/>
          <w:sz w:val="24"/>
          <w:szCs w:val="24"/>
        </w:rPr>
      </w:pPr>
      <w:r>
        <w:rPr>
          <w:rFonts w:hint="eastAsia" w:ascii="宋体" w:hAnsi="宋体" w:cs="宋体"/>
          <w:b/>
          <w:sz w:val="24"/>
          <w:szCs w:val="24"/>
        </w:rPr>
        <w:t>2、技术指标</w:t>
      </w:r>
    </w:p>
    <w:p w14:paraId="7ADF61BD">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《中科VIPExam考试学习资源数据库》安装所需的硬件平台和软件环境的最低配置如下：</w:t>
      </w:r>
    </w:p>
    <w:p w14:paraId="3B87FBC5">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硬件环境</w:t>
      </w:r>
      <w:r>
        <w:rPr>
          <w:rFonts w:hint="eastAsia" w:ascii="宋体" w:hAnsi="宋体" w:cs="宋体"/>
          <w:sz w:val="24"/>
          <w:szCs w:val="24"/>
        </w:rPr>
        <w:tab/>
      </w:r>
      <w:r>
        <w:rPr>
          <w:rFonts w:hint="eastAsia" w:ascii="宋体" w:hAnsi="宋体" w:cs="宋体"/>
          <w:sz w:val="24"/>
          <w:szCs w:val="24"/>
        </w:rPr>
        <w:t>P4 2.0Ghz CPU；4G内存；900G可用硬盘空间（年更新150-200G）</w:t>
      </w:r>
    </w:p>
    <w:p w14:paraId="66C34A1E">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操作系统</w:t>
      </w:r>
      <w:r>
        <w:rPr>
          <w:rFonts w:hint="eastAsia" w:ascii="宋体" w:hAnsi="宋体" w:cs="宋体"/>
          <w:sz w:val="24"/>
          <w:szCs w:val="24"/>
        </w:rPr>
        <w:tab/>
      </w:r>
      <w:r>
        <w:rPr>
          <w:rFonts w:hint="eastAsia" w:ascii="宋体" w:hAnsi="宋体" w:cs="宋体"/>
          <w:sz w:val="24"/>
          <w:szCs w:val="24"/>
        </w:rPr>
        <w:t>Windows Server 2000/2003中文版</w:t>
      </w:r>
    </w:p>
    <w:p w14:paraId="47FE14AB">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软件环境</w:t>
      </w:r>
      <w:r>
        <w:rPr>
          <w:rFonts w:hint="eastAsia" w:ascii="宋体" w:hAnsi="宋体" w:cs="宋体"/>
          <w:sz w:val="24"/>
          <w:szCs w:val="24"/>
        </w:rPr>
        <w:tab/>
      </w:r>
      <w:r>
        <w:rPr>
          <w:rFonts w:hint="eastAsia" w:ascii="宋体" w:hAnsi="宋体" w:cs="宋体"/>
          <w:sz w:val="24"/>
          <w:szCs w:val="24"/>
        </w:rPr>
        <w:t>SQL Server 2000中文版；IIS6.0；.NET framework 2.0</w:t>
      </w:r>
    </w:p>
    <w:p w14:paraId="25369832">
      <w:pPr>
        <w:autoSpaceDE w:val="0"/>
        <w:autoSpaceDN w:val="0"/>
        <w:adjustRightInd w:val="0"/>
        <w:spacing w:before="156" w:beforeLines="50" w:after="156" w:afterLines="50" w:line="500" w:lineRule="exact"/>
        <w:rPr>
          <w:rFonts w:hint="eastAsia" w:ascii="宋体" w:hAnsi="宋体" w:cs="宋体"/>
          <w:b/>
          <w:sz w:val="24"/>
          <w:szCs w:val="24"/>
        </w:rPr>
      </w:pPr>
      <w:r>
        <w:rPr>
          <w:rFonts w:hint="eastAsia" w:ascii="宋体" w:hAnsi="宋体" w:cs="宋体"/>
          <w:b/>
          <w:sz w:val="24"/>
          <w:szCs w:val="24"/>
        </w:rPr>
        <w:t>3、权利与义务</w:t>
      </w:r>
    </w:p>
    <w:p w14:paraId="788B7380">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3.1甲方的权利与义务</w:t>
      </w:r>
    </w:p>
    <w:p w14:paraId="1A294295">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3.1.1甲方负责提供本项目运行所需要的硬件设备与网络环境。</w:t>
      </w:r>
    </w:p>
    <w:p w14:paraId="7E2E8626">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3.1.2甲方保证乙方提供的产品仅应用于内部局域网中，不得应用于任何形式的赢利性经营或超出合同使用范围，以及任何复制行为。</w:t>
      </w:r>
    </w:p>
    <w:p w14:paraId="5E098DE8">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3.1.3甲方须在技术上采取措施，保证乙方提供的产品仅能用于内部局域网中。</w:t>
      </w:r>
    </w:p>
    <w:p w14:paraId="75EF25B0">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3.1.4甲方未经乙方书面通知或授权，不得将乙方产品向任何第三方转让或买卖。</w:t>
      </w:r>
    </w:p>
    <w:p w14:paraId="74BCF0FF">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3.1.5甲方承诺尊重保护乙方及其独家代理的其他机构的知识产权，不使用侵犯乙方或其独家代理的其他机构合法权利的软件和数据库，并将为乙方和其独家代理的其他机构对侵权行为的调查和取证提供便利。甲方使用明知是侵犯乙方或其独家代理的其他机构知识产权的数据库的，乙方有权追究甲方的法律责任。</w:t>
      </w:r>
    </w:p>
    <w:p w14:paraId="1A202F3D">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3.2乙方权利与义务</w:t>
      </w:r>
    </w:p>
    <w:p w14:paraId="5994A08A">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3.2.1乙方负责组织相关的产品数据信息，并负责安装、调试。</w:t>
      </w:r>
    </w:p>
    <w:p w14:paraId="6810B7D1">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3.2.2乙方保证合同内容的正常运转，在合同有效期内，对系统平台进行免费升级。</w:t>
      </w:r>
    </w:p>
    <w:p w14:paraId="172689A1">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3.2.3乙方定期（每学期一次）为甲方提供跟踪服务，对甲方在信息服务方面的要求予以反馈和解决。</w:t>
      </w:r>
    </w:p>
    <w:p w14:paraId="40126620">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3.2.4乙方对数据内容及其版权负责，甲方对其具有长期使用权。</w:t>
      </w:r>
    </w:p>
    <w:p w14:paraId="5EF2F351">
      <w:pPr>
        <w:autoSpaceDE w:val="0"/>
        <w:autoSpaceDN w:val="0"/>
        <w:adjustRightInd w:val="0"/>
        <w:spacing w:before="156" w:beforeLines="50" w:after="156" w:afterLines="50" w:line="500" w:lineRule="exact"/>
        <w:rPr>
          <w:rFonts w:hint="eastAsia" w:ascii="宋体" w:hAnsi="宋体" w:cs="宋体"/>
          <w:b/>
          <w:sz w:val="24"/>
          <w:szCs w:val="24"/>
        </w:rPr>
      </w:pPr>
      <w:r>
        <w:rPr>
          <w:rFonts w:hint="eastAsia" w:ascii="宋体" w:hAnsi="宋体" w:cs="宋体"/>
          <w:b/>
          <w:sz w:val="24"/>
          <w:szCs w:val="24"/>
        </w:rPr>
        <w:t>4、违约责任</w:t>
      </w:r>
    </w:p>
    <w:p w14:paraId="6ED797E9">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4.1乙方未按合同约定及时交付使用，每逾期一天，赔偿甲方合同额的千分之一作为补偿。</w:t>
      </w:r>
    </w:p>
    <w:p w14:paraId="4F32D540">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4.2若由于乙方原因造成甲方不能及时更新信息内容，甲方要以电话或书面形式及时通知乙方，乙方应当在接到甲方通知后及时安排技术人员在五个工作日内予以解决，逾期不予解决的每影响一天，赔偿甲方合同额的千分之一作为补偿。</w:t>
      </w:r>
    </w:p>
    <w:p w14:paraId="0ED27388">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4.3甲方未按合同约定，违反条款“甲方的权利与义务”时，乙方有权利立即停止服务，并有权责成甲方承担相关的经济法律责任。</w:t>
      </w:r>
    </w:p>
    <w:p w14:paraId="5975F323">
      <w:pPr>
        <w:autoSpaceDE w:val="0"/>
        <w:autoSpaceDN w:val="0"/>
        <w:adjustRightInd w:val="0"/>
        <w:spacing w:before="156" w:beforeLines="50" w:after="156" w:afterLines="50" w:line="500" w:lineRule="exact"/>
        <w:rPr>
          <w:rFonts w:hint="eastAsia" w:ascii="宋体" w:hAnsi="宋体" w:cs="宋体"/>
          <w:b/>
          <w:sz w:val="24"/>
          <w:szCs w:val="24"/>
        </w:rPr>
      </w:pPr>
      <w:r>
        <w:rPr>
          <w:rFonts w:hint="eastAsia" w:ascii="宋体" w:hAnsi="宋体" w:cs="宋体"/>
          <w:b/>
          <w:sz w:val="24"/>
          <w:szCs w:val="24"/>
        </w:rPr>
        <w:t>5、技术支持和售后服务</w:t>
      </w:r>
    </w:p>
    <w:p w14:paraId="6D2937EA">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5.1乙方将为甲方提供技术支持和售后服务，以确保甲方正常平稳地使用合同产品。</w:t>
      </w:r>
    </w:p>
    <w:p w14:paraId="4E115641">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乙方在客户服务中心设立客户热线：</w:t>
      </w:r>
    </w:p>
    <w:p w14:paraId="5E91830E">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电话：400-6666-246</w:t>
      </w:r>
    </w:p>
    <w:p w14:paraId="40DA5E16">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5.2乙方保证6小时内技术响应，通过电话无法解决问题时，乙方将在48小时内派出技术工程师到达现场进行处理。</w:t>
      </w:r>
    </w:p>
    <w:p w14:paraId="50E8BBC8">
      <w:pPr>
        <w:autoSpaceDE w:val="0"/>
        <w:autoSpaceDN w:val="0"/>
        <w:adjustRightInd w:val="0"/>
        <w:spacing w:before="156" w:beforeLines="50" w:after="156" w:afterLines="50" w:line="500" w:lineRule="exact"/>
        <w:rPr>
          <w:rFonts w:hint="eastAsia" w:ascii="宋体" w:hAnsi="宋体" w:cs="宋体"/>
          <w:b/>
          <w:sz w:val="24"/>
          <w:szCs w:val="24"/>
        </w:rPr>
      </w:pPr>
      <w:r>
        <w:rPr>
          <w:rFonts w:hint="eastAsia" w:ascii="宋体" w:hAnsi="宋体" w:cs="宋体"/>
          <w:b/>
          <w:sz w:val="24"/>
          <w:szCs w:val="24"/>
        </w:rPr>
        <w:t>6、免责条款</w:t>
      </w:r>
    </w:p>
    <w:p w14:paraId="0762940C">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6.1合同一方因不可抗力、国家政策调整、现有技术条件限制造成信息传送障碍时，受影响方在履行了本条规定的告知和证明义务后，不承担任何违约责任。</w:t>
      </w:r>
    </w:p>
    <w:p w14:paraId="79EF6D91">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6.2受不可抗力的影响，合同不能正常执行时，应延期执行，延期的时间应与不可抗力事件的持续时间相等。</w:t>
      </w:r>
    </w:p>
    <w:p w14:paraId="69850FCC">
      <w:pPr>
        <w:autoSpaceDE w:val="0"/>
        <w:autoSpaceDN w:val="0"/>
        <w:adjustRightInd w:val="0"/>
        <w:spacing w:before="156" w:beforeLines="50" w:after="156" w:afterLines="50" w:line="500" w:lineRule="exact"/>
        <w:rPr>
          <w:rFonts w:hint="eastAsia" w:ascii="宋体" w:hAnsi="宋体" w:cs="宋体"/>
          <w:b/>
          <w:sz w:val="24"/>
          <w:szCs w:val="24"/>
        </w:rPr>
      </w:pPr>
      <w:r>
        <w:rPr>
          <w:rFonts w:hint="eastAsia" w:ascii="宋体" w:hAnsi="宋体" w:cs="宋体"/>
          <w:b/>
          <w:sz w:val="24"/>
          <w:szCs w:val="24"/>
        </w:rPr>
        <w:t>7、争议解决条款</w:t>
      </w:r>
    </w:p>
    <w:p w14:paraId="72F6ED51">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7.1本合同未尽事宜，由甲乙双方协商解决，协商成功后签订本合同的补充合同，经双方确认签字盖章后生效，与本合同有同等的法律效力。</w:t>
      </w:r>
    </w:p>
    <w:p w14:paraId="7917682C">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7.2本合同执行过程中遇到的争议，甲乙双方应本着友好协商的原则协商解决，协商不成的，双方一致同意提交由乙方所在地有管辖权的人民法院诉讼解决。</w:t>
      </w:r>
    </w:p>
    <w:p w14:paraId="42C4CEAD">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7.3争议解决期间，除正在解决的争议部分外，双方应继续执行合同的其余部分。</w:t>
      </w:r>
    </w:p>
    <w:p w14:paraId="76FE1B82">
      <w:pPr>
        <w:autoSpaceDE w:val="0"/>
        <w:autoSpaceDN w:val="0"/>
        <w:adjustRightInd w:val="0"/>
        <w:spacing w:before="156" w:beforeLines="50" w:after="156" w:afterLines="50" w:line="500" w:lineRule="exact"/>
        <w:rPr>
          <w:rFonts w:hint="eastAsia" w:ascii="宋体" w:hAnsi="宋体" w:cs="宋体"/>
          <w:b/>
          <w:sz w:val="24"/>
          <w:szCs w:val="24"/>
        </w:rPr>
      </w:pPr>
      <w:r>
        <w:rPr>
          <w:rFonts w:hint="eastAsia" w:ascii="宋体" w:hAnsi="宋体" w:cs="宋体"/>
          <w:b/>
          <w:sz w:val="24"/>
          <w:szCs w:val="24"/>
        </w:rPr>
        <w:t>8、知识产权</w:t>
      </w:r>
    </w:p>
    <w:p w14:paraId="3BDC8689">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8.1乙方拥有所提供产品的相关知识产权，并</w:t>
      </w:r>
      <w:r>
        <w:rPr>
          <w:rFonts w:hint="eastAsia" w:ascii="宋体" w:hAnsi="宋体" w:cs="宋体"/>
          <w:sz w:val="24"/>
          <w:szCs w:val="24"/>
          <w:lang w:val="zh-CN"/>
        </w:rPr>
        <w:t>对其版权负责,由此产生的后果由乙方承担</w:t>
      </w:r>
      <w:r>
        <w:rPr>
          <w:rFonts w:hint="eastAsia" w:ascii="宋体" w:hAnsi="宋体" w:cs="宋体"/>
          <w:sz w:val="24"/>
          <w:szCs w:val="24"/>
        </w:rPr>
        <w:t>，未经乙方书面许可，甲方不得擅自使用或用于对外宣传。</w:t>
      </w:r>
    </w:p>
    <w:p w14:paraId="741062AB">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8.2甲乙双方任何一方应尊重和维护对方的知识产权，不得损害对方的形象和合法利益。</w:t>
      </w:r>
    </w:p>
    <w:p w14:paraId="0A334D81">
      <w:pPr>
        <w:autoSpaceDE w:val="0"/>
        <w:autoSpaceDN w:val="0"/>
        <w:adjustRightInd w:val="0"/>
        <w:spacing w:before="156" w:beforeLines="50" w:after="156" w:afterLines="50" w:line="500" w:lineRule="exact"/>
        <w:rPr>
          <w:rFonts w:hint="eastAsia" w:ascii="宋体" w:hAnsi="宋体" w:cs="宋体"/>
          <w:b/>
          <w:sz w:val="24"/>
          <w:szCs w:val="24"/>
        </w:rPr>
      </w:pPr>
      <w:r>
        <w:rPr>
          <w:rFonts w:hint="eastAsia" w:ascii="宋体" w:hAnsi="宋体" w:cs="宋体"/>
          <w:b/>
          <w:sz w:val="24"/>
          <w:szCs w:val="24"/>
        </w:rPr>
        <w:t>9、保密条款</w:t>
      </w:r>
    </w:p>
    <w:p w14:paraId="5EB601D0">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9.1除因法律规定或者政府强制程序或者诉讼外，甲、乙双方一致同意本合同以及甲、乙双方因本合同的订立和履行而交换或获悉的有关对方的任何资料或信息均属机密资料，甲、乙双方将确保所有该资料绝对保密，除非得到对方的事先书面同意或依本合同约定，不会向任何第三方披露。</w:t>
      </w:r>
    </w:p>
    <w:p w14:paraId="3AEDB6D9">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9.2除本合同规定之工作所需外，未经对方事先同意，任何一方不得擅自使用、复制对方的商标、标志、商业信息、技术及其他任何资料。</w:t>
      </w:r>
    </w:p>
    <w:p w14:paraId="52E6FA40">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9.3本合同合作期限内及期满后，本保密条款仍具有法律效力。</w:t>
      </w:r>
    </w:p>
    <w:p w14:paraId="7F8587C6">
      <w:pPr>
        <w:autoSpaceDE w:val="0"/>
        <w:autoSpaceDN w:val="0"/>
        <w:adjustRightInd w:val="0"/>
        <w:spacing w:before="156" w:beforeLines="50" w:after="156" w:afterLines="50" w:line="500" w:lineRule="exact"/>
        <w:rPr>
          <w:rFonts w:hint="eastAsia" w:ascii="宋体" w:hAnsi="宋体" w:cs="宋体"/>
          <w:b/>
          <w:sz w:val="24"/>
          <w:szCs w:val="24"/>
        </w:rPr>
      </w:pPr>
      <w:r>
        <w:rPr>
          <w:rFonts w:hint="eastAsia" w:ascii="宋体" w:hAnsi="宋体" w:cs="宋体"/>
          <w:b/>
          <w:sz w:val="24"/>
          <w:szCs w:val="24"/>
        </w:rPr>
        <w:t>10、附则</w:t>
      </w:r>
    </w:p>
    <w:p w14:paraId="218BE86D">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10.1对本合同的任何修改或补充，包括订立补充协议、备忘录，必须通过书面方式进行，且经双方授权代表签字盖章后方为有效。上述文件为本合同不可分割的组成部分。</w:t>
      </w:r>
    </w:p>
    <w:p w14:paraId="64B4A365">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10.2合同附件为本合同不可分割的组成部分，与主合同构成双方之间完整的合同。因合同附件引起的争议，同样适用本合同的争议解决条款。</w:t>
      </w:r>
    </w:p>
    <w:p w14:paraId="36AC6EF9">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10.3本合同的执行不因合同双方任何人事变动而失效。</w:t>
      </w:r>
    </w:p>
    <w:p w14:paraId="2498A4EF">
      <w:pPr>
        <w:autoSpaceDE w:val="0"/>
        <w:autoSpaceDN w:val="0"/>
        <w:adjustRightInd w:val="0"/>
        <w:spacing w:before="156" w:beforeLines="50" w:after="156" w:afterLines="50" w:line="500" w:lineRule="exact"/>
        <w:rPr>
          <w:rFonts w:hint="eastAsia" w:ascii="宋体" w:hAnsi="宋体" w:cs="宋体"/>
          <w:b/>
          <w:sz w:val="24"/>
          <w:szCs w:val="24"/>
        </w:rPr>
      </w:pPr>
      <w:r>
        <w:rPr>
          <w:rFonts w:hint="eastAsia" w:ascii="宋体" w:hAnsi="宋体" w:cs="宋体"/>
          <w:b/>
          <w:sz w:val="24"/>
          <w:szCs w:val="24"/>
        </w:rPr>
        <w:t>11、生效</w:t>
      </w:r>
    </w:p>
    <w:p w14:paraId="2A291D5B">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11.1本合同经双方授权代表签字盖章后生效。</w:t>
      </w:r>
    </w:p>
    <w:p w14:paraId="4D5C7F1D">
      <w:pPr>
        <w:spacing w:before="156" w:beforeLines="50" w:after="156" w:afterLines="50" w:line="500" w:lineRule="exact"/>
        <w:ind w:firstLine="480" w:firstLineChars="200"/>
        <w:rPr>
          <w:rFonts w:hint="eastAsia" w:ascii="宋体" w:hAnsi="宋体" w:cs="宋体"/>
          <w:sz w:val="24"/>
          <w:szCs w:val="24"/>
        </w:rPr>
      </w:pPr>
      <w:r>
        <w:rPr>
          <w:rFonts w:hint="eastAsia" w:ascii="宋体" w:hAnsi="宋体" w:cs="宋体"/>
          <w:sz w:val="24"/>
          <w:szCs w:val="24"/>
        </w:rPr>
        <w:t>11.2本合同一式</w:t>
      </w:r>
      <w:r>
        <w:rPr>
          <w:rFonts w:hint="eastAsia" w:ascii="宋体" w:hAnsi="宋体" w:cs="宋体"/>
          <w:sz w:val="24"/>
          <w:szCs w:val="24"/>
          <w:u w:val="single"/>
        </w:rPr>
        <w:t>陆</w:t>
      </w:r>
      <w:r>
        <w:rPr>
          <w:rFonts w:hint="eastAsia" w:ascii="宋体" w:hAnsi="宋体" w:cs="宋体"/>
          <w:sz w:val="24"/>
          <w:szCs w:val="24"/>
        </w:rPr>
        <w:t>份，其中甲方</w:t>
      </w:r>
      <w:r>
        <w:rPr>
          <w:rFonts w:hint="eastAsia" w:ascii="宋体" w:hAnsi="宋体" w:cs="宋体"/>
          <w:sz w:val="24"/>
          <w:szCs w:val="24"/>
          <w:u w:val="single"/>
        </w:rPr>
        <w:t>肆</w:t>
      </w:r>
      <w:r>
        <w:rPr>
          <w:rFonts w:hint="eastAsia" w:ascii="宋体" w:hAnsi="宋体" w:cs="宋体"/>
          <w:sz w:val="24"/>
          <w:szCs w:val="24"/>
        </w:rPr>
        <w:t>份、乙方</w:t>
      </w:r>
      <w:r>
        <w:rPr>
          <w:rFonts w:hint="eastAsia" w:ascii="宋体" w:hAnsi="宋体" w:cs="宋体"/>
          <w:sz w:val="24"/>
          <w:szCs w:val="24"/>
          <w:u w:val="single"/>
        </w:rPr>
        <w:t>贰</w:t>
      </w:r>
      <w:r>
        <w:rPr>
          <w:rFonts w:hint="eastAsia" w:ascii="宋体" w:hAnsi="宋体" w:cs="宋体"/>
          <w:sz w:val="24"/>
          <w:szCs w:val="24"/>
        </w:rPr>
        <w:t>份。具有同等法律效力。</w:t>
      </w:r>
    </w:p>
    <w:p w14:paraId="0C51775A">
      <w:pPr>
        <w:spacing w:before="156" w:beforeLines="50" w:after="156" w:afterLines="50" w:line="500" w:lineRule="exact"/>
        <w:ind w:firstLine="480" w:firstLineChars="200"/>
        <w:rPr>
          <w:rFonts w:hint="eastAsia" w:ascii="宋体" w:hAnsi="宋体" w:cs="宋体"/>
          <w:sz w:val="24"/>
          <w:szCs w:val="24"/>
        </w:rPr>
      </w:pPr>
    </w:p>
    <w:p w14:paraId="266A5976">
      <w:pPr>
        <w:spacing w:before="156" w:beforeLines="50" w:after="156" w:afterLines="50" w:line="500" w:lineRule="exact"/>
        <w:ind w:firstLine="480" w:firstLineChars="200"/>
        <w:rPr>
          <w:rFonts w:hint="eastAsia" w:ascii="宋体" w:hAnsi="宋体" w:cs="宋体"/>
          <w:sz w:val="24"/>
          <w:szCs w:val="24"/>
        </w:rPr>
      </w:pPr>
    </w:p>
    <w:p w14:paraId="529FC617">
      <w:pPr>
        <w:spacing w:before="156" w:beforeLines="50" w:after="156" w:afterLines="50" w:line="500" w:lineRule="exact"/>
        <w:ind w:firstLine="480" w:firstLineChars="200"/>
        <w:rPr>
          <w:rFonts w:hint="eastAsia" w:ascii="宋体" w:hAnsi="宋体" w:cs="宋体"/>
          <w:sz w:val="24"/>
          <w:szCs w:val="24"/>
        </w:rPr>
      </w:pPr>
    </w:p>
    <w:p w14:paraId="28A541C7">
      <w:pPr>
        <w:spacing w:line="480" w:lineRule="auto"/>
      </w:pPr>
      <w:r>
        <w:drawing>
          <wp:anchor distT="0" distB="0" distL="114300" distR="114300" simplePos="0" relativeHeight="251660288" behindDoc="0" locked="0" layoutInCell="1" allowOverlap="1">
            <wp:simplePos x="0" y="0"/>
            <wp:positionH relativeFrom="column">
              <wp:posOffset>-352425</wp:posOffset>
            </wp:positionH>
            <wp:positionV relativeFrom="paragraph">
              <wp:posOffset>356235</wp:posOffset>
            </wp:positionV>
            <wp:extent cx="5840730" cy="8275320"/>
            <wp:effectExtent l="0" t="0" r="7620" b="1143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840730" cy="8275320"/>
                    </a:xfrm>
                    <a:prstGeom prst="rect">
                      <a:avLst/>
                    </a:prstGeom>
                    <a:noFill/>
                    <a:ln>
                      <a:noFill/>
                    </a:ln>
                  </pic:spPr>
                </pic:pic>
              </a:graphicData>
            </a:graphic>
          </wp:anchor>
        </w:drawing>
      </w:r>
    </w:p>
    <w:p w14:paraId="1D9E86F1">
      <w:pPr>
        <w:spacing w:line="480" w:lineRule="auto"/>
      </w:pPr>
    </w:p>
    <w:p w14:paraId="29E8DAA4">
      <w:pPr>
        <w:spacing w:line="480" w:lineRule="auto"/>
      </w:pPr>
    </w:p>
    <w:p w14:paraId="1ADD77E0">
      <w:pPr>
        <w:spacing w:line="480" w:lineRule="auto"/>
      </w:pPr>
    </w:p>
    <w:p w14:paraId="1149C298">
      <w:pPr>
        <w:spacing w:line="480" w:lineRule="auto"/>
      </w:pPr>
    </w:p>
    <w:p w14:paraId="5BF1F722">
      <w:pPr>
        <w:spacing w:line="480" w:lineRule="auto"/>
      </w:pPr>
    </w:p>
    <w:p w14:paraId="7CC356C9">
      <w:pPr>
        <w:spacing w:line="480" w:lineRule="auto"/>
      </w:pPr>
    </w:p>
    <w:p w14:paraId="5903F877">
      <w:pPr>
        <w:spacing w:line="480" w:lineRule="auto"/>
      </w:pPr>
    </w:p>
    <w:p w14:paraId="6D6FF780">
      <w:pPr>
        <w:spacing w:line="480" w:lineRule="auto"/>
      </w:pPr>
    </w:p>
    <w:p w14:paraId="61EFBF58">
      <w:pPr>
        <w:spacing w:line="480" w:lineRule="auto"/>
      </w:pPr>
    </w:p>
    <w:p w14:paraId="34BD0C70">
      <w:pPr>
        <w:spacing w:line="480" w:lineRule="auto"/>
      </w:pPr>
    </w:p>
    <w:p w14:paraId="7C23E11C">
      <w:pPr>
        <w:spacing w:line="480" w:lineRule="auto"/>
      </w:pPr>
    </w:p>
    <w:p w14:paraId="72784BCE">
      <w:pPr>
        <w:spacing w:line="480" w:lineRule="auto"/>
      </w:pPr>
    </w:p>
    <w:p w14:paraId="1779134F">
      <w:pPr>
        <w:spacing w:line="480" w:lineRule="auto"/>
      </w:pPr>
    </w:p>
    <w:p w14:paraId="516D4C0E">
      <w:pPr>
        <w:spacing w:line="480" w:lineRule="auto"/>
      </w:pPr>
    </w:p>
    <w:p w14:paraId="4E912323">
      <w:pPr>
        <w:spacing w:line="480" w:lineRule="auto"/>
      </w:pPr>
    </w:p>
    <w:p w14:paraId="0852AB06">
      <w:pPr>
        <w:spacing w:line="480" w:lineRule="auto"/>
      </w:pPr>
    </w:p>
    <w:p w14:paraId="222EA6C3">
      <w:pPr>
        <w:spacing w:line="480" w:lineRule="auto"/>
      </w:pPr>
    </w:p>
    <w:p w14:paraId="19FD4732">
      <w:pPr>
        <w:spacing w:line="480" w:lineRule="auto"/>
      </w:pPr>
    </w:p>
    <w:p w14:paraId="612A5DBA">
      <w:pPr>
        <w:spacing w:line="480" w:lineRule="auto"/>
      </w:pPr>
    </w:p>
    <w:p w14:paraId="67649137">
      <w:pPr>
        <w:spacing w:line="480" w:lineRule="auto"/>
      </w:pPr>
    </w:p>
    <w:p w14:paraId="29F441F8">
      <w:pPr>
        <w:spacing w:line="480" w:lineRule="auto"/>
      </w:pPr>
    </w:p>
    <w:p w14:paraId="254FB5D7">
      <w:pPr>
        <w:spacing w:before="156" w:beforeLines="50" w:after="156" w:afterLines="50" w:line="400" w:lineRule="exact"/>
        <w:rPr>
          <w:rFonts w:hint="eastAsia" w:ascii="宋体" w:hAnsi="宋体"/>
          <w:b/>
          <w:sz w:val="24"/>
          <w:szCs w:val="24"/>
        </w:rPr>
      </w:pPr>
      <w:r>
        <w:rPr>
          <w:rFonts w:hint="eastAsia" w:ascii="宋体" w:hAnsi="宋体"/>
          <w:b/>
          <w:sz w:val="24"/>
          <w:szCs w:val="24"/>
        </w:rPr>
        <w:t>附件一：中标通知书</w:t>
      </w:r>
    </w:p>
    <w:p w14:paraId="3114A61C">
      <w:pPr>
        <w:spacing w:before="156" w:beforeLines="50" w:after="156" w:afterLines="50"/>
        <w:rPr>
          <w:rFonts w:ascii="宋体" w:hAnsi="宋体"/>
          <w:b/>
          <w:sz w:val="24"/>
          <w:szCs w:val="24"/>
        </w:rPr>
      </w:pPr>
      <w:r>
        <w:drawing>
          <wp:anchor distT="0" distB="0" distL="114300" distR="114300" simplePos="0" relativeHeight="251661312" behindDoc="0" locked="0" layoutInCell="1" allowOverlap="1">
            <wp:simplePos x="0" y="0"/>
            <wp:positionH relativeFrom="column">
              <wp:posOffset>-47625</wp:posOffset>
            </wp:positionH>
            <wp:positionV relativeFrom="paragraph">
              <wp:posOffset>7620</wp:posOffset>
            </wp:positionV>
            <wp:extent cx="5862320" cy="8358505"/>
            <wp:effectExtent l="0" t="0" r="5080" b="444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862320" cy="8358505"/>
                    </a:xfrm>
                    <a:prstGeom prst="rect">
                      <a:avLst/>
                    </a:prstGeom>
                    <a:noFill/>
                    <a:ln>
                      <a:noFill/>
                    </a:ln>
                  </pic:spPr>
                </pic:pic>
              </a:graphicData>
            </a:graphic>
          </wp:anchor>
        </w:drawing>
      </w:r>
    </w:p>
    <w:p w14:paraId="53176468">
      <w:pPr>
        <w:spacing w:before="156" w:beforeLines="50" w:after="156" w:afterLines="50"/>
        <w:rPr>
          <w:rFonts w:ascii="宋体" w:hAnsi="宋体"/>
          <w:b/>
          <w:sz w:val="24"/>
          <w:szCs w:val="24"/>
        </w:rPr>
      </w:pPr>
    </w:p>
    <w:p w14:paraId="3BD2B0EB">
      <w:pPr>
        <w:spacing w:before="156" w:beforeLines="50" w:after="156" w:afterLines="50"/>
        <w:rPr>
          <w:rFonts w:ascii="宋体" w:hAnsi="宋体"/>
          <w:b/>
          <w:sz w:val="24"/>
          <w:szCs w:val="24"/>
        </w:rPr>
      </w:pPr>
    </w:p>
    <w:p w14:paraId="54EE0EA4">
      <w:pPr>
        <w:spacing w:before="156" w:beforeLines="50" w:after="156" w:afterLines="50"/>
        <w:rPr>
          <w:rFonts w:ascii="宋体" w:hAnsi="宋体"/>
          <w:b/>
          <w:sz w:val="24"/>
          <w:szCs w:val="24"/>
        </w:rPr>
      </w:pPr>
    </w:p>
    <w:p w14:paraId="26A50EFE">
      <w:pPr>
        <w:spacing w:before="156" w:beforeLines="50" w:after="156" w:afterLines="50"/>
        <w:rPr>
          <w:rFonts w:ascii="宋体" w:hAnsi="宋体"/>
          <w:b/>
          <w:sz w:val="24"/>
          <w:szCs w:val="24"/>
        </w:rPr>
      </w:pPr>
    </w:p>
    <w:p w14:paraId="39270C54">
      <w:pPr>
        <w:spacing w:before="156" w:beforeLines="50" w:after="156" w:afterLines="50"/>
        <w:rPr>
          <w:rFonts w:ascii="宋体" w:hAnsi="宋体"/>
          <w:b/>
          <w:sz w:val="24"/>
          <w:szCs w:val="24"/>
        </w:rPr>
      </w:pPr>
    </w:p>
    <w:p w14:paraId="2A86916A">
      <w:pPr>
        <w:spacing w:before="156" w:beforeLines="50" w:after="156" w:afterLines="50"/>
        <w:rPr>
          <w:rFonts w:ascii="宋体" w:hAnsi="宋体"/>
          <w:b/>
          <w:sz w:val="24"/>
          <w:szCs w:val="24"/>
        </w:rPr>
      </w:pPr>
    </w:p>
    <w:p w14:paraId="2505584A">
      <w:pPr>
        <w:spacing w:before="156" w:beforeLines="50" w:after="156" w:afterLines="50"/>
        <w:rPr>
          <w:rFonts w:ascii="宋体" w:hAnsi="宋体"/>
          <w:b/>
          <w:sz w:val="24"/>
          <w:szCs w:val="24"/>
        </w:rPr>
      </w:pPr>
    </w:p>
    <w:p w14:paraId="0AD69D7F">
      <w:pPr>
        <w:spacing w:before="156" w:beforeLines="50" w:after="156" w:afterLines="50"/>
        <w:rPr>
          <w:rFonts w:ascii="宋体" w:hAnsi="宋体"/>
          <w:b/>
          <w:sz w:val="24"/>
          <w:szCs w:val="24"/>
        </w:rPr>
      </w:pPr>
    </w:p>
    <w:p w14:paraId="1700F748">
      <w:pPr>
        <w:spacing w:before="156" w:beforeLines="50" w:after="156" w:afterLines="50"/>
        <w:rPr>
          <w:rFonts w:ascii="宋体" w:hAnsi="宋体"/>
          <w:b/>
          <w:sz w:val="24"/>
          <w:szCs w:val="24"/>
        </w:rPr>
      </w:pPr>
    </w:p>
    <w:p w14:paraId="4C91DAAF">
      <w:pPr>
        <w:spacing w:before="156" w:beforeLines="50" w:after="156" w:afterLines="50"/>
        <w:rPr>
          <w:rFonts w:ascii="宋体" w:hAnsi="宋体"/>
          <w:b/>
          <w:sz w:val="24"/>
          <w:szCs w:val="24"/>
        </w:rPr>
      </w:pPr>
    </w:p>
    <w:p w14:paraId="667278AA">
      <w:pPr>
        <w:spacing w:before="156" w:beforeLines="50" w:after="156" w:afterLines="50"/>
        <w:rPr>
          <w:rFonts w:ascii="宋体" w:hAnsi="宋体"/>
          <w:b/>
          <w:sz w:val="24"/>
          <w:szCs w:val="24"/>
        </w:rPr>
      </w:pPr>
    </w:p>
    <w:p w14:paraId="10B8D5D6">
      <w:pPr>
        <w:spacing w:before="156" w:beforeLines="50" w:after="156" w:afterLines="50"/>
        <w:rPr>
          <w:rFonts w:ascii="宋体" w:hAnsi="宋体"/>
          <w:b/>
          <w:sz w:val="24"/>
          <w:szCs w:val="24"/>
        </w:rPr>
      </w:pPr>
    </w:p>
    <w:p w14:paraId="3B91F6CB">
      <w:pPr>
        <w:spacing w:before="156" w:beforeLines="50" w:after="156" w:afterLines="50"/>
        <w:rPr>
          <w:rFonts w:ascii="宋体" w:hAnsi="宋体"/>
          <w:b/>
          <w:sz w:val="24"/>
          <w:szCs w:val="24"/>
        </w:rPr>
      </w:pPr>
    </w:p>
    <w:p w14:paraId="359D8BE0">
      <w:pPr>
        <w:spacing w:before="156" w:beforeLines="50" w:after="156" w:afterLines="50"/>
        <w:rPr>
          <w:rFonts w:ascii="宋体" w:hAnsi="宋体"/>
          <w:b/>
          <w:sz w:val="24"/>
          <w:szCs w:val="24"/>
        </w:rPr>
      </w:pPr>
    </w:p>
    <w:p w14:paraId="7F1D1381">
      <w:pPr>
        <w:spacing w:before="156" w:beforeLines="50" w:after="156" w:afterLines="50"/>
        <w:rPr>
          <w:rFonts w:ascii="宋体" w:hAnsi="宋体"/>
          <w:b/>
          <w:sz w:val="24"/>
          <w:szCs w:val="24"/>
        </w:rPr>
      </w:pPr>
    </w:p>
    <w:p w14:paraId="4BDEAC6E">
      <w:pPr>
        <w:spacing w:before="156" w:beforeLines="50" w:after="156" w:afterLines="50"/>
        <w:rPr>
          <w:rFonts w:ascii="宋体" w:hAnsi="宋体"/>
          <w:b/>
          <w:sz w:val="24"/>
          <w:szCs w:val="24"/>
        </w:rPr>
      </w:pPr>
    </w:p>
    <w:p w14:paraId="4BEB27A9">
      <w:pPr>
        <w:spacing w:before="156" w:beforeLines="50" w:after="156" w:afterLines="50"/>
        <w:rPr>
          <w:rFonts w:ascii="宋体" w:hAnsi="宋体"/>
          <w:b/>
          <w:sz w:val="24"/>
          <w:szCs w:val="24"/>
        </w:rPr>
      </w:pPr>
    </w:p>
    <w:p w14:paraId="6BE6D9D3">
      <w:pPr>
        <w:spacing w:before="156" w:beforeLines="50" w:after="156" w:afterLines="50"/>
        <w:rPr>
          <w:rFonts w:ascii="宋体" w:hAnsi="宋体"/>
          <w:b/>
          <w:sz w:val="24"/>
          <w:szCs w:val="24"/>
        </w:rPr>
      </w:pPr>
    </w:p>
    <w:p w14:paraId="239BE71A">
      <w:pPr>
        <w:spacing w:before="156" w:beforeLines="50" w:after="156" w:afterLines="50"/>
        <w:rPr>
          <w:rFonts w:ascii="宋体" w:hAnsi="宋体"/>
          <w:b/>
          <w:sz w:val="24"/>
          <w:szCs w:val="24"/>
        </w:rPr>
      </w:pPr>
    </w:p>
    <w:p w14:paraId="7A6A0C9F">
      <w:pPr>
        <w:spacing w:before="156" w:beforeLines="50" w:after="156" w:afterLines="50"/>
        <w:rPr>
          <w:rFonts w:ascii="宋体" w:hAnsi="宋体"/>
          <w:b/>
          <w:sz w:val="24"/>
          <w:szCs w:val="24"/>
        </w:rPr>
      </w:pPr>
    </w:p>
    <w:p w14:paraId="65EFCC34">
      <w:pPr>
        <w:spacing w:before="156" w:beforeLines="50" w:after="156" w:afterLines="50"/>
        <w:rPr>
          <w:rFonts w:ascii="宋体" w:hAnsi="宋体"/>
          <w:b/>
          <w:sz w:val="24"/>
          <w:szCs w:val="24"/>
        </w:rPr>
      </w:pPr>
    </w:p>
    <w:p w14:paraId="2A4EBBC1">
      <w:pPr>
        <w:spacing w:before="156" w:beforeLines="50" w:after="156" w:afterLines="50"/>
        <w:rPr>
          <w:rFonts w:ascii="宋体" w:hAnsi="宋体"/>
          <w:b/>
          <w:sz w:val="24"/>
          <w:szCs w:val="24"/>
        </w:rPr>
      </w:pPr>
    </w:p>
    <w:p w14:paraId="5DBE7AB3">
      <w:pPr>
        <w:spacing w:before="156" w:beforeLines="50" w:after="156" w:afterLines="50"/>
        <w:rPr>
          <w:rFonts w:ascii="宋体" w:hAnsi="宋体"/>
          <w:b/>
          <w:sz w:val="24"/>
          <w:szCs w:val="24"/>
        </w:rPr>
      </w:pPr>
    </w:p>
    <w:p w14:paraId="187BF4D4">
      <w:pPr>
        <w:spacing w:before="156" w:beforeLines="50" w:after="156" w:afterLines="50"/>
        <w:rPr>
          <w:rFonts w:ascii="宋体" w:hAnsi="宋体"/>
          <w:b/>
          <w:sz w:val="24"/>
          <w:szCs w:val="24"/>
        </w:rPr>
      </w:pPr>
    </w:p>
    <w:p w14:paraId="1B4FFD48">
      <w:pPr>
        <w:spacing w:before="156" w:beforeLines="50" w:after="156" w:afterLines="50"/>
        <w:rPr>
          <w:rFonts w:ascii="宋体" w:hAnsi="宋体"/>
          <w:b/>
          <w:sz w:val="24"/>
          <w:szCs w:val="24"/>
        </w:rPr>
      </w:pPr>
    </w:p>
    <w:p w14:paraId="07E96CDD">
      <w:pPr>
        <w:spacing w:before="156" w:beforeLines="50" w:after="156" w:afterLines="50"/>
        <w:rPr>
          <w:rFonts w:ascii="宋体" w:hAnsi="宋体"/>
          <w:b/>
          <w:sz w:val="24"/>
          <w:szCs w:val="24"/>
        </w:rPr>
      </w:pPr>
    </w:p>
    <w:p w14:paraId="0C773B5D">
      <w:pPr>
        <w:spacing w:before="156" w:beforeLines="50" w:after="156" w:afterLines="50" w:line="400" w:lineRule="exact"/>
        <w:rPr>
          <w:rFonts w:hint="eastAsia" w:ascii="宋体" w:hAnsi="宋体"/>
          <w:b/>
          <w:sz w:val="24"/>
          <w:szCs w:val="24"/>
        </w:rPr>
      </w:pPr>
    </w:p>
    <w:p w14:paraId="571CFA36">
      <w:pPr>
        <w:spacing w:before="156" w:beforeLines="50" w:after="156" w:afterLines="50" w:line="400" w:lineRule="exact"/>
        <w:rPr>
          <w:rFonts w:ascii="宋体" w:hAnsi="宋体"/>
          <w:sz w:val="24"/>
          <w:szCs w:val="24"/>
        </w:rPr>
      </w:pPr>
      <w:r>
        <w:rPr>
          <w:rFonts w:hint="eastAsia" w:ascii="宋体" w:hAnsi="宋体"/>
          <w:b/>
          <w:sz w:val="24"/>
          <w:szCs w:val="24"/>
        </w:rPr>
        <w:t>附件二：甲方IP范围</w:t>
      </w:r>
    </w:p>
    <w:p w14:paraId="134EC673">
      <w:pPr>
        <w:spacing w:before="156" w:beforeLines="50" w:after="156" w:afterLines="50" w:line="400" w:lineRule="exact"/>
        <w:rPr>
          <w:rFonts w:hint="eastAsia" w:ascii="宋体" w:hAnsi="宋体"/>
          <w:sz w:val="24"/>
          <w:szCs w:val="24"/>
        </w:rPr>
      </w:pPr>
      <w:r>
        <w:rPr>
          <w:rFonts w:hint="eastAsia" w:ascii="宋体" w:hAnsi="宋体"/>
          <w:sz w:val="24"/>
          <w:szCs w:val="24"/>
        </w:rPr>
        <w:t>61.163.78.162--61.163.78.166</w:t>
      </w:r>
    </w:p>
    <w:p w14:paraId="2D6F21B9">
      <w:pPr>
        <w:spacing w:before="156" w:beforeLines="50" w:after="156" w:afterLines="50" w:line="400" w:lineRule="exact"/>
        <w:rPr>
          <w:rFonts w:hint="eastAsia" w:ascii="宋体" w:hAnsi="宋体"/>
          <w:sz w:val="24"/>
          <w:szCs w:val="24"/>
        </w:rPr>
      </w:pPr>
      <w:r>
        <w:rPr>
          <w:rFonts w:hint="eastAsia" w:ascii="宋体" w:hAnsi="宋体"/>
          <w:sz w:val="24"/>
          <w:szCs w:val="24"/>
        </w:rPr>
        <w:t>211.69.32.0--211.69.47.255</w:t>
      </w:r>
    </w:p>
    <w:p w14:paraId="798B63D1">
      <w:pPr>
        <w:spacing w:before="156" w:beforeLines="50" w:after="156" w:afterLines="50" w:line="400" w:lineRule="exact"/>
        <w:rPr>
          <w:rFonts w:hint="eastAsia" w:ascii="宋体" w:hAnsi="宋体"/>
          <w:sz w:val="24"/>
          <w:szCs w:val="24"/>
        </w:rPr>
      </w:pPr>
      <w:r>
        <w:rPr>
          <w:rFonts w:hint="eastAsia" w:ascii="宋体" w:hAnsi="宋体"/>
          <w:sz w:val="24"/>
          <w:szCs w:val="24"/>
        </w:rPr>
        <w:t>218.28.226.1--211.69.47.255</w:t>
      </w:r>
    </w:p>
    <w:p w14:paraId="25ADCC05">
      <w:pPr>
        <w:spacing w:before="156" w:beforeLines="50" w:after="156" w:afterLines="50" w:line="400" w:lineRule="exact"/>
        <w:rPr>
          <w:rFonts w:hint="eastAsia" w:ascii="宋体" w:hAnsi="宋体"/>
          <w:sz w:val="24"/>
          <w:szCs w:val="24"/>
        </w:rPr>
      </w:pPr>
      <w:r>
        <w:rPr>
          <w:rFonts w:hint="eastAsia" w:ascii="宋体" w:hAnsi="宋体"/>
          <w:sz w:val="24"/>
          <w:szCs w:val="24"/>
        </w:rPr>
        <w:t>171.8.0.99--171.8.0.114</w:t>
      </w:r>
    </w:p>
    <w:p w14:paraId="073289C1">
      <w:pPr>
        <w:spacing w:before="156" w:beforeLines="50" w:after="156" w:afterLines="50" w:line="400" w:lineRule="exact"/>
        <w:rPr>
          <w:rFonts w:hint="eastAsia" w:ascii="宋体" w:hAnsi="宋体"/>
          <w:sz w:val="24"/>
          <w:szCs w:val="24"/>
        </w:rPr>
      </w:pPr>
      <w:r>
        <w:rPr>
          <w:rFonts w:hint="eastAsia" w:ascii="宋体" w:hAnsi="宋体"/>
          <w:sz w:val="24"/>
          <w:szCs w:val="24"/>
        </w:rPr>
        <w:t>120.194.15.32--120.194.15.71</w:t>
      </w:r>
    </w:p>
    <w:p w14:paraId="77A3257B">
      <w:pPr>
        <w:spacing w:before="156" w:beforeLines="50" w:after="156" w:afterLines="50" w:line="400" w:lineRule="exact"/>
        <w:rPr>
          <w:rFonts w:hint="eastAsia" w:ascii="宋体" w:hAnsi="宋体"/>
          <w:sz w:val="24"/>
          <w:szCs w:val="24"/>
        </w:rPr>
      </w:pPr>
      <w:r>
        <w:rPr>
          <w:rFonts w:hint="eastAsia" w:ascii="宋体" w:hAnsi="宋体"/>
          <w:sz w:val="24"/>
          <w:szCs w:val="24"/>
        </w:rPr>
        <w:t>218.28.235.241--218.28.235.243</w:t>
      </w:r>
    </w:p>
    <w:p w14:paraId="04BF92BC">
      <w:pPr>
        <w:spacing w:before="156" w:beforeLines="50" w:after="156" w:afterLines="50" w:line="400" w:lineRule="exact"/>
        <w:rPr>
          <w:rFonts w:hint="eastAsia" w:ascii="宋体" w:hAnsi="宋体"/>
          <w:sz w:val="24"/>
          <w:szCs w:val="24"/>
        </w:rPr>
      </w:pPr>
      <w:r>
        <w:rPr>
          <w:rFonts w:hint="eastAsia" w:ascii="宋体" w:hAnsi="宋体"/>
          <w:sz w:val="24"/>
          <w:szCs w:val="24"/>
        </w:rPr>
        <w:t>218.28.185.242--218.28.185.245</w:t>
      </w:r>
    </w:p>
    <w:p w14:paraId="6943E1F5">
      <w:pPr>
        <w:spacing w:before="156" w:beforeLines="50" w:after="156" w:afterLines="50" w:line="400" w:lineRule="exact"/>
        <w:rPr>
          <w:rFonts w:hint="eastAsia" w:ascii="宋体" w:hAnsi="宋体"/>
          <w:sz w:val="24"/>
          <w:szCs w:val="24"/>
        </w:rPr>
      </w:pPr>
      <w:r>
        <w:rPr>
          <w:rFonts w:hint="eastAsia" w:ascii="宋体" w:hAnsi="宋体"/>
          <w:sz w:val="24"/>
          <w:szCs w:val="24"/>
        </w:rPr>
        <w:t>61.168.22.160--61.168.27.255</w:t>
      </w:r>
    </w:p>
    <w:p w14:paraId="1AE76E7A">
      <w:pPr>
        <w:spacing w:before="156" w:beforeLines="50" w:after="156" w:afterLines="50" w:line="400" w:lineRule="exact"/>
        <w:rPr>
          <w:rFonts w:hint="eastAsia" w:ascii="宋体" w:hAnsi="宋体"/>
          <w:sz w:val="24"/>
          <w:szCs w:val="24"/>
        </w:rPr>
      </w:pPr>
      <w:r>
        <w:rPr>
          <w:rFonts w:hint="eastAsia" w:ascii="宋体" w:hAnsi="宋体"/>
          <w:sz w:val="24"/>
          <w:szCs w:val="24"/>
        </w:rPr>
        <w:t>117.158.202.2--117.158.202.6</w:t>
      </w:r>
    </w:p>
    <w:p w14:paraId="1211EB63">
      <w:pPr>
        <w:spacing w:before="156" w:beforeLines="50" w:after="156" w:afterLines="50" w:line="400" w:lineRule="exact"/>
        <w:rPr>
          <w:rFonts w:hint="eastAsia" w:ascii="宋体" w:hAnsi="宋体"/>
          <w:sz w:val="24"/>
          <w:szCs w:val="24"/>
        </w:rPr>
      </w:pPr>
      <w:r>
        <w:rPr>
          <w:rFonts w:hint="eastAsia" w:ascii="宋体" w:hAnsi="宋体"/>
          <w:sz w:val="24"/>
          <w:szCs w:val="24"/>
        </w:rPr>
        <w:t>117.158.213.174--117.158.213.174</w:t>
      </w:r>
    </w:p>
    <w:p w14:paraId="150D36A6">
      <w:pPr>
        <w:spacing w:before="156" w:beforeLines="50" w:after="156" w:afterLines="50" w:line="400" w:lineRule="exact"/>
        <w:rPr>
          <w:rFonts w:hint="eastAsia" w:ascii="宋体" w:hAnsi="宋体"/>
          <w:sz w:val="24"/>
          <w:szCs w:val="24"/>
        </w:rPr>
      </w:pPr>
      <w:r>
        <w:rPr>
          <w:rFonts w:hint="eastAsia" w:ascii="宋体" w:hAnsi="宋体"/>
          <w:sz w:val="24"/>
          <w:szCs w:val="24"/>
        </w:rPr>
        <w:t>117.159.21.134--117.159.21.146</w:t>
      </w:r>
    </w:p>
    <w:p w14:paraId="78E2C394">
      <w:pPr>
        <w:spacing w:before="156" w:beforeLines="50" w:after="156" w:afterLines="50" w:line="400" w:lineRule="exact"/>
        <w:rPr>
          <w:rFonts w:hint="eastAsia" w:ascii="宋体" w:hAnsi="宋体"/>
          <w:sz w:val="24"/>
          <w:szCs w:val="24"/>
        </w:rPr>
      </w:pPr>
      <w:r>
        <w:rPr>
          <w:rFonts w:hint="eastAsia" w:ascii="宋体" w:hAnsi="宋体"/>
          <w:sz w:val="24"/>
          <w:szCs w:val="24"/>
        </w:rPr>
        <w:t>171.8.119.109--171.8.119.128</w:t>
      </w:r>
    </w:p>
    <w:p w14:paraId="386CE280">
      <w:pPr>
        <w:spacing w:before="156" w:beforeLines="50" w:after="156" w:afterLines="50" w:line="400" w:lineRule="exact"/>
        <w:rPr>
          <w:rFonts w:hint="eastAsia" w:ascii="宋体" w:hAnsi="宋体"/>
          <w:sz w:val="24"/>
          <w:szCs w:val="24"/>
        </w:rPr>
      </w:pPr>
      <w:r>
        <w:rPr>
          <w:rFonts w:hint="eastAsia" w:ascii="宋体" w:hAnsi="宋体"/>
          <w:sz w:val="24"/>
          <w:szCs w:val="24"/>
        </w:rPr>
        <w:t>125.41.237.0--125.41.237.255</w:t>
      </w:r>
    </w:p>
    <w:p w14:paraId="1D136EB5">
      <w:pPr>
        <w:spacing w:before="156" w:beforeLines="50" w:after="156" w:afterLines="50" w:line="400" w:lineRule="exact"/>
        <w:rPr>
          <w:rFonts w:hint="eastAsia" w:ascii="宋体" w:hAnsi="宋体"/>
          <w:sz w:val="24"/>
          <w:szCs w:val="24"/>
        </w:rPr>
      </w:pPr>
      <w:r>
        <w:rPr>
          <w:rFonts w:hint="eastAsia" w:ascii="宋体" w:hAnsi="宋体"/>
          <w:sz w:val="24"/>
          <w:szCs w:val="24"/>
        </w:rPr>
        <w:t>218.28.226.1--218.28.226.34</w:t>
      </w:r>
    </w:p>
    <w:p w14:paraId="62FD1EB2">
      <w:pPr>
        <w:spacing w:before="156" w:beforeLines="50" w:after="156" w:afterLines="50" w:line="400" w:lineRule="exact"/>
        <w:rPr>
          <w:rFonts w:hint="eastAsia" w:ascii="宋体" w:hAnsi="宋体"/>
          <w:sz w:val="24"/>
          <w:szCs w:val="24"/>
        </w:rPr>
      </w:pPr>
      <w:r>
        <w:rPr>
          <w:rFonts w:hint="eastAsia" w:ascii="宋体" w:hAnsi="宋体"/>
          <w:sz w:val="24"/>
          <w:szCs w:val="24"/>
        </w:rPr>
        <w:t>42.228.55.160--42.228.55.169</w:t>
      </w:r>
    </w:p>
    <w:p w14:paraId="07F79ACE">
      <w:pPr>
        <w:spacing w:before="156" w:beforeLines="50" w:after="156" w:afterLines="50" w:line="400" w:lineRule="exact"/>
        <w:rPr>
          <w:rFonts w:hint="eastAsia" w:ascii="宋体" w:hAnsi="宋体"/>
          <w:sz w:val="24"/>
          <w:szCs w:val="24"/>
        </w:rPr>
      </w:pPr>
      <w:r>
        <w:rPr>
          <w:rFonts w:hint="eastAsia" w:ascii="宋体" w:hAnsi="宋体"/>
          <w:sz w:val="24"/>
          <w:szCs w:val="24"/>
        </w:rPr>
        <w:t>219.157.165.49--219.157.165.49</w:t>
      </w:r>
    </w:p>
    <w:p w14:paraId="7A9E7764">
      <w:pPr>
        <w:spacing w:before="156" w:beforeLines="50" w:after="156" w:afterLines="50" w:line="400" w:lineRule="exact"/>
        <w:rPr>
          <w:rFonts w:hint="eastAsia" w:ascii="宋体" w:hAnsi="宋体"/>
          <w:sz w:val="24"/>
          <w:szCs w:val="24"/>
        </w:rPr>
      </w:pPr>
      <w:r>
        <w:rPr>
          <w:rFonts w:hint="eastAsia" w:ascii="宋体" w:hAnsi="宋体"/>
          <w:sz w:val="24"/>
          <w:szCs w:val="24"/>
        </w:rPr>
        <w:t>171.15.18.98--171.15.18.98</w:t>
      </w:r>
    </w:p>
    <w:p w14:paraId="6128DC10">
      <w:pPr>
        <w:spacing w:before="156" w:beforeLines="50" w:after="156" w:afterLines="50" w:line="400" w:lineRule="exact"/>
        <w:rPr>
          <w:rFonts w:hint="eastAsia" w:ascii="宋体" w:hAnsi="宋体"/>
          <w:sz w:val="24"/>
          <w:szCs w:val="24"/>
        </w:rPr>
      </w:pPr>
      <w:r>
        <w:rPr>
          <w:rFonts w:hint="eastAsia" w:ascii="宋体" w:hAnsi="宋体"/>
          <w:sz w:val="24"/>
          <w:szCs w:val="24"/>
        </w:rPr>
        <w:t>115.60.144.0--115.60.151.254</w:t>
      </w:r>
    </w:p>
    <w:p w14:paraId="339A1575">
      <w:pPr>
        <w:spacing w:before="156" w:beforeLines="50" w:after="156" w:afterLines="50" w:line="400" w:lineRule="exact"/>
        <w:rPr>
          <w:rFonts w:hint="eastAsia" w:ascii="宋体" w:hAnsi="宋体"/>
          <w:sz w:val="24"/>
          <w:szCs w:val="24"/>
        </w:rPr>
      </w:pPr>
      <w:r>
        <w:rPr>
          <w:rFonts w:hint="eastAsia" w:ascii="宋体" w:hAnsi="宋体"/>
          <w:sz w:val="24"/>
          <w:szCs w:val="24"/>
        </w:rPr>
        <w:t>115.60.16.0--115.60.19.255</w:t>
      </w:r>
    </w:p>
    <w:p w14:paraId="5257F3AB">
      <w:pPr>
        <w:spacing w:before="156" w:beforeLines="50" w:after="156" w:afterLines="50" w:line="400" w:lineRule="exact"/>
        <w:rPr>
          <w:rFonts w:hint="eastAsia" w:ascii="宋体" w:hAnsi="宋体"/>
          <w:sz w:val="24"/>
          <w:szCs w:val="24"/>
        </w:rPr>
      </w:pPr>
      <w:r>
        <w:rPr>
          <w:rFonts w:hint="eastAsia" w:ascii="宋体" w:hAnsi="宋体"/>
          <w:sz w:val="24"/>
          <w:szCs w:val="24"/>
        </w:rPr>
        <w:t>115.60.20.0--115.60.23.255</w:t>
      </w:r>
    </w:p>
    <w:p w14:paraId="61B3EA03">
      <w:pPr>
        <w:spacing w:before="156" w:beforeLines="50" w:after="156" w:afterLines="50" w:line="400" w:lineRule="exact"/>
        <w:rPr>
          <w:rFonts w:hint="eastAsia" w:ascii="宋体" w:hAnsi="宋体"/>
          <w:sz w:val="24"/>
          <w:szCs w:val="24"/>
        </w:rPr>
      </w:pPr>
      <w:r>
        <w:rPr>
          <w:rFonts w:hint="eastAsia" w:ascii="宋体" w:hAnsi="宋体"/>
          <w:sz w:val="24"/>
          <w:szCs w:val="24"/>
        </w:rPr>
        <w:t>115.60.16.1--115.60.19.254</w:t>
      </w:r>
    </w:p>
    <w:p w14:paraId="1D0C63BF">
      <w:pPr>
        <w:spacing w:before="156" w:beforeLines="50" w:after="156" w:afterLines="50" w:line="400" w:lineRule="exact"/>
        <w:rPr>
          <w:rFonts w:hint="eastAsia" w:ascii="宋体" w:hAnsi="宋体"/>
          <w:sz w:val="24"/>
          <w:szCs w:val="24"/>
        </w:rPr>
      </w:pPr>
      <w:r>
        <w:rPr>
          <w:rFonts w:hint="eastAsia" w:ascii="宋体" w:hAnsi="宋体"/>
          <w:sz w:val="24"/>
          <w:szCs w:val="24"/>
        </w:rPr>
        <w:t>117.160.205.239--117.160.205.243</w:t>
      </w:r>
    </w:p>
    <w:p w14:paraId="73C0EBF3">
      <w:pPr>
        <w:ind w:right="-855" w:rightChars="-407"/>
        <w:rPr>
          <w:rFonts w:hint="eastAsia" w:ascii="宋体" w:hAnsi="宋体"/>
          <w:sz w:val="24"/>
          <w:szCs w:val="24"/>
        </w:rPr>
      </w:pPr>
    </w:p>
    <w:p w14:paraId="7C6404F4">
      <w:pPr>
        <w:spacing w:line="480" w:lineRule="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A2983"/>
    <w:rsid w:val="0A6C09DE"/>
    <w:rsid w:val="465E04BB"/>
    <w:rsid w:val="4EA03201"/>
    <w:rsid w:val="4FD3409E"/>
    <w:rsid w:val="630765A0"/>
    <w:rsid w:val="6F82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2023-12-12T06:20:00Z</dcterms:created>
  <dc:creator>Administrator</dc:creator>
  <cp:lastModifiedBy>中科软股-商务部-李</cp:lastModifiedBy>
  <dcterms:modified xsi:type="dcterms:W3CDTF">2024-11-28T01:36:39Z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BE249892124C419E96D4B944CA97F130_12</vt:lpwstr>
  </property>
</Properties>
</file>