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567A2">
      <w:pPr>
        <w:jc w:val="center"/>
        <w:rPr>
          <w:sz w:val="36"/>
          <w:szCs w:val="36"/>
        </w:rPr>
      </w:pPr>
      <w:r>
        <w:rPr>
          <w:rFonts w:hint="eastAsia"/>
          <w:b/>
          <w:bCs/>
          <w:sz w:val="36"/>
          <w:szCs w:val="36"/>
        </w:rPr>
        <w:t>河南省教育考试院登封基地28号楼围墙工程建设项目工程量清单编制说明</w:t>
      </w:r>
    </w:p>
    <w:p w14:paraId="7C0D777F">
      <w:pPr>
        <w:snapToGrid w:val="0"/>
        <w:spacing w:line="360" w:lineRule="auto"/>
        <w:jc w:val="left"/>
        <w:rPr>
          <w:rFonts w:ascii="宋体" w:hAnsi="宋体"/>
          <w:b/>
          <w:sz w:val="28"/>
        </w:rPr>
      </w:pPr>
      <w:r>
        <w:rPr>
          <w:rFonts w:hint="eastAsia" w:ascii="宋体" w:hAnsi="宋体"/>
          <w:b/>
          <w:sz w:val="28"/>
        </w:rPr>
        <w:t>一、项目概况</w:t>
      </w:r>
    </w:p>
    <w:p w14:paraId="7E243B2E">
      <w:pPr>
        <w:snapToGrid w:val="0"/>
        <w:spacing w:line="360" w:lineRule="auto"/>
        <w:ind w:firstLine="560" w:firstLineChars="200"/>
        <w:jc w:val="left"/>
        <w:rPr>
          <w:rFonts w:ascii="宋体" w:hAnsi="宋体"/>
          <w:sz w:val="28"/>
        </w:rPr>
      </w:pPr>
      <w:r>
        <w:rPr>
          <w:rFonts w:hint="eastAsia" w:ascii="宋体" w:hAnsi="宋体"/>
          <w:sz w:val="28"/>
        </w:rPr>
        <w:t>本次建设范围</w:t>
      </w:r>
      <w:r>
        <w:rPr>
          <w:rFonts w:hint="eastAsia" w:ascii="宋体" w:hAnsi="宋体"/>
          <w:sz w:val="28"/>
          <w:lang w:val="en-US" w:eastAsia="zh-CN"/>
        </w:rPr>
        <w:t>为河南省教育考试院登封基地28号楼围墙工程建设项目,主要有：景观围墙及围墙电气工程</w:t>
      </w:r>
      <w:r>
        <w:rPr>
          <w:rFonts w:hint="eastAsia" w:ascii="宋体" w:hAnsi="宋体"/>
          <w:sz w:val="28"/>
        </w:rPr>
        <w:t>。</w:t>
      </w:r>
    </w:p>
    <w:p w14:paraId="0965234A">
      <w:pPr>
        <w:snapToGrid w:val="0"/>
        <w:spacing w:before="156" w:beforeLines="50" w:line="360" w:lineRule="auto"/>
        <w:jc w:val="left"/>
        <w:rPr>
          <w:rFonts w:ascii="宋体" w:hAnsi="宋体"/>
          <w:sz w:val="28"/>
        </w:rPr>
      </w:pPr>
      <w:r>
        <w:rPr>
          <w:rFonts w:hint="eastAsia" w:ascii="宋体" w:hAnsi="宋体"/>
          <w:sz w:val="28"/>
        </w:rPr>
        <w:t>二、</w:t>
      </w:r>
      <w:r>
        <w:rPr>
          <w:rFonts w:hint="eastAsia" w:ascii="宋体" w:hAnsi="宋体"/>
          <w:b/>
          <w:sz w:val="28"/>
        </w:rPr>
        <w:t>编制范围</w:t>
      </w:r>
    </w:p>
    <w:p w14:paraId="6B7516DF">
      <w:pPr>
        <w:snapToGrid w:val="0"/>
        <w:spacing w:line="360" w:lineRule="auto"/>
        <w:ind w:firstLine="560" w:firstLineChars="200"/>
        <w:jc w:val="left"/>
        <w:rPr>
          <w:rFonts w:hint="eastAsia" w:ascii="宋体" w:hAnsi="宋体" w:eastAsia="宋体"/>
          <w:sz w:val="28"/>
          <w:lang w:eastAsia="zh-CN"/>
        </w:rPr>
      </w:pPr>
      <w:r>
        <w:rPr>
          <w:rFonts w:hint="eastAsia" w:ascii="宋体" w:hAnsi="宋体"/>
          <w:sz w:val="28"/>
          <w:lang w:val="en-US" w:eastAsia="zh-CN"/>
        </w:rPr>
        <w:t>河南省教育考试院登封基地28号楼围墙工程建设项目</w:t>
      </w:r>
      <w:r>
        <w:rPr>
          <w:rFonts w:hint="eastAsia" w:ascii="宋体" w:hAnsi="宋体"/>
          <w:sz w:val="28"/>
        </w:rPr>
        <w:t>施工图包含的所有内容，主要包括：</w:t>
      </w:r>
      <w:r>
        <w:rPr>
          <w:rFonts w:hint="eastAsia" w:ascii="宋体" w:hAnsi="宋体"/>
          <w:sz w:val="28"/>
          <w:lang w:val="en-US" w:eastAsia="zh-CN"/>
        </w:rPr>
        <w:t>景观围墙及围墙电气工程（不包含变电所至景观照明配电箱YJY22-4*25电缆及照明配电箱AL-JG）</w:t>
      </w:r>
      <w:r>
        <w:rPr>
          <w:rFonts w:hint="eastAsia" w:ascii="宋体" w:hAnsi="宋体"/>
          <w:sz w:val="28"/>
          <w:lang w:eastAsia="zh-CN"/>
        </w:rPr>
        <w:t>。</w:t>
      </w:r>
    </w:p>
    <w:p w14:paraId="5BEE27E9">
      <w:pPr>
        <w:autoSpaceDE w:val="0"/>
        <w:autoSpaceDN w:val="0"/>
        <w:snapToGrid w:val="0"/>
        <w:spacing w:line="360" w:lineRule="auto"/>
        <w:rPr>
          <w:rFonts w:cs="楷体_GB2312" w:asciiTheme="minorEastAsia" w:hAnsiTheme="minorEastAsia" w:eastAsiaTheme="minorEastAsia"/>
          <w:kern w:val="0"/>
          <w:sz w:val="28"/>
          <w:szCs w:val="28"/>
        </w:rPr>
      </w:pPr>
      <w:r>
        <w:rPr>
          <w:rFonts w:hint="eastAsia" w:ascii="宋体" w:hAnsi="宋体"/>
          <w:b/>
          <w:sz w:val="28"/>
        </w:rPr>
        <w:t>三、编制依据</w:t>
      </w:r>
    </w:p>
    <w:p w14:paraId="0C01606B">
      <w:pPr>
        <w:autoSpaceDE w:val="0"/>
        <w:autoSpaceDN w:val="0"/>
        <w:snapToGrid w:val="0"/>
        <w:spacing w:line="360" w:lineRule="auto"/>
        <w:ind w:firstLine="565" w:firstLineChars="202"/>
        <w:rPr>
          <w:rFonts w:cs="楷体_GB2312" w:asciiTheme="minorEastAsia" w:hAnsiTheme="minorEastAsia" w:eastAsiaTheme="minorEastAsia"/>
          <w:kern w:val="0"/>
          <w:sz w:val="28"/>
          <w:szCs w:val="28"/>
        </w:rPr>
      </w:pPr>
      <w:r>
        <w:rPr>
          <w:rFonts w:hint="eastAsia" w:cs="楷体_GB2312" w:asciiTheme="minorEastAsia" w:hAnsiTheme="minorEastAsia" w:eastAsiaTheme="minorEastAsia"/>
          <w:kern w:val="0"/>
          <w:sz w:val="28"/>
          <w:szCs w:val="28"/>
        </w:rPr>
        <w:t>1、《施工图设计》；</w:t>
      </w:r>
    </w:p>
    <w:p w14:paraId="1F79F6D0">
      <w:pPr>
        <w:autoSpaceDE w:val="0"/>
        <w:autoSpaceDN w:val="0"/>
        <w:snapToGrid w:val="0"/>
        <w:spacing w:line="360" w:lineRule="auto"/>
        <w:ind w:firstLine="565" w:firstLineChars="202"/>
        <w:rPr>
          <w:rFonts w:cs="楷体_GB2312" w:asciiTheme="minorEastAsia" w:hAnsiTheme="minorEastAsia" w:eastAsiaTheme="minorEastAsia"/>
          <w:kern w:val="0"/>
          <w:sz w:val="28"/>
          <w:szCs w:val="28"/>
        </w:rPr>
      </w:pPr>
      <w:r>
        <w:rPr>
          <w:rFonts w:hint="eastAsia" w:cs="楷体_GB2312" w:asciiTheme="minorEastAsia" w:hAnsiTheme="minorEastAsia" w:eastAsiaTheme="minorEastAsia"/>
          <w:kern w:val="0"/>
          <w:sz w:val="28"/>
          <w:szCs w:val="28"/>
        </w:rPr>
        <w:t>2、招标文件；</w:t>
      </w:r>
    </w:p>
    <w:p w14:paraId="238CA176">
      <w:pPr>
        <w:autoSpaceDE w:val="0"/>
        <w:autoSpaceDN w:val="0"/>
        <w:snapToGrid w:val="0"/>
        <w:spacing w:line="360" w:lineRule="auto"/>
        <w:ind w:firstLine="565" w:firstLineChars="202"/>
        <w:rPr>
          <w:rFonts w:cs="楷体_GB2312" w:asciiTheme="minorEastAsia" w:hAnsiTheme="minorEastAsia" w:eastAsiaTheme="minorEastAsia"/>
          <w:kern w:val="0"/>
          <w:sz w:val="28"/>
          <w:szCs w:val="28"/>
        </w:rPr>
      </w:pPr>
      <w:r>
        <w:rPr>
          <w:rFonts w:hint="eastAsia" w:cs="楷体_GB2312" w:asciiTheme="minorEastAsia" w:hAnsiTheme="minorEastAsia" w:eastAsiaTheme="minorEastAsia"/>
          <w:kern w:val="0"/>
          <w:sz w:val="28"/>
          <w:szCs w:val="28"/>
        </w:rPr>
        <w:t>3、《建设工程工程量清单计价规范》（GB50500-2013）、《市政工程工程量计算规范》GB50857-2013及《通用安装工程工程量计算规范》GB50856-2013</w:t>
      </w:r>
      <w:r>
        <w:rPr>
          <w:rFonts w:hint="eastAsia" w:cs="楷体_GB2312" w:asciiTheme="minorEastAsia" w:hAnsiTheme="minorEastAsia" w:eastAsiaTheme="minorEastAsia"/>
          <w:kern w:val="0"/>
          <w:sz w:val="28"/>
          <w:szCs w:val="28"/>
          <w:lang w:eastAsia="zh-CN"/>
        </w:rPr>
        <w:t>、</w:t>
      </w:r>
      <w:r>
        <w:rPr>
          <w:rFonts w:hint="eastAsia" w:cs="楷体_GB2312" w:asciiTheme="minorEastAsia" w:hAnsiTheme="minorEastAsia" w:eastAsiaTheme="minorEastAsia"/>
          <w:kern w:val="0"/>
          <w:sz w:val="28"/>
          <w:szCs w:val="28"/>
        </w:rPr>
        <w:t>《房屋建筑与装饰工程工程量计算规范》GB5</w:t>
      </w:r>
      <w:r>
        <w:rPr>
          <w:rFonts w:hint="eastAsia" w:cs="楷体_GB2312" w:asciiTheme="minorEastAsia" w:hAnsiTheme="minorEastAsia" w:eastAsiaTheme="minorEastAsia"/>
          <w:kern w:val="0"/>
          <w:sz w:val="28"/>
          <w:szCs w:val="28"/>
          <w:lang w:val="en-US" w:eastAsia="zh-CN"/>
        </w:rPr>
        <w:t>0</w:t>
      </w:r>
      <w:r>
        <w:rPr>
          <w:rFonts w:hint="eastAsia" w:cs="楷体_GB2312" w:asciiTheme="minorEastAsia" w:hAnsiTheme="minorEastAsia" w:eastAsiaTheme="minorEastAsia"/>
          <w:kern w:val="0"/>
          <w:sz w:val="28"/>
          <w:szCs w:val="28"/>
        </w:rPr>
        <w:t>85</w:t>
      </w:r>
      <w:r>
        <w:rPr>
          <w:rFonts w:hint="eastAsia" w:cs="楷体_GB2312" w:asciiTheme="minorEastAsia" w:hAnsiTheme="minorEastAsia" w:eastAsiaTheme="minorEastAsia"/>
          <w:kern w:val="0"/>
          <w:sz w:val="28"/>
          <w:szCs w:val="28"/>
          <w:lang w:val="en-US" w:eastAsia="zh-CN"/>
        </w:rPr>
        <w:t>4</w:t>
      </w:r>
      <w:r>
        <w:rPr>
          <w:rFonts w:hint="eastAsia" w:cs="楷体_GB2312" w:asciiTheme="minorEastAsia" w:hAnsiTheme="minorEastAsia" w:eastAsiaTheme="minorEastAsia"/>
          <w:kern w:val="0"/>
          <w:sz w:val="28"/>
          <w:szCs w:val="28"/>
        </w:rPr>
        <w:t>-2013及相关配套文件；</w:t>
      </w:r>
    </w:p>
    <w:p w14:paraId="5A8CF247">
      <w:pPr>
        <w:autoSpaceDE w:val="0"/>
        <w:autoSpaceDN w:val="0"/>
        <w:snapToGrid w:val="0"/>
        <w:spacing w:line="360" w:lineRule="auto"/>
        <w:ind w:firstLine="565" w:firstLineChars="202"/>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4、有关国家、省市现行建筑施工规范及规程标准；</w:t>
      </w:r>
    </w:p>
    <w:p w14:paraId="7CF1D99D">
      <w:pPr>
        <w:autoSpaceDE w:val="0"/>
        <w:autoSpaceDN w:val="0"/>
        <w:snapToGrid w:val="0"/>
        <w:spacing w:line="360" w:lineRule="auto"/>
        <w:ind w:firstLine="565" w:firstLineChars="202"/>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w:t>
      </w:r>
      <w:r>
        <w:rPr>
          <w:rFonts w:hint="eastAsia" w:ascii="宋体" w:hAnsi="宋体"/>
          <w:sz w:val="28"/>
        </w:rPr>
        <w:t>、</w:t>
      </w:r>
      <w:r>
        <w:rPr>
          <w:rFonts w:hint="eastAsia" w:cs="宋体" w:asciiTheme="minorEastAsia" w:hAnsiTheme="minorEastAsia" w:eastAsiaTheme="minorEastAsia"/>
          <w:sz w:val="28"/>
          <w:szCs w:val="28"/>
        </w:rPr>
        <w:t>与建设工程项目有关的标准、规范、技术资料；</w:t>
      </w:r>
    </w:p>
    <w:p w14:paraId="173C75D9">
      <w:pPr>
        <w:autoSpaceDE w:val="0"/>
        <w:autoSpaceDN w:val="0"/>
        <w:snapToGrid w:val="0"/>
        <w:spacing w:line="360" w:lineRule="auto"/>
        <w:ind w:firstLine="565" w:firstLineChars="202"/>
        <w:rPr>
          <w:rFonts w:ascii="宋体" w:hAnsi="宋体"/>
          <w:sz w:val="28"/>
        </w:rPr>
      </w:pPr>
      <w:r>
        <w:rPr>
          <w:rFonts w:hint="eastAsia" w:ascii="宋体" w:hAnsi="宋体"/>
          <w:sz w:val="28"/>
        </w:rPr>
        <w:t>6、河南省、郑州市</w:t>
      </w:r>
      <w:r>
        <w:rPr>
          <w:rFonts w:hint="eastAsia" w:ascii="宋体" w:hAnsi="宋体"/>
          <w:sz w:val="28"/>
          <w:lang w:val="en-US" w:eastAsia="zh-CN"/>
        </w:rPr>
        <w:t>及登封市</w:t>
      </w:r>
      <w:r>
        <w:rPr>
          <w:rFonts w:hint="eastAsia" w:ascii="宋体" w:hAnsi="宋体"/>
          <w:sz w:val="28"/>
        </w:rPr>
        <w:t>现行与工程造价相关的政策文件，与建设项目相关的标准（包括标准图集）、规定、规范等技术资料。</w:t>
      </w:r>
    </w:p>
    <w:p w14:paraId="1F08F1F2">
      <w:pPr>
        <w:snapToGrid w:val="0"/>
        <w:spacing w:before="156" w:beforeLines="50" w:line="360" w:lineRule="auto"/>
        <w:jc w:val="left"/>
        <w:rPr>
          <w:rFonts w:ascii="宋体" w:hAnsi="宋体"/>
          <w:b/>
          <w:sz w:val="28"/>
        </w:rPr>
      </w:pPr>
      <w:r>
        <w:rPr>
          <w:rFonts w:hint="eastAsia" w:ascii="宋体" w:hAnsi="宋体"/>
          <w:b/>
          <w:sz w:val="28"/>
        </w:rPr>
        <w:t>四、其他需说明的事项</w:t>
      </w:r>
    </w:p>
    <w:p w14:paraId="425B456E">
      <w:pPr>
        <w:snapToGrid w:val="0"/>
        <w:spacing w:before="156" w:beforeLines="50" w:line="360" w:lineRule="auto"/>
        <w:ind w:firstLine="562"/>
        <w:jc w:val="left"/>
        <w:rPr>
          <w:rFonts w:ascii="宋体" w:hAnsi="宋体"/>
          <w:bCs/>
          <w:sz w:val="28"/>
        </w:rPr>
      </w:pPr>
      <w:r>
        <w:rPr>
          <w:rFonts w:hint="eastAsia" w:ascii="宋体" w:hAnsi="宋体"/>
          <w:bCs/>
          <w:sz w:val="28"/>
        </w:rPr>
        <w:t xml:space="preserve"> 1、其他项目：</w:t>
      </w:r>
      <w:r>
        <w:rPr>
          <w:rFonts w:hint="eastAsia" w:ascii="宋体" w:hAnsi="宋体"/>
          <w:sz w:val="28"/>
          <w:lang w:val="en-US" w:eastAsia="zh-CN"/>
        </w:rPr>
        <w:t>河南省教育考试院登封基地28号楼围墙工程建设项目</w:t>
      </w:r>
      <w:r>
        <w:rPr>
          <w:rFonts w:hint="eastAsia" w:ascii="宋体" w:hAnsi="宋体"/>
          <w:bCs/>
          <w:sz w:val="28"/>
        </w:rPr>
        <w:t>暂列金额174000</w:t>
      </w:r>
      <w:r>
        <w:rPr>
          <w:rFonts w:hint="eastAsia" w:ascii="宋体" w:hAnsi="宋体"/>
          <w:bCs/>
          <w:sz w:val="28"/>
          <w:lang w:val="en-US" w:eastAsia="zh-CN"/>
        </w:rPr>
        <w:t>.00</w:t>
      </w:r>
      <w:r>
        <w:rPr>
          <w:rFonts w:hint="eastAsia" w:ascii="宋体" w:hAnsi="宋体"/>
          <w:bCs/>
          <w:sz w:val="28"/>
        </w:rPr>
        <w:t>元</w:t>
      </w:r>
      <w:r>
        <w:rPr>
          <w:rFonts w:hint="eastAsia" w:ascii="宋体" w:hAnsi="宋体"/>
          <w:bCs/>
          <w:sz w:val="28"/>
          <w:lang w:eastAsia="zh-CN"/>
        </w:rPr>
        <w:t>，</w:t>
      </w:r>
      <w:r>
        <w:rPr>
          <w:rFonts w:hint="eastAsia" w:ascii="宋体" w:hAnsi="宋体"/>
          <w:bCs/>
          <w:sz w:val="28"/>
        </w:rPr>
        <w:t>专业工程暂估价</w:t>
      </w:r>
      <w:bookmarkStart w:id="0" w:name="_GoBack"/>
      <w:bookmarkEnd w:id="0"/>
      <w:r>
        <w:rPr>
          <w:rFonts w:hint="eastAsia" w:ascii="宋体" w:hAnsi="宋体"/>
          <w:bCs/>
          <w:sz w:val="28"/>
          <w:lang w:val="en-US" w:eastAsia="zh-CN"/>
        </w:rPr>
        <w:t>406527.40</w:t>
      </w:r>
      <w:r>
        <w:rPr>
          <w:rFonts w:hint="eastAsia" w:ascii="宋体" w:hAnsi="宋体"/>
          <w:bCs/>
          <w:sz w:val="28"/>
        </w:rPr>
        <w:t>元。</w:t>
      </w:r>
    </w:p>
    <w:p w14:paraId="0870C129">
      <w:pPr>
        <w:snapToGrid w:val="0"/>
        <w:spacing w:before="156" w:beforeLines="50" w:line="360" w:lineRule="auto"/>
        <w:ind w:firstLine="562"/>
        <w:jc w:val="left"/>
        <w:rPr>
          <w:rFonts w:ascii="宋体" w:hAnsi="宋体"/>
          <w:bCs/>
          <w:sz w:val="28"/>
        </w:rPr>
      </w:pPr>
      <w:r>
        <w:rPr>
          <w:rFonts w:hint="eastAsia" w:ascii="宋体" w:hAnsi="宋体"/>
          <w:bCs/>
          <w:sz w:val="28"/>
        </w:rPr>
        <w:t>2、土方工程清单工程量，依据相关专业的工程量计算规范计算规则（以下简称“清单计算规则”）要求计算，并已综合考虑放坡、工作面等施工需要而增加的措施工程量。</w:t>
      </w:r>
    </w:p>
    <w:p w14:paraId="321E135A">
      <w:pPr>
        <w:snapToGrid w:val="0"/>
        <w:spacing w:before="156" w:beforeLines="50" w:line="360" w:lineRule="auto"/>
        <w:ind w:firstLine="562"/>
        <w:jc w:val="left"/>
        <w:rPr>
          <w:rFonts w:ascii="宋体" w:hAnsi="宋体"/>
          <w:bCs/>
          <w:sz w:val="28"/>
        </w:rPr>
      </w:pPr>
      <w:r>
        <w:rPr>
          <w:rFonts w:hint="eastAsia" w:ascii="宋体" w:hAnsi="宋体"/>
          <w:bCs/>
          <w:sz w:val="28"/>
        </w:rPr>
        <w:t>投标单位在投标报价时，需结合本项目特点、其编制的施工组织设计、专项施工方案，针对施工过程中投标人采取的施工措施与“清单计算规则”不一致的地方，由其在投标报价中综合考虑。工程结算时按“清单计算规则”计算土方工程量，不再考虑实际施工时土方工程的放坡、工作面等情况与“清单计算规则”不一致的地方。</w:t>
      </w:r>
    </w:p>
    <w:p w14:paraId="68BE5D9B">
      <w:pPr>
        <w:snapToGrid w:val="0"/>
        <w:spacing w:before="156" w:beforeLines="50" w:line="360" w:lineRule="auto"/>
        <w:ind w:firstLine="562"/>
        <w:jc w:val="left"/>
        <w:rPr>
          <w:rFonts w:ascii="宋体" w:hAnsi="宋体"/>
          <w:bCs/>
          <w:sz w:val="28"/>
        </w:rPr>
      </w:pPr>
      <w:r>
        <w:rPr>
          <w:rFonts w:hint="eastAsia" w:ascii="宋体" w:hAnsi="宋体"/>
          <w:bCs/>
          <w:sz w:val="28"/>
          <w:lang w:val="en-US" w:eastAsia="zh-CN"/>
        </w:rPr>
        <w:t>3</w:t>
      </w:r>
      <w:r>
        <w:rPr>
          <w:rFonts w:hint="eastAsia" w:ascii="宋体" w:hAnsi="宋体"/>
          <w:bCs/>
          <w:sz w:val="28"/>
        </w:rPr>
        <w:t>、混凝土如清单描述未注明均采用商品混凝土，砂浆如清单描述未注明均采用预拌砂浆。</w:t>
      </w:r>
    </w:p>
    <w:p w14:paraId="73E79EE6">
      <w:pPr>
        <w:snapToGrid w:val="0"/>
        <w:spacing w:before="156" w:beforeLines="50" w:line="360" w:lineRule="auto"/>
        <w:ind w:firstLine="562"/>
        <w:jc w:val="left"/>
        <w:rPr>
          <w:rFonts w:hint="eastAsia" w:ascii="宋体" w:hAnsi="宋体"/>
          <w:bCs/>
          <w:sz w:val="28"/>
        </w:rPr>
      </w:pPr>
      <w:r>
        <w:rPr>
          <w:rFonts w:hint="eastAsia" w:ascii="宋体" w:hAnsi="宋体"/>
          <w:bCs/>
          <w:sz w:val="28"/>
          <w:lang w:val="en-US" w:eastAsia="zh-CN"/>
        </w:rPr>
        <w:t>4</w:t>
      </w:r>
      <w:r>
        <w:rPr>
          <w:rFonts w:hint="eastAsia" w:ascii="宋体" w:hAnsi="宋体"/>
          <w:bCs/>
          <w:sz w:val="28"/>
        </w:rPr>
        <w:t>、分部分项工程量清单中对工程项目项目特征及具体做法只做重点描述，详细情况见施工图设计、技术说明及相关标准图集，组价时应结合投标人现场踏勘情况，包括完成所有工序工作内容的全部费用。</w:t>
      </w:r>
    </w:p>
    <w:p w14:paraId="61FB68AF">
      <w:pPr>
        <w:autoSpaceDE w:val="0"/>
        <w:autoSpaceDN w:val="0"/>
        <w:snapToGrid w:val="0"/>
        <w:spacing w:line="360" w:lineRule="auto"/>
        <w:ind w:firstLine="565" w:firstLineChars="202"/>
        <w:rPr>
          <w:rFonts w:ascii="宋体" w:hAnsi="宋体" w:cs="宋体"/>
          <w:sz w:val="28"/>
          <w:szCs w:val="28"/>
        </w:rPr>
      </w:pP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OGYyMjc2MTBlZmMwZWM1MTk3Y2MwZTEyMzEzZjAifQ=="/>
  </w:docVars>
  <w:rsids>
    <w:rsidRoot w:val="009732A3"/>
    <w:rsid w:val="00015B77"/>
    <w:rsid w:val="000338AA"/>
    <w:rsid w:val="00075408"/>
    <w:rsid w:val="000A53B9"/>
    <w:rsid w:val="000A7D75"/>
    <w:rsid w:val="000B1BEF"/>
    <w:rsid w:val="000C3307"/>
    <w:rsid w:val="00136B41"/>
    <w:rsid w:val="00175B64"/>
    <w:rsid w:val="0019552C"/>
    <w:rsid w:val="001C116F"/>
    <w:rsid w:val="001C6B4E"/>
    <w:rsid w:val="00201A30"/>
    <w:rsid w:val="002106AC"/>
    <w:rsid w:val="00247783"/>
    <w:rsid w:val="002F24C7"/>
    <w:rsid w:val="003069B6"/>
    <w:rsid w:val="003344D3"/>
    <w:rsid w:val="003915B1"/>
    <w:rsid w:val="003F4303"/>
    <w:rsid w:val="0041328E"/>
    <w:rsid w:val="00463EDB"/>
    <w:rsid w:val="0048558C"/>
    <w:rsid w:val="004A73BA"/>
    <w:rsid w:val="004C2426"/>
    <w:rsid w:val="00534C61"/>
    <w:rsid w:val="005B1958"/>
    <w:rsid w:val="005B4576"/>
    <w:rsid w:val="005D2B2E"/>
    <w:rsid w:val="005E2002"/>
    <w:rsid w:val="005E65E2"/>
    <w:rsid w:val="006029E4"/>
    <w:rsid w:val="0069502B"/>
    <w:rsid w:val="006961E1"/>
    <w:rsid w:val="006E3BEE"/>
    <w:rsid w:val="006E7398"/>
    <w:rsid w:val="006F172B"/>
    <w:rsid w:val="007015AE"/>
    <w:rsid w:val="007770B6"/>
    <w:rsid w:val="007842A9"/>
    <w:rsid w:val="007926AB"/>
    <w:rsid w:val="007D6023"/>
    <w:rsid w:val="00815273"/>
    <w:rsid w:val="00820D60"/>
    <w:rsid w:val="00824DA0"/>
    <w:rsid w:val="00875876"/>
    <w:rsid w:val="008B791F"/>
    <w:rsid w:val="008D2F8E"/>
    <w:rsid w:val="008D76F6"/>
    <w:rsid w:val="00932FBE"/>
    <w:rsid w:val="00965093"/>
    <w:rsid w:val="009732A3"/>
    <w:rsid w:val="00976222"/>
    <w:rsid w:val="009C0DEC"/>
    <w:rsid w:val="009E4084"/>
    <w:rsid w:val="00A6445A"/>
    <w:rsid w:val="00AC3DC4"/>
    <w:rsid w:val="00B22898"/>
    <w:rsid w:val="00B7005E"/>
    <w:rsid w:val="00C26DB4"/>
    <w:rsid w:val="00C518E8"/>
    <w:rsid w:val="00C60EF5"/>
    <w:rsid w:val="00CB239E"/>
    <w:rsid w:val="00CC30FF"/>
    <w:rsid w:val="00CC7794"/>
    <w:rsid w:val="00D05AA2"/>
    <w:rsid w:val="00D132DE"/>
    <w:rsid w:val="00D170C8"/>
    <w:rsid w:val="00D42AA9"/>
    <w:rsid w:val="00D45A0F"/>
    <w:rsid w:val="00D466F8"/>
    <w:rsid w:val="00D52BFC"/>
    <w:rsid w:val="00D548DA"/>
    <w:rsid w:val="00D74B1B"/>
    <w:rsid w:val="00D76B31"/>
    <w:rsid w:val="00D837BD"/>
    <w:rsid w:val="00D87E7A"/>
    <w:rsid w:val="00D97172"/>
    <w:rsid w:val="00DD57D1"/>
    <w:rsid w:val="00DE248E"/>
    <w:rsid w:val="00DF732C"/>
    <w:rsid w:val="00E06789"/>
    <w:rsid w:val="00E252B3"/>
    <w:rsid w:val="00EE2EB8"/>
    <w:rsid w:val="00EE5E26"/>
    <w:rsid w:val="00F44A0E"/>
    <w:rsid w:val="00FB7B76"/>
    <w:rsid w:val="00FC2048"/>
    <w:rsid w:val="00FE5C7B"/>
    <w:rsid w:val="020C43F7"/>
    <w:rsid w:val="02A125B7"/>
    <w:rsid w:val="098C24CE"/>
    <w:rsid w:val="0A3A6475"/>
    <w:rsid w:val="17722179"/>
    <w:rsid w:val="17DF38F8"/>
    <w:rsid w:val="1CD133A5"/>
    <w:rsid w:val="1F712818"/>
    <w:rsid w:val="20226EA0"/>
    <w:rsid w:val="20FD4DAD"/>
    <w:rsid w:val="22486E54"/>
    <w:rsid w:val="271461EC"/>
    <w:rsid w:val="2CCB0915"/>
    <w:rsid w:val="34442B8E"/>
    <w:rsid w:val="399F2D43"/>
    <w:rsid w:val="3B09594A"/>
    <w:rsid w:val="3E2A4F06"/>
    <w:rsid w:val="3E2D78FA"/>
    <w:rsid w:val="406D0A23"/>
    <w:rsid w:val="40AA0DBD"/>
    <w:rsid w:val="43442834"/>
    <w:rsid w:val="456B7FDB"/>
    <w:rsid w:val="469C5C20"/>
    <w:rsid w:val="47766E42"/>
    <w:rsid w:val="47B14A43"/>
    <w:rsid w:val="48A723F7"/>
    <w:rsid w:val="4C0356E8"/>
    <w:rsid w:val="4C3C0A5F"/>
    <w:rsid w:val="4D455CC8"/>
    <w:rsid w:val="4F8344F9"/>
    <w:rsid w:val="51EA1C45"/>
    <w:rsid w:val="53CD5F50"/>
    <w:rsid w:val="54492C86"/>
    <w:rsid w:val="545149A4"/>
    <w:rsid w:val="55B74828"/>
    <w:rsid w:val="58B208AE"/>
    <w:rsid w:val="58B76DB1"/>
    <w:rsid w:val="5A2E6A57"/>
    <w:rsid w:val="5AF13D31"/>
    <w:rsid w:val="5D2939D8"/>
    <w:rsid w:val="5D664BCA"/>
    <w:rsid w:val="5F242B2A"/>
    <w:rsid w:val="629D280B"/>
    <w:rsid w:val="64A34402"/>
    <w:rsid w:val="64E1677D"/>
    <w:rsid w:val="6587477F"/>
    <w:rsid w:val="66E41D81"/>
    <w:rsid w:val="698D4F51"/>
    <w:rsid w:val="6B62461F"/>
    <w:rsid w:val="6C35535F"/>
    <w:rsid w:val="6C4A23CA"/>
    <w:rsid w:val="6CDA37DD"/>
    <w:rsid w:val="6E89547D"/>
    <w:rsid w:val="6F4F79FE"/>
    <w:rsid w:val="73BF0E77"/>
    <w:rsid w:val="7AFD7657"/>
    <w:rsid w:val="7F2300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4"/>
    <w:qFormat/>
    <w:uiPriority w:val="99"/>
    <w:pPr>
      <w:keepNext/>
      <w:keepLines/>
      <w:spacing w:before="260" w:after="260" w:line="416" w:lineRule="auto"/>
      <w:outlineLvl w:val="2"/>
    </w:pPr>
    <w:rPr>
      <w:b/>
      <w:bCs/>
      <w:sz w:val="32"/>
      <w:szCs w:val="32"/>
    </w:rPr>
  </w:style>
  <w:style w:type="paragraph" w:styleId="5">
    <w:name w:val="heading 4"/>
    <w:basedOn w:val="1"/>
    <w:next w:val="1"/>
    <w:link w:val="15"/>
    <w:qFormat/>
    <w:uiPriority w:val="99"/>
    <w:pPr>
      <w:keepNext/>
      <w:keepLines/>
      <w:spacing w:before="280" w:after="290" w:line="376" w:lineRule="auto"/>
      <w:outlineLvl w:val="3"/>
    </w:pPr>
    <w:rPr>
      <w:rFonts w:ascii="Cambria" w:hAnsi="Cambria"/>
      <w:b/>
      <w:bCs/>
      <w:sz w:val="28"/>
      <w:szCs w:val="28"/>
    </w:rPr>
  </w:style>
  <w:style w:type="paragraph" w:styleId="6">
    <w:name w:val="heading 5"/>
    <w:basedOn w:val="1"/>
    <w:next w:val="1"/>
    <w:link w:val="16"/>
    <w:qFormat/>
    <w:uiPriority w:val="99"/>
    <w:pPr>
      <w:keepNext/>
      <w:keepLines/>
      <w:spacing w:before="280" w:after="290" w:line="376" w:lineRule="auto"/>
      <w:outlineLvl w:val="4"/>
    </w:pPr>
    <w:rPr>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标题 1 字符"/>
    <w:basedOn w:val="10"/>
    <w:link w:val="2"/>
    <w:qFormat/>
    <w:locked/>
    <w:uiPriority w:val="99"/>
    <w:rPr>
      <w:rFonts w:cs="Times New Roman"/>
      <w:b/>
      <w:bCs/>
      <w:kern w:val="44"/>
      <w:sz w:val="44"/>
      <w:szCs w:val="44"/>
    </w:rPr>
  </w:style>
  <w:style w:type="character" w:customStyle="1" w:styleId="13">
    <w:name w:val="标题 2 字符"/>
    <w:basedOn w:val="10"/>
    <w:link w:val="3"/>
    <w:qFormat/>
    <w:locked/>
    <w:uiPriority w:val="99"/>
    <w:rPr>
      <w:rFonts w:ascii="Cambria" w:hAnsi="Cambria" w:eastAsia="宋体" w:cs="Times New Roman"/>
      <w:b/>
      <w:bCs/>
      <w:sz w:val="32"/>
      <w:szCs w:val="32"/>
    </w:rPr>
  </w:style>
  <w:style w:type="character" w:customStyle="1" w:styleId="14">
    <w:name w:val="标题 3 字符"/>
    <w:basedOn w:val="10"/>
    <w:link w:val="4"/>
    <w:qFormat/>
    <w:locked/>
    <w:uiPriority w:val="99"/>
    <w:rPr>
      <w:rFonts w:cs="Times New Roman"/>
      <w:b/>
      <w:bCs/>
      <w:sz w:val="32"/>
      <w:szCs w:val="32"/>
    </w:rPr>
  </w:style>
  <w:style w:type="character" w:customStyle="1" w:styleId="15">
    <w:name w:val="标题 4 字符"/>
    <w:basedOn w:val="10"/>
    <w:link w:val="5"/>
    <w:qFormat/>
    <w:locked/>
    <w:uiPriority w:val="99"/>
    <w:rPr>
      <w:rFonts w:ascii="Cambria" w:hAnsi="Cambria" w:eastAsia="宋体" w:cs="Times New Roman"/>
      <w:b/>
      <w:bCs/>
      <w:sz w:val="28"/>
      <w:szCs w:val="28"/>
    </w:rPr>
  </w:style>
  <w:style w:type="character" w:customStyle="1" w:styleId="16">
    <w:name w:val="标题 5 字符"/>
    <w:basedOn w:val="10"/>
    <w:link w:val="6"/>
    <w:qFormat/>
    <w:locked/>
    <w:uiPriority w:val="99"/>
    <w:rPr>
      <w:rFonts w:cs="Times New Roman"/>
      <w:b/>
      <w:bCs/>
      <w:sz w:val="28"/>
      <w:szCs w:val="28"/>
    </w:rPr>
  </w:style>
  <w:style w:type="paragraph" w:customStyle="1" w:styleId="17">
    <w:name w:val="列出段落1"/>
    <w:basedOn w:val="1"/>
    <w:qFormat/>
    <w:uiPriority w:val="99"/>
    <w:pPr>
      <w:ind w:firstLine="420" w:firstLineChars="200"/>
    </w:pPr>
  </w:style>
  <w:style w:type="character" w:customStyle="1" w:styleId="18">
    <w:name w:val="页眉 字符"/>
    <w:basedOn w:val="10"/>
    <w:link w:val="8"/>
    <w:semiHidden/>
    <w:qFormat/>
    <w:uiPriority w:val="99"/>
    <w:rPr>
      <w:sz w:val="18"/>
      <w:szCs w:val="18"/>
    </w:rPr>
  </w:style>
  <w:style w:type="character" w:customStyle="1" w:styleId="19">
    <w:name w:val="页脚 字符"/>
    <w:basedOn w:val="10"/>
    <w:link w:val="7"/>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783</Words>
  <Characters>860</Characters>
  <Lines>20</Lines>
  <Paragraphs>5</Paragraphs>
  <TotalTime>0</TotalTime>
  <ScaleCrop>false</ScaleCrop>
  <LinksUpToDate>false</LinksUpToDate>
  <CharactersWithSpaces>861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2015-01-28T09:16:00Z</dcterms:created>
  <dc:creator>Windows 用户</dc:creator>
  <cp:lastModifiedBy>DELL</cp:lastModifiedBy>
  <dcterms:modified xsi:type="dcterms:W3CDTF">2024-12-20T10:30:23Z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891F100DFBFC4EB1B0A967AD5E57D83C_13</vt:lpwstr>
  </property>
</Properties>
</file>