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C242">
      <w:pPr>
        <w:widowControl/>
        <w:jc w:val="center"/>
        <w:outlineLvl w:val="0"/>
        <w:rPr>
          <w:rFonts w:hint="eastAsia" w:ascii="宋体" w:hAnsi="宋体" w:eastAsia="宋体" w:cs="Times New Roman"/>
          <w:b/>
          <w:bCs/>
          <w:color w:val="auto"/>
          <w:kern w:val="28"/>
          <w:sz w:val="44"/>
          <w:highlight w:val="none"/>
          <w:lang w:val="en-US" w:eastAsia="zh-CN" w:bidi="en-US"/>
        </w:rPr>
      </w:pPr>
      <w:bookmarkStart w:id="0" w:name="_Toc18329"/>
      <w:r>
        <w:rPr>
          <w:rFonts w:hint="eastAsia" w:ascii="宋体" w:hAnsi="宋体" w:eastAsia="宋体" w:cs="Times New Roman"/>
          <w:b/>
          <w:bCs/>
          <w:color w:val="auto"/>
          <w:kern w:val="28"/>
          <w:sz w:val="44"/>
          <w:highlight w:val="none"/>
          <w:lang w:val="en-US" w:eastAsia="zh-CN" w:bidi="en-US"/>
        </w:rPr>
        <w:t>第三章  采购需求</w:t>
      </w:r>
      <w:bookmarkEnd w:id="0"/>
      <w:bookmarkStart w:id="8" w:name="_GoBack"/>
      <w:bookmarkEnd w:id="8"/>
    </w:p>
    <w:p w14:paraId="0FD49EBD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</w:pPr>
      <w:bookmarkStart w:id="1" w:name="_Toc26534"/>
      <w:bookmarkStart w:id="2" w:name="_Toc106903034"/>
      <w:bookmarkStart w:id="3" w:name="_Toc172146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一、</w:t>
      </w:r>
      <w:bookmarkEnd w:id="1"/>
      <w:bookmarkEnd w:id="2"/>
      <w:bookmarkEnd w:id="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项目概况</w:t>
      </w:r>
    </w:p>
    <w:p w14:paraId="4304696A">
      <w:pPr>
        <w:widowControl/>
        <w:spacing w:line="400" w:lineRule="exact"/>
        <w:ind w:firstLine="482"/>
        <w:jc w:val="both"/>
        <w:rPr>
          <w:rFonts w:hint="eastAsia" w:ascii="微软雅黑" w:hAnsi="微软雅黑" w:eastAsia="微软雅黑" w:cs="Times New Roman"/>
          <w:color w:val="auto"/>
          <w:sz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本次采购项目为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平原实验室2025年新药开发药理毒理项目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，共1个包。</w:t>
      </w:r>
    </w:p>
    <w:p w14:paraId="7A07F777">
      <w:pPr>
        <w:widowControl/>
        <w:spacing w:line="400" w:lineRule="exact"/>
        <w:ind w:firstLine="482"/>
        <w:jc w:val="both"/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本次采购标的对应的中小企业划分标准所属行业为：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其他未列明行业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。</w:t>
      </w:r>
    </w:p>
    <w:p w14:paraId="4791F1DA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4" w:name="_Toc106903035"/>
      <w:bookmarkStart w:id="5" w:name="_Toc26447"/>
      <w:bookmarkStart w:id="6" w:name="_Toc1721464"/>
      <w:bookmarkStart w:id="7" w:name="_Toc23853090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二、</w:t>
      </w:r>
      <w:bookmarkEnd w:id="4"/>
      <w:bookmarkEnd w:id="5"/>
      <w:bookmarkEnd w:id="6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服务要求</w:t>
      </w:r>
    </w:p>
    <w:bookmarkEnd w:id="7"/>
    <w:tbl>
      <w:tblPr>
        <w:tblStyle w:val="6"/>
        <w:tblpPr w:leftFromText="181" w:rightFromText="181" w:vertAnchor="text" w:horzAnchor="page" w:tblpXSpec="center" w:tblpY="5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15"/>
        <w:gridCol w:w="6045"/>
        <w:gridCol w:w="681"/>
        <w:gridCol w:w="720"/>
      </w:tblGrid>
      <w:tr w14:paraId="593D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152F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3C75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名称</w:t>
            </w:r>
          </w:p>
        </w:tc>
        <w:tc>
          <w:tcPr>
            <w:tcW w:w="6045" w:type="dxa"/>
            <w:noWrap w:val="0"/>
            <w:vAlign w:val="center"/>
          </w:tcPr>
          <w:p w14:paraId="36E4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服务要求</w:t>
            </w:r>
          </w:p>
        </w:tc>
        <w:tc>
          <w:tcPr>
            <w:tcW w:w="681" w:type="dxa"/>
            <w:noWrap w:val="0"/>
            <w:vAlign w:val="center"/>
          </w:tcPr>
          <w:p w14:paraId="3A0D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数量</w:t>
            </w:r>
          </w:p>
        </w:tc>
        <w:tc>
          <w:tcPr>
            <w:tcW w:w="720" w:type="dxa"/>
            <w:noWrap w:val="0"/>
            <w:vAlign w:val="center"/>
          </w:tcPr>
          <w:p w14:paraId="10A3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单位</w:t>
            </w:r>
          </w:p>
        </w:tc>
      </w:tr>
      <w:tr w14:paraId="66D6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gridSpan w:val="5"/>
            <w:noWrap w:val="0"/>
            <w:vAlign w:val="center"/>
          </w:tcPr>
          <w:p w14:paraId="6262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一、非临床药代动力学研究</w:t>
            </w:r>
          </w:p>
        </w:tc>
      </w:tr>
      <w:tr w14:paraId="6280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6570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77F4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大鼠和犬血浆样本生物分析方法建立与验证</w:t>
            </w:r>
          </w:p>
        </w:tc>
        <w:tc>
          <w:tcPr>
            <w:tcW w:w="6045" w:type="dxa"/>
            <w:noWrap w:val="0"/>
            <w:vAlign w:val="center"/>
          </w:tcPr>
          <w:p w14:paraId="120A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待测物：供试品原形药物和主要代谢产物（如需）；</w:t>
            </w:r>
          </w:p>
          <w:p w14:paraId="7965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检测方法：LC-MS/MS定量检测；</w:t>
            </w:r>
          </w:p>
          <w:p w14:paraId="720E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研究内容：方法建立和完整方法学验证；</w:t>
            </w:r>
          </w:p>
          <w:p w14:paraId="2502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4、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基质：血浆（大鼠和犬）；</w:t>
            </w:r>
          </w:p>
          <w:p w14:paraId="4A36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备注：提供内标。</w:t>
            </w:r>
          </w:p>
        </w:tc>
        <w:tc>
          <w:tcPr>
            <w:tcW w:w="681" w:type="dxa"/>
            <w:noWrap w:val="0"/>
            <w:vAlign w:val="center"/>
          </w:tcPr>
          <w:p w14:paraId="174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3B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3D9E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5225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43C8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大鼠组织样本生物分析方法建立与验证</w:t>
            </w:r>
          </w:p>
        </w:tc>
        <w:tc>
          <w:tcPr>
            <w:tcW w:w="6045" w:type="dxa"/>
            <w:noWrap w:val="0"/>
            <w:vAlign w:val="center"/>
          </w:tcPr>
          <w:p w14:paraId="3469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待测物：供试品原形药物和主要代谢产物（如需）；</w:t>
            </w:r>
          </w:p>
          <w:p w14:paraId="7F71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检测方法：LC-MS/MS定量检测；</w:t>
            </w:r>
          </w:p>
          <w:p w14:paraId="2FE0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研究内容：方法开发和部分方法学验证（包含但不限于特异性、日内精密度和准确度）；</w:t>
            </w:r>
          </w:p>
          <w:p w14:paraId="7471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4、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基质：组织（大鼠2种组织）；大鼠尿、粪、胆汁基质；</w:t>
            </w:r>
          </w:p>
          <w:p w14:paraId="27E8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备注：提供内标。</w:t>
            </w:r>
          </w:p>
        </w:tc>
        <w:tc>
          <w:tcPr>
            <w:tcW w:w="681" w:type="dxa"/>
            <w:noWrap w:val="0"/>
            <w:vAlign w:val="center"/>
          </w:tcPr>
          <w:p w14:paraId="3D70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7D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59F4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4B68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 w14:paraId="4C27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大鼠和犬血浆动力学预试验</w:t>
            </w:r>
          </w:p>
        </w:tc>
        <w:tc>
          <w:tcPr>
            <w:tcW w:w="6045" w:type="dxa"/>
            <w:noWrap w:val="0"/>
            <w:vAlign w:val="center"/>
          </w:tcPr>
          <w:p w14:paraId="1C77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、大鼠预试验：SD大鼠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只，雄性，分为两组，一组灌胃给药，一组静脉给药，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8-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个采血点，LC-MS/MS定量检测血浆药物浓度；</w:t>
            </w:r>
          </w:p>
          <w:p w14:paraId="0BFB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、犬预试验：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只洗脱犬，雌雄各半，灌胃给药，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8-12个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采血点，LC-MS/MS定量检测血浆药物浓度。</w:t>
            </w:r>
          </w:p>
        </w:tc>
        <w:tc>
          <w:tcPr>
            <w:tcW w:w="681" w:type="dxa"/>
            <w:noWrap w:val="0"/>
            <w:vAlign w:val="center"/>
          </w:tcPr>
          <w:p w14:paraId="65BB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F87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60F1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51E7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271F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大鼠单次及重复给药药代动力学（PK）伴随生物利用度试验</w:t>
            </w:r>
          </w:p>
        </w:tc>
        <w:tc>
          <w:tcPr>
            <w:tcW w:w="6045" w:type="dxa"/>
            <w:noWrap w:val="0"/>
            <w:vAlign w:val="center"/>
          </w:tcPr>
          <w:p w14:paraId="33C6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1、3个口服剂量组，1个静脉给药组，单次给药采集12个时间点（可根据预实验结果调整）；</w:t>
            </w:r>
          </w:p>
          <w:p w14:paraId="65EE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2、中剂量继续给药，连续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天，采集末次给药后24 h内12个时间点（可根据预实验结果调整）；</w:t>
            </w:r>
          </w:p>
          <w:p w14:paraId="5855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3、检测：使用已验证的LC-MS/MS定量检测方法；</w:t>
            </w:r>
          </w:p>
          <w:p w14:paraId="2DC3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4、数据分析及报告。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4A6C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9C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6095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5A71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3409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犬单次及多次给药PK伴随生物利用度试验</w:t>
            </w:r>
          </w:p>
        </w:tc>
        <w:tc>
          <w:tcPr>
            <w:tcW w:w="6045" w:type="dxa"/>
            <w:noWrap w:val="0"/>
            <w:vAlign w:val="center"/>
          </w:tcPr>
          <w:p w14:paraId="3CD5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1、3个口服剂量组，1个静脉给药组，单次给药采集12个时间点（可根据预实验结果调整）；</w:t>
            </w:r>
          </w:p>
          <w:p w14:paraId="2CC4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2、中剂量继续给药，连续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天，采集末次给药后24 h内12个时间点（可根据预实验结果调整）；</w:t>
            </w:r>
          </w:p>
          <w:p w14:paraId="685C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3、检测：使用已验证的LC-MS/MS定量检测方法；</w:t>
            </w:r>
          </w:p>
          <w:p w14:paraId="6D82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4、数据分析及报告。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5B36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2D9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30B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3396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63A3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大鼠组织分布试验</w:t>
            </w:r>
          </w:p>
        </w:tc>
        <w:tc>
          <w:tcPr>
            <w:tcW w:w="6045" w:type="dxa"/>
            <w:noWrap w:val="0"/>
            <w:vAlign w:val="center"/>
          </w:tcPr>
          <w:p w14:paraId="46E2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1、大鼠单次单剂量灌胃给药组织分布试验：每只动物收集血浆，脑、心、肺、肝、胃、十二指肠、脾、肾、肌肉、脂肪、睾丸、卵巢、子宫等15个脏器或组织；</w:t>
            </w:r>
          </w:p>
          <w:p w14:paraId="1C1C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、检测：使用已验证的LC-MS/MS定量检测方法；</w:t>
            </w:r>
          </w:p>
          <w:p w14:paraId="6FE9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55B7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A3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316D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6B2A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72E7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大鼠排泄试验</w:t>
            </w:r>
          </w:p>
        </w:tc>
        <w:tc>
          <w:tcPr>
            <w:tcW w:w="6045" w:type="dxa"/>
            <w:noWrap w:val="0"/>
            <w:vAlign w:val="center"/>
          </w:tcPr>
          <w:p w14:paraId="27E4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1、大鼠单次单剂量灌胃给药后，采集尿、粪、胆汁样品（胆汁采集为胆汁插管清醒动物采样）；</w:t>
            </w:r>
          </w:p>
          <w:p w14:paraId="13AF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、检测：使用已验证的LC-MS/MS定量检测方法；</w:t>
            </w:r>
          </w:p>
          <w:p w14:paraId="7B00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4D4D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144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1CDF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1693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 w14:paraId="2A5B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代谢研究</w:t>
            </w:r>
          </w:p>
        </w:tc>
        <w:tc>
          <w:tcPr>
            <w:tcW w:w="6045" w:type="dxa"/>
            <w:noWrap w:val="0"/>
            <w:vAlign w:val="center"/>
          </w:tcPr>
          <w:p w14:paraId="518B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、肝微粒体代谢稳定性：小鼠、大鼠、犬、猴、人5个种属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可根据实验结果调整；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 xml:space="preserve"> </w:t>
            </w:r>
          </w:p>
          <w:p w14:paraId="3EFF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2、肝微粒体代谢产物鉴定：小鼠、大鼠、犬、猴、人5个种属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可根据实验结果调整；</w:t>
            </w:r>
          </w:p>
          <w:p w14:paraId="2801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、P450酶表型研究；</w:t>
            </w:r>
          </w:p>
          <w:p w14:paraId="72DC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、大鼠体内代谢产物鉴定和代谢途径研究；</w:t>
            </w:r>
          </w:p>
          <w:p w14:paraId="1899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、犬体内代谢产物研究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982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提供数据分析及报告。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4B2F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CC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2E74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7B04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 w14:paraId="6E9A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血浆蛋白结合试验</w:t>
            </w:r>
          </w:p>
        </w:tc>
        <w:tc>
          <w:tcPr>
            <w:tcW w:w="6045" w:type="dxa"/>
            <w:noWrap w:val="0"/>
            <w:vAlign w:val="center"/>
          </w:tcPr>
          <w:p w14:paraId="140D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使用小鼠、大鼠、犬、人、猴5 个种属血浆，设置3个浓度；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LC- MS/MS 法定量检测；</w:t>
            </w:r>
          </w:p>
          <w:p w14:paraId="720F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提供数据分析及报告。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4A01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19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3DD1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372E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 w14:paraId="060D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跨膜渗透机制研究</w:t>
            </w:r>
          </w:p>
        </w:tc>
        <w:tc>
          <w:tcPr>
            <w:tcW w:w="6045" w:type="dxa"/>
            <w:noWrap w:val="0"/>
            <w:vAlign w:val="center"/>
          </w:tcPr>
          <w:p w14:paraId="1132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Caco-2细胞渗透性试验，提供数据分析及报告。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1B9B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84D7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5020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4E47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 w14:paraId="0956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药物与药物相互作用研究（DDI）</w:t>
            </w:r>
          </w:p>
        </w:tc>
        <w:tc>
          <w:tcPr>
            <w:tcW w:w="6045" w:type="dxa"/>
            <w:noWrap w:val="0"/>
            <w:vAlign w:val="center"/>
          </w:tcPr>
          <w:p w14:paraId="1DA8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1、P450酶诱导试验；</w:t>
            </w:r>
          </w:p>
          <w:p w14:paraId="697F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、P450酶时间依赖性抑制；</w:t>
            </w:r>
          </w:p>
          <w:p w14:paraId="0C63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、P450酶可逆性抑制试验；</w:t>
            </w:r>
          </w:p>
          <w:p w14:paraId="7C47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提供数据分析及报告。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63F6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0B6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6568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2CC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515" w:type="dxa"/>
            <w:noWrap w:val="0"/>
            <w:vAlign w:val="center"/>
          </w:tcPr>
          <w:p w14:paraId="27A9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药效PK/PD样本检测</w:t>
            </w:r>
          </w:p>
        </w:tc>
        <w:tc>
          <w:tcPr>
            <w:tcW w:w="6045" w:type="dxa"/>
            <w:noWrap w:val="0"/>
            <w:vAlign w:val="center"/>
          </w:tcPr>
          <w:p w14:paraId="3ED8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1、动物种属：C57小鼠；</w:t>
            </w:r>
          </w:p>
          <w:p w14:paraId="0813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2、检测方法：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LC-MS/MS；</w:t>
            </w:r>
          </w:p>
          <w:p w14:paraId="04CB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3、研究内容：方法建立及部分验证；</w:t>
            </w:r>
          </w:p>
          <w:p w14:paraId="5015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4、基质及数量：肝脏样本18个、血浆样本162个、心脏样本18个；</w:t>
            </w:r>
          </w:p>
          <w:p w14:paraId="5101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5、数据分析及报告。</w:t>
            </w:r>
          </w:p>
        </w:tc>
        <w:tc>
          <w:tcPr>
            <w:tcW w:w="681" w:type="dxa"/>
            <w:noWrap w:val="0"/>
            <w:vAlign w:val="center"/>
          </w:tcPr>
          <w:p w14:paraId="5C44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0B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694E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8" w:type="dxa"/>
            <w:gridSpan w:val="5"/>
            <w:noWrap w:val="0"/>
            <w:vAlign w:val="center"/>
          </w:tcPr>
          <w:p w14:paraId="7A7A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二、非临床安全性评价</w:t>
            </w:r>
          </w:p>
        </w:tc>
      </w:tr>
      <w:tr w14:paraId="2B45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70DA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21A3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供试品分析</w:t>
            </w:r>
          </w:p>
        </w:tc>
        <w:tc>
          <w:tcPr>
            <w:tcW w:w="6045" w:type="dxa"/>
            <w:noWrap w:val="0"/>
            <w:vAlign w:val="center"/>
          </w:tcPr>
          <w:p w14:paraId="58F3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、检测方法：HPLC；</w:t>
            </w:r>
          </w:p>
          <w:p w14:paraId="0A87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 xml:space="preserve">、研究内容：方法建立和验证； </w:t>
            </w:r>
          </w:p>
          <w:p w14:paraId="5C8F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备注：溶媒筛选和配制后稳定性数据。</w:t>
            </w:r>
          </w:p>
        </w:tc>
        <w:tc>
          <w:tcPr>
            <w:tcW w:w="681" w:type="dxa"/>
            <w:noWrap w:val="0"/>
            <w:vAlign w:val="center"/>
          </w:tcPr>
          <w:p w14:paraId="71C4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F8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689C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4607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55B1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毒代动力学（TK）生物样本分析检测方法建立与验证</w:t>
            </w:r>
          </w:p>
        </w:tc>
        <w:tc>
          <w:tcPr>
            <w:tcW w:w="6045" w:type="dxa"/>
            <w:noWrap w:val="0"/>
            <w:vAlign w:val="center"/>
          </w:tcPr>
          <w:p w14:paraId="54A3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待测物：供试品原形药物；</w:t>
            </w:r>
          </w:p>
          <w:p w14:paraId="2D7C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检测方法：LC-MS/MS定量检测；</w:t>
            </w:r>
          </w:p>
          <w:p w14:paraId="72F6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研究内容：方法建立和完整方法学验证；</w:t>
            </w:r>
          </w:p>
          <w:p w14:paraId="1564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基质：血浆（大鼠和犬）；</w:t>
            </w:r>
          </w:p>
          <w:p w14:paraId="6665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备注：提供内标。</w:t>
            </w:r>
          </w:p>
        </w:tc>
        <w:tc>
          <w:tcPr>
            <w:tcW w:w="681" w:type="dxa"/>
            <w:noWrap w:val="0"/>
            <w:vAlign w:val="center"/>
          </w:tcPr>
          <w:p w14:paraId="7F57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B1F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4F9D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4CD6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 w14:paraId="1898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天重复给药剂量发现试验（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non-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GLP）</w:t>
            </w:r>
          </w:p>
        </w:tc>
        <w:tc>
          <w:tcPr>
            <w:tcW w:w="6045" w:type="dxa"/>
            <w:noWrap w:val="0"/>
            <w:vAlign w:val="center"/>
          </w:tcPr>
          <w:p w14:paraId="1B24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1、主试验：1个对照组，3个剂量组，6只/组，连续给药14天，不设置恢复期；</w:t>
            </w:r>
          </w:p>
          <w:p w14:paraId="67C5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2、伴随TK：3个剂量组，6只/组，采集首末次给药前后6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-8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个采血点，进行TK检测。</w:t>
            </w:r>
          </w:p>
        </w:tc>
        <w:tc>
          <w:tcPr>
            <w:tcW w:w="681" w:type="dxa"/>
            <w:noWrap w:val="0"/>
            <w:vAlign w:val="center"/>
          </w:tcPr>
          <w:p w14:paraId="6F19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2B1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181F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1D31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6194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犬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天重复给药剂量发现试验（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non-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GLP）</w:t>
            </w:r>
          </w:p>
        </w:tc>
        <w:tc>
          <w:tcPr>
            <w:tcW w:w="6045" w:type="dxa"/>
            <w:noWrap w:val="0"/>
            <w:vAlign w:val="center"/>
          </w:tcPr>
          <w:p w14:paraId="1F23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1、主试验：1个对照组，3个剂量组，6只/组，连续给药14天，不设置恢复期；</w:t>
            </w:r>
          </w:p>
          <w:p w14:paraId="4EA7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2、伴随TK：采集首末次给药前后共6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-8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个时间点，采血点，进行TK检测。</w:t>
            </w:r>
          </w:p>
        </w:tc>
        <w:tc>
          <w:tcPr>
            <w:tcW w:w="681" w:type="dxa"/>
            <w:noWrap w:val="0"/>
            <w:vAlign w:val="center"/>
          </w:tcPr>
          <w:p w14:paraId="4F94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DF2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0C1A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0FD8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30F2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大鼠单次给药毒性试验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(GLP)</w:t>
            </w:r>
          </w:p>
        </w:tc>
        <w:tc>
          <w:tcPr>
            <w:tcW w:w="6045" w:type="dxa"/>
            <w:noWrap w:val="0"/>
            <w:vAlign w:val="center"/>
          </w:tcPr>
          <w:p w14:paraId="6A27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1、SD大鼠40只，雌雄各半，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1个对照组，3个剂量组；</w:t>
            </w:r>
          </w:p>
          <w:p w14:paraId="0EA9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2、单次给药，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恢复期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14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天；</w:t>
            </w:r>
          </w:p>
          <w:p w14:paraId="7214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大体解剖，组织病理学检查（对于肉眼观察异常组织）。</w:t>
            </w:r>
          </w:p>
        </w:tc>
        <w:tc>
          <w:tcPr>
            <w:tcW w:w="681" w:type="dxa"/>
            <w:noWrap w:val="0"/>
            <w:vAlign w:val="center"/>
          </w:tcPr>
          <w:p w14:paraId="6C4A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71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5B3C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4BC4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44569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犬单次给药毒性试验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(GLP)</w:t>
            </w:r>
          </w:p>
        </w:tc>
        <w:tc>
          <w:tcPr>
            <w:tcW w:w="6045" w:type="dxa"/>
            <w:noWrap w:val="0"/>
            <w:vAlign w:val="center"/>
          </w:tcPr>
          <w:p w14:paraId="57B70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360" w:hanging="360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犬8只，雌雄各半，3-4个剂量组；</w:t>
            </w:r>
          </w:p>
          <w:p w14:paraId="56924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360" w:hanging="360"/>
              <w:jc w:val="left"/>
              <w:textAlignment w:val="auto"/>
              <w:rPr>
                <w:rFonts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多次给药，恢复期14天；</w:t>
            </w:r>
          </w:p>
          <w:p w14:paraId="24EC5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360" w:leftChars="0" w:hanging="36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大体解剖，组织病理学检查（对于肉眼观察异常组织）。</w:t>
            </w:r>
          </w:p>
        </w:tc>
        <w:tc>
          <w:tcPr>
            <w:tcW w:w="681" w:type="dxa"/>
            <w:noWrap w:val="0"/>
            <w:vAlign w:val="center"/>
          </w:tcPr>
          <w:p w14:paraId="49930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20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1DC0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6D16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05DB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大鼠重复给药4周恢复期4周毒性试验(GLP)</w:t>
            </w:r>
          </w:p>
        </w:tc>
        <w:tc>
          <w:tcPr>
            <w:tcW w:w="6045" w:type="dxa"/>
            <w:noWrap w:val="0"/>
            <w:vAlign w:val="center"/>
          </w:tcPr>
          <w:p w14:paraId="709B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主试验：1个对照组，3个剂量组，30只/组，连续给药28天，停药恢复28天；针对本品种特点设计相关毒理学检测指标；</w:t>
            </w:r>
          </w:p>
          <w:p w14:paraId="72CB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卫星组：1个对照组，3个剂量组，8只/组，采集首末次给药前后共6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-8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个时间点进行TK检测（可根据预实验结果调整）。</w:t>
            </w:r>
          </w:p>
        </w:tc>
        <w:tc>
          <w:tcPr>
            <w:tcW w:w="681" w:type="dxa"/>
            <w:noWrap w:val="0"/>
            <w:vAlign w:val="center"/>
          </w:tcPr>
          <w:p w14:paraId="6514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36E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0482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54C4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 w14:paraId="3659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犬重复给药4周恢复期4周毒性试验(GLP)</w:t>
            </w:r>
          </w:p>
        </w:tc>
        <w:tc>
          <w:tcPr>
            <w:tcW w:w="6045" w:type="dxa"/>
            <w:noWrap w:val="0"/>
            <w:vAlign w:val="center"/>
          </w:tcPr>
          <w:p w14:paraId="2C4D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1、主试验：1个对照组，3个剂量组，10只/组，连续给药28天，停药恢复28天；针对本品种特点设计相关毒理学检测指标，例如：血清激素检测：rT3, FT3、FT4、TSH；</w:t>
            </w:r>
          </w:p>
          <w:p w14:paraId="772B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2、伴随TK：采集首末次给药前后共6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-8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个时间点进行TK检测（可根据预实验结果调整）。</w:t>
            </w:r>
          </w:p>
        </w:tc>
        <w:tc>
          <w:tcPr>
            <w:tcW w:w="681" w:type="dxa"/>
            <w:noWrap w:val="0"/>
            <w:vAlign w:val="center"/>
          </w:tcPr>
          <w:p w14:paraId="6432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E3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3879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06C8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 w14:paraId="6DD6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遗传毒性试验</w:t>
            </w:r>
          </w:p>
        </w:tc>
        <w:tc>
          <w:tcPr>
            <w:tcW w:w="6045" w:type="dxa"/>
            <w:noWrap w:val="0"/>
            <w:vAlign w:val="center"/>
          </w:tcPr>
          <w:p w14:paraId="161A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1、骨髓微核预试/正式试验：含3个剂量组；</w:t>
            </w:r>
          </w:p>
          <w:p w14:paraId="4BCE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2、Ames预试/正式试验：含3个剂量组，5种菌株，在加或不加S9条件下进行；</w:t>
            </w:r>
          </w:p>
          <w:p w14:paraId="43CB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3、染色体畸变预试/正式试验：含5个剂量组。</w:t>
            </w:r>
          </w:p>
        </w:tc>
        <w:tc>
          <w:tcPr>
            <w:tcW w:w="681" w:type="dxa"/>
            <w:noWrap w:val="0"/>
            <w:vAlign w:val="center"/>
          </w:tcPr>
          <w:p w14:paraId="44E2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E1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7AC9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36AD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 w14:paraId="6FAA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安全药理试验</w:t>
            </w:r>
          </w:p>
        </w:tc>
        <w:tc>
          <w:tcPr>
            <w:tcW w:w="6045" w:type="dxa"/>
            <w:noWrap w:val="0"/>
            <w:vAlign w:val="center"/>
          </w:tcPr>
          <w:p w14:paraId="5792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1、犬心血管（DSI)遥测评估：含3个剂量组；</w:t>
            </w:r>
          </w:p>
          <w:p w14:paraId="6696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2、大鼠FOB：含3个剂量组；</w:t>
            </w:r>
          </w:p>
          <w:p w14:paraId="605E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3、大鼠呼吸：含3个剂量组。</w:t>
            </w:r>
          </w:p>
        </w:tc>
        <w:tc>
          <w:tcPr>
            <w:tcW w:w="681" w:type="dxa"/>
            <w:noWrap w:val="0"/>
            <w:vAlign w:val="center"/>
          </w:tcPr>
          <w:p w14:paraId="69CB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128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2451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0A9E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 w14:paraId="462A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hERG</w:t>
            </w:r>
          </w:p>
        </w:tc>
        <w:tc>
          <w:tcPr>
            <w:tcW w:w="6045" w:type="dxa"/>
            <w:noWrap w:val="0"/>
            <w:vAlign w:val="center"/>
          </w:tcPr>
          <w:p w14:paraId="2533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1、预试：含4个剂量组，计算IC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subscript"/>
                <w:lang w:eastAsia="zh-Hans"/>
              </w:rPr>
              <w:t>50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；</w:t>
            </w:r>
          </w:p>
          <w:p w14:paraId="0F0E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2、正式试验：根据预试验确定，设置4-5个剂量，计算IC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subscript"/>
                <w:lang w:eastAsia="zh-Hans"/>
              </w:rPr>
              <w:t>50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。</w:t>
            </w:r>
          </w:p>
        </w:tc>
        <w:tc>
          <w:tcPr>
            <w:tcW w:w="681" w:type="dxa"/>
            <w:noWrap w:val="0"/>
            <w:vAlign w:val="center"/>
          </w:tcPr>
          <w:p w14:paraId="6B9D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EC7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  <w:tr w14:paraId="3E80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362B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515" w:type="dxa"/>
            <w:noWrap w:val="0"/>
            <w:vAlign w:val="center"/>
          </w:tcPr>
          <w:p w14:paraId="6B52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中文试验报告</w:t>
            </w:r>
          </w:p>
        </w:tc>
        <w:tc>
          <w:tcPr>
            <w:tcW w:w="6045" w:type="dxa"/>
            <w:noWrap w:val="0"/>
            <w:vAlign w:val="center"/>
          </w:tcPr>
          <w:p w14:paraId="6F15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报告格式符合现行的申报资料电子光盘技术要求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/eCTD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格式体例与整理规范要求。</w:t>
            </w:r>
          </w:p>
        </w:tc>
        <w:tc>
          <w:tcPr>
            <w:tcW w:w="681" w:type="dxa"/>
            <w:noWrap w:val="0"/>
            <w:vAlign w:val="center"/>
          </w:tcPr>
          <w:p w14:paraId="2F5C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503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</w:tbl>
    <w:p w14:paraId="0136E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、其他服务要求</w:t>
      </w:r>
    </w:p>
    <w:p w14:paraId="3B7D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1.成立联合项目管理委员会，由双方代表组成，负责战略决策、资源协调及争议最终裁决；采购人配合完成数据梳理、材料整理，协助及时提供相关申报的数据材料、各类报表及证明材料等。</w:t>
      </w:r>
    </w:p>
    <w:p w14:paraId="187C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2.项目保密，限制知悉范围，采购人与中标人签订保密协议，数据做好保密。 </w:t>
      </w:r>
    </w:p>
    <w:p w14:paraId="0E5A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3.沟通与报告机制：实施“单周周报+双周周例会”制度，周报需包含进度百分比、关键里程碑状态、风险预警；建立紧急沟通渠道，如项目微信群/邮件组，确保2小时内响应重大问题。</w:t>
      </w:r>
    </w:p>
    <w:p w14:paraId="1D4E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4.项目开发过程中产生的知识产权与数据归采购人所有，供应商需承诺项目团队稳定性，关键岗位离职需提前60天通知，并安排同等资质人员接替。</w:t>
      </w:r>
    </w:p>
    <w:p w14:paraId="7515B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5.供应商须建立电子数据采集系统，确保分析研究数据实时录入、核查及溯源，数据完整率需达100%。供应商须提供审计跟踪文件，记录数据修改历史及操作人员信息，确保数据可追溯至原始记录。</w:t>
      </w:r>
    </w:p>
    <w:p w14:paraId="1468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6.供应商应免费对本研究相关的原始记录、档案、试验相关组织标本类免费保存至研究结束（总结报告签批或交付甲方）后5年，并确保研究过程和记录符合GLP和国家药监局现场核查要求。</w:t>
      </w:r>
    </w:p>
    <w:p w14:paraId="50111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7.本研究中根据预实验结果需要调整研究设计，涉及研究经费的增减不再做费用调整。</w:t>
      </w:r>
    </w:p>
    <w:p w14:paraId="1161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8.供应商应在重复给药毒理研究开始给药后150天左右提供一份初步试验小结报告，以协助甲方申请CDE沟通交流会。</w:t>
      </w:r>
    </w:p>
    <w:p w14:paraId="51CE4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472A4"/>
    <w:multiLevelType w:val="multilevel"/>
    <w:tmpl w:val="454472A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8192D"/>
    <w:rsid w:val="00661709"/>
    <w:rsid w:val="1AB73573"/>
    <w:rsid w:val="270818CC"/>
    <w:rsid w:val="3B2A7138"/>
    <w:rsid w:val="402976EF"/>
    <w:rsid w:val="512371DD"/>
    <w:rsid w:val="51A60F32"/>
    <w:rsid w:val="5678192D"/>
    <w:rsid w:val="5D1B3856"/>
    <w:rsid w:val="5F1D1922"/>
    <w:rsid w:val="6B1F0128"/>
    <w:rsid w:val="7A4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outlineLvl w:val="2"/>
    </w:pPr>
    <w:rPr>
      <w:rFonts w:eastAsia="仿宋"/>
      <w:b/>
      <w:bCs/>
      <w:sz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8"/>
    <w:qFormat/>
    <w:uiPriority w:val="0"/>
    <w:pPr>
      <w:jc w:val="left"/>
    </w:pPr>
    <w:rPr>
      <w:rFonts w:eastAsia="宋体" w:asciiTheme="minorAscii" w:hAnsiTheme="minorAscii"/>
      <w:sz w:val="32"/>
    </w:rPr>
  </w:style>
  <w:style w:type="paragraph" w:styleId="5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lang w:eastAsia="en-US" w:bidi="en-US"/>
    </w:rPr>
  </w:style>
  <w:style w:type="character" w:customStyle="1" w:styleId="8">
    <w:name w:val="批注文字 Char"/>
    <w:link w:val="4"/>
    <w:qFormat/>
    <w:uiPriority w:val="0"/>
    <w:rPr>
      <w:rFonts w:ascii="仿宋" w:hAnsi="仿宋" w:eastAsia="宋体" w:cs="仿宋"/>
      <w:sz w:val="21"/>
      <w:szCs w:val="22"/>
      <w:lang w:val="zh-CN" w:bidi="zh-CN"/>
    </w:rPr>
  </w:style>
  <w:style w:type="paragraph" w:customStyle="1" w:styleId="9">
    <w:name w:val="*正文"/>
    <w:basedOn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2025-11-06T01:48:00Z</dcterms:created>
  <dc:creator>FF</dc:creator>
  <cp:lastModifiedBy>FF</cp:lastModifiedBy>
  <dcterms:modified xsi:type="dcterms:W3CDTF">2025-11-06T01:49:22Z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85513154A2CA4AFC889AC1644874CF38_11</vt:lpwstr>
  </property>
  <property fmtid="{D5CDD505-2E9C-101B-9397-08002B2CF9AE}" pid="4" name="KSOTemplateDocerSaveRecord">
    <vt:lpwstr>eyJoZGlkIjoiMWZiYzQ2ZDY4NWM4M2FjYTIyZGE3OTEwZTUzYzgxN2IiLCJ1c2VySWQiOiI0Mzg1MzY0MTcifQ==</vt:lpwstr>
  </property>
</Properties>
</file>