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AC0785">
      <w:pPr>
        <w:rPr>
          <w:rFonts w:hint="eastAsia" w:ascii="宋体" w:hAnsi="宋体" w:eastAsia="宋体" w:cs="宋体"/>
          <w:color w:val="auto"/>
          <w:szCs w:val="21"/>
          <w:lang w:eastAsia="zh-CN"/>
        </w:rPr>
      </w:pPr>
      <w:bookmarkStart w:id="2" w:name="_GoBack"/>
      <w:bookmarkEnd w:id="2"/>
      <w:r>
        <w:rPr>
          <w:rFonts w:hint="eastAsia" w:ascii="宋体" w:hAnsi="宋体" w:eastAsia="宋体" w:cs="宋体"/>
          <w:color w:val="auto"/>
          <w:szCs w:val="21"/>
          <w:lang w:eastAsia="zh-CN"/>
        </w:rPr>
        <w:drawing>
          <wp:anchor distT="0" distB="0" distL="114300" distR="114300" simplePos="0" relativeHeight="251659264" behindDoc="0" locked="0" layoutInCell="1" allowOverlap="1">
            <wp:simplePos x="0" y="0"/>
            <wp:positionH relativeFrom="column">
              <wp:posOffset>-1081405</wp:posOffset>
            </wp:positionH>
            <wp:positionV relativeFrom="paragraph">
              <wp:posOffset>-857250</wp:posOffset>
            </wp:positionV>
            <wp:extent cx="7541260" cy="10306685"/>
            <wp:effectExtent l="0" t="0" r="2540" b="18415"/>
            <wp:wrapNone/>
            <wp:docPr id="2" name="图片 2" descr="2c17e531f87269bf6b819aa463e5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17e531f87269bf6b819aa463e5d0a"/>
                    <pic:cNvPicPr>
                      <a:picLocks noChangeAspect="1"/>
                    </pic:cNvPicPr>
                  </pic:nvPicPr>
                  <pic:blipFill>
                    <a:blip r:embed="rId6"/>
                    <a:stretch>
                      <a:fillRect/>
                    </a:stretch>
                  </pic:blipFill>
                  <pic:spPr>
                    <a:xfrm>
                      <a:off x="0" y="0"/>
                      <a:ext cx="7541260" cy="10306685"/>
                    </a:xfrm>
                    <a:prstGeom prst="rect">
                      <a:avLst/>
                    </a:prstGeom>
                  </pic:spPr>
                </pic:pic>
              </a:graphicData>
            </a:graphic>
          </wp:anchor>
        </w:drawing>
      </w:r>
      <w:r>
        <w:rPr>
          <w:rFonts w:hint="eastAsia" w:ascii="宋体" w:hAnsi="宋体" w:cs="宋体"/>
          <w:color w:val="auto"/>
          <w:szCs w:val="21"/>
        </w:rPr>
        <w:br w:type="page"/>
      </w:r>
    </w:p>
    <w:p w14:paraId="2C200D06">
      <w:pPr>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Cs w:val="21"/>
          <w:lang w:val="en-US" w:eastAsia="zh-CN"/>
        </w:rPr>
      </w:pPr>
      <w:r>
        <w:rPr>
          <w:rFonts w:hint="eastAsia" w:ascii="宋体" w:hAnsi="宋体" w:cs="宋体"/>
          <w:color w:val="auto"/>
          <w:szCs w:val="21"/>
        </w:rPr>
        <w:t>未履行合同，则履约保证金不予退还；若乙方履行合同，货物经验收合格后自动转为质量保证金。货物验收合格入库一年后无质量问题，甲方无息退还履约（质量）保证金（凭收款收据）。</w:t>
      </w:r>
      <w:r>
        <w:rPr>
          <w:rFonts w:hint="eastAsia" w:ascii="宋体" w:hAnsi="宋体" w:cs="宋体"/>
          <w:color w:val="auto"/>
          <w:szCs w:val="21"/>
          <w:lang w:val="en-US" w:eastAsia="zh-CN"/>
        </w:rPr>
        <w:t xml:space="preserve"> </w:t>
      </w:r>
    </w:p>
    <w:p w14:paraId="4FCA6CC0">
      <w:pPr>
        <w:pageBreakBefore w:val="0"/>
        <w:widowControl w:val="0"/>
        <w:kinsoku/>
        <w:wordWrap/>
        <w:overflowPunct/>
        <w:topLinePunct w:val="0"/>
        <w:autoSpaceDE/>
        <w:autoSpaceDN/>
        <w:bidi w:val="0"/>
        <w:adjustRightInd/>
        <w:snapToGrid/>
        <w:spacing w:line="480" w:lineRule="exact"/>
        <w:ind w:left="479" w:leftChars="228"/>
        <w:textAlignment w:val="auto"/>
        <w:rPr>
          <w:rFonts w:hint="eastAsia" w:ascii="宋体" w:hAnsi="宋体" w:cs="宋体"/>
          <w:szCs w:val="21"/>
        </w:rPr>
      </w:pPr>
      <w:r>
        <w:rPr>
          <w:rFonts w:hint="eastAsia" w:ascii="宋体" w:hAnsi="宋体" w:cs="宋体"/>
          <w:szCs w:val="21"/>
        </w:rPr>
        <w:t>交纳方式：中标人在领取中标通知书后签订合同前将履约保证金汇（存）入采购方指</w:t>
      </w:r>
    </w:p>
    <w:p w14:paraId="670AF28C">
      <w:pPr>
        <w:pageBreakBefore w:val="0"/>
        <w:widowControl w:val="0"/>
        <w:kinsoku/>
        <w:wordWrap/>
        <w:overflowPunct/>
        <w:topLinePunct w:val="0"/>
        <w:autoSpaceDE/>
        <w:autoSpaceDN/>
        <w:bidi w:val="0"/>
        <w:adjustRightInd/>
        <w:snapToGrid/>
        <w:spacing w:line="480" w:lineRule="exact"/>
        <w:textAlignment w:val="auto"/>
        <w:rPr>
          <w:rFonts w:hint="eastAsia" w:ascii="宋体" w:hAnsi="宋体" w:cs="宋体"/>
          <w:szCs w:val="21"/>
        </w:rPr>
      </w:pPr>
      <w:r>
        <w:rPr>
          <w:rFonts w:hint="eastAsia" w:ascii="宋体" w:hAnsi="宋体" w:cs="宋体"/>
          <w:szCs w:val="21"/>
        </w:rPr>
        <w:t>定银行账户：</w:t>
      </w:r>
    </w:p>
    <w:p w14:paraId="2A07D04F">
      <w:pPr>
        <w:pageBreakBefore w:val="0"/>
        <w:widowControl w:val="0"/>
        <w:kinsoku/>
        <w:wordWrap/>
        <w:overflowPunct/>
        <w:topLinePunct w:val="0"/>
        <w:autoSpaceDE/>
        <w:autoSpaceDN/>
        <w:bidi w:val="0"/>
        <w:adjustRightInd/>
        <w:snapToGrid/>
        <w:spacing w:line="480" w:lineRule="exact"/>
        <w:ind w:firstLine="420" w:firstLineChars="200"/>
        <w:textAlignment w:val="auto"/>
        <w:rPr>
          <w:szCs w:val="21"/>
        </w:rPr>
      </w:pPr>
      <w:r>
        <w:rPr>
          <w:rFonts w:ascii="宋体" w:hAnsi="宋体"/>
          <w:szCs w:val="21"/>
        </w:rPr>
        <w:t>开户名称：河南中医</w:t>
      </w:r>
      <w:r>
        <w:rPr>
          <w:rFonts w:hint="eastAsia" w:ascii="宋体" w:hAnsi="宋体"/>
          <w:szCs w:val="21"/>
        </w:rPr>
        <w:t>药大学</w:t>
      </w:r>
    </w:p>
    <w:p w14:paraId="08CF2C50">
      <w:pPr>
        <w:pageBreakBefore w:val="0"/>
        <w:widowControl w:val="0"/>
        <w:kinsoku/>
        <w:wordWrap/>
        <w:overflowPunct/>
        <w:topLinePunct w:val="0"/>
        <w:autoSpaceDE/>
        <w:autoSpaceDN/>
        <w:bidi w:val="0"/>
        <w:adjustRightInd/>
        <w:snapToGrid/>
        <w:spacing w:line="480" w:lineRule="exact"/>
        <w:ind w:firstLine="420" w:firstLineChars="200"/>
        <w:textAlignment w:val="auto"/>
        <w:rPr>
          <w:szCs w:val="21"/>
        </w:rPr>
      </w:pPr>
      <w:r>
        <w:rPr>
          <w:rFonts w:ascii="宋体" w:hAnsi="宋体"/>
          <w:szCs w:val="21"/>
        </w:rPr>
        <w:t>账</w:t>
      </w:r>
      <w:r>
        <w:rPr>
          <w:szCs w:val="21"/>
        </w:rPr>
        <w:t xml:space="preserve">  </w:t>
      </w:r>
      <w:r>
        <w:rPr>
          <w:rFonts w:hint="eastAsia"/>
          <w:szCs w:val="21"/>
        </w:rPr>
        <w:t xml:space="preserve">  </w:t>
      </w:r>
      <w:r>
        <w:rPr>
          <w:szCs w:val="21"/>
        </w:rPr>
        <w:t>号：1702020609200014257</w:t>
      </w:r>
    </w:p>
    <w:p w14:paraId="0EE3A2BA">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ascii="宋体" w:hAnsi="宋体"/>
          <w:szCs w:val="21"/>
        </w:rPr>
        <w:t>开</w:t>
      </w:r>
      <w:r>
        <w:rPr>
          <w:rFonts w:hint="eastAsia" w:ascii="宋体" w:hAnsi="宋体"/>
          <w:szCs w:val="21"/>
        </w:rPr>
        <w:t xml:space="preserve"> </w:t>
      </w:r>
      <w:r>
        <w:rPr>
          <w:rFonts w:ascii="宋体" w:hAnsi="宋体"/>
          <w:szCs w:val="21"/>
        </w:rPr>
        <w:t>户</w:t>
      </w:r>
      <w:r>
        <w:rPr>
          <w:rFonts w:hint="eastAsia" w:ascii="宋体" w:hAnsi="宋体"/>
          <w:szCs w:val="21"/>
        </w:rPr>
        <w:t xml:space="preserve"> </w:t>
      </w:r>
      <w:r>
        <w:rPr>
          <w:rFonts w:ascii="宋体" w:hAnsi="宋体"/>
          <w:szCs w:val="21"/>
        </w:rPr>
        <w:t>行：工商银行花园路支行</w:t>
      </w:r>
      <w:r>
        <w:rPr>
          <w:rFonts w:hint="eastAsia" w:ascii="宋体" w:hAnsi="宋体"/>
          <w:szCs w:val="21"/>
        </w:rPr>
        <w:t>（请注明中标通知书中的合同编号）</w:t>
      </w:r>
    </w:p>
    <w:p w14:paraId="4DE66CBF">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二、货物质量标准</w:t>
      </w:r>
    </w:p>
    <w:p w14:paraId="1BE6B78D">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1. 乙方提供的货物必须符合中华人民共和国国家相关标准、行业强制性标准及环保要求。同时技术指标必须与乙方投标文件所陈述的指标保持一致。</w:t>
      </w:r>
    </w:p>
    <w:p w14:paraId="7D1C5FBB">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2. 乙方提供的货物必须为全新的、未使用过的原厂原包装产品（含零部件、配件、随机工具、技术文件等），且进货渠道合法。</w:t>
      </w:r>
    </w:p>
    <w:p w14:paraId="44917C06">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3. 乙方提供的货物必须包装外观完好、无破损，货物洁净完好、无划痕、无凹陷、无褪色、无锈迹。</w:t>
      </w:r>
    </w:p>
    <w:p w14:paraId="1C4FCC05">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4. 乙方提供的货物不符合合同规定的质量要求的，甲方有权拒绝接收该货物，乙方应更换被拒绝的货物，并达到合同规定的质量要求，所造成的损失由乙方承担。必要时甲方有权解除合同。</w:t>
      </w:r>
    </w:p>
    <w:p w14:paraId="3C52AD7D">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5. 因货物的质量问题发生争议，由河南省商检部门进行质量鉴定。货物符合质量标准的，鉴定费由甲方承担；货物不符合质量标准的，鉴定费由乙方承担。</w:t>
      </w:r>
    </w:p>
    <w:p w14:paraId="4AD66DCD">
      <w:pPr>
        <w:pageBreakBefore w:val="0"/>
        <w:widowControl w:val="0"/>
        <w:kinsoku/>
        <w:wordWrap/>
        <w:overflowPunct/>
        <w:topLinePunct w:val="0"/>
        <w:autoSpaceDE/>
        <w:autoSpaceDN/>
        <w:bidi w:val="0"/>
        <w:adjustRightInd/>
        <w:snapToGrid/>
        <w:spacing w:line="480" w:lineRule="exact"/>
        <w:ind w:firstLine="422" w:firstLineChars="200"/>
        <w:textAlignment w:val="auto"/>
        <w:rPr>
          <w:rFonts w:ascii="宋体" w:hAnsi="Courier New" w:cs="宋体"/>
          <w:b/>
          <w:szCs w:val="21"/>
        </w:rPr>
      </w:pPr>
      <w:r>
        <w:rPr>
          <w:rFonts w:hint="eastAsia" w:ascii="宋体" w:hAnsi="宋体" w:cs="宋体"/>
          <w:b/>
          <w:szCs w:val="21"/>
        </w:rPr>
        <w:t>三、货物包装、交货</w:t>
      </w:r>
    </w:p>
    <w:p w14:paraId="1F3F1FB3">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1. 包装</w:t>
      </w:r>
    </w:p>
    <w:p w14:paraId="53AFE1C7">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⑴ 合同货物的包装必须与运输方式相适应，应有良好的防湿、防锈、防潮、防雨、防腐及防碰撞的措施。凡由于不适当的包装而造成货物在运输过程中有任何损坏、丢失等由乙方负责。</w:t>
      </w:r>
    </w:p>
    <w:p w14:paraId="1D7581A3">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⑵ 包装应足以承受整个过程中的运输、转运、装卸、储存等，充分考虑到运输途中的各种情况（如暴露于恶劣气候等），以及露天存放的需要。</w:t>
      </w:r>
    </w:p>
    <w:p w14:paraId="3FFB04BC">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2. 交货</w:t>
      </w:r>
    </w:p>
    <w:p w14:paraId="1BF174D2">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⑴ 乙方交货时间：合同生效后</w:t>
      </w:r>
      <w:r>
        <w:rPr>
          <w:rFonts w:hint="eastAsia" w:ascii="宋体" w:hAnsi="宋体"/>
          <w:szCs w:val="21"/>
          <w:lang w:eastAsia="zh-CN"/>
        </w:rPr>
        <w:t>，</w:t>
      </w:r>
      <w:r>
        <w:rPr>
          <w:rFonts w:hint="eastAsia" w:ascii="宋体" w:hAnsi="宋体"/>
          <w:szCs w:val="21"/>
        </w:rPr>
        <w:t>货物</w:t>
      </w:r>
      <w:r>
        <w:rPr>
          <w:rFonts w:hint="eastAsia"/>
          <w:szCs w:val="21"/>
        </w:rPr>
        <w:t>30</w:t>
      </w:r>
      <w:r>
        <w:rPr>
          <w:rFonts w:hint="eastAsia" w:ascii="宋体" w:hAnsi="宋体"/>
          <w:szCs w:val="21"/>
        </w:rPr>
        <w:t>日</w:t>
      </w:r>
      <w:r>
        <w:rPr>
          <w:rFonts w:hint="eastAsia" w:ascii="宋体" w:hAnsi="宋体"/>
          <w:color w:val="auto"/>
          <w:szCs w:val="21"/>
        </w:rPr>
        <w:t>内</w:t>
      </w:r>
      <w:r>
        <w:rPr>
          <w:rFonts w:hint="eastAsia" w:ascii="宋体" w:hAnsi="宋体"/>
          <w:color w:val="auto"/>
          <w:szCs w:val="21"/>
          <w:lang w:val="en-US" w:eastAsia="zh-CN"/>
        </w:rPr>
        <w:t>完成</w:t>
      </w:r>
      <w:r>
        <w:rPr>
          <w:rFonts w:hint="eastAsia" w:ascii="宋体" w:hAnsi="宋体"/>
          <w:color w:val="auto"/>
          <w:szCs w:val="21"/>
        </w:rPr>
        <w:t>交货</w:t>
      </w:r>
      <w:r>
        <w:rPr>
          <w:rFonts w:hint="eastAsia" w:ascii="宋体" w:hAnsi="宋体"/>
          <w:color w:val="auto"/>
          <w:szCs w:val="21"/>
          <w:lang w:val="en-US" w:eastAsia="zh-CN"/>
        </w:rPr>
        <w:t>及所有软件、硬件</w:t>
      </w:r>
      <w:r>
        <w:rPr>
          <w:rFonts w:hint="eastAsia" w:ascii="宋体" w:hAnsi="宋体"/>
          <w:color w:val="auto"/>
          <w:szCs w:val="21"/>
        </w:rPr>
        <w:t>的</w:t>
      </w:r>
      <w:r>
        <w:rPr>
          <w:rFonts w:ascii="宋体" w:hAnsi="宋体"/>
          <w:color w:val="auto"/>
          <w:szCs w:val="21"/>
        </w:rPr>
        <w:t>安装</w:t>
      </w:r>
      <w:r>
        <w:rPr>
          <w:rFonts w:hint="eastAsia" w:ascii="宋体" w:hAnsi="宋体"/>
          <w:color w:val="auto"/>
          <w:szCs w:val="21"/>
          <w:lang w:eastAsia="zh-CN"/>
        </w:rPr>
        <w:t>、</w:t>
      </w:r>
      <w:r>
        <w:rPr>
          <w:rFonts w:hint="eastAsia" w:ascii="宋体" w:hAnsi="宋体"/>
          <w:color w:val="auto"/>
          <w:szCs w:val="21"/>
          <w:lang w:val="en-US" w:eastAsia="zh-CN"/>
        </w:rPr>
        <w:t>测试、</w:t>
      </w:r>
      <w:r>
        <w:rPr>
          <w:rFonts w:hint="eastAsia" w:ascii="宋体" w:hAnsi="宋体"/>
          <w:szCs w:val="21"/>
          <w:lang w:val="en-US" w:eastAsia="zh-CN"/>
        </w:rPr>
        <w:t>调通</w:t>
      </w:r>
      <w:r>
        <w:rPr>
          <w:rFonts w:hint="eastAsia" w:ascii="宋体" w:hAnsi="宋体"/>
          <w:szCs w:val="21"/>
        </w:rPr>
        <w:t>，并</w:t>
      </w:r>
      <w:r>
        <w:rPr>
          <w:rFonts w:ascii="宋体" w:hAnsi="宋体"/>
          <w:szCs w:val="21"/>
        </w:rPr>
        <w:t>交付使用</w:t>
      </w:r>
      <w:r>
        <w:rPr>
          <w:rFonts w:hint="eastAsia" w:ascii="宋体" w:hAnsi="宋体"/>
          <w:szCs w:val="21"/>
        </w:rPr>
        <w:t>。交货完毕后及时提交货物验收申请</w:t>
      </w:r>
      <w:r>
        <w:rPr>
          <w:rFonts w:hint="eastAsia" w:ascii="宋体" w:hAnsi="宋体" w:cs="宋体"/>
          <w:szCs w:val="21"/>
        </w:rPr>
        <w:t>（货物经验收合格的，交货日期以甲方收到乙方验收申请函日期为准；验收不合格的，交货日期以实际验收合格日期为准）。</w:t>
      </w:r>
      <w:r>
        <w:rPr>
          <w:rFonts w:hint="eastAsia" w:ascii="宋体" w:hAnsi="宋体"/>
          <w:szCs w:val="21"/>
        </w:rPr>
        <w:t>乙方逾期交付物品，则每迟交一周货物应向甲方支付货款总额</w:t>
      </w:r>
      <w:r>
        <w:rPr>
          <w:rFonts w:hint="eastAsia"/>
          <w:szCs w:val="21"/>
        </w:rPr>
        <w:t>5%</w:t>
      </w:r>
      <w:r>
        <w:rPr>
          <w:rFonts w:hint="eastAsia" w:ascii="宋体" w:hAnsi="宋体"/>
          <w:szCs w:val="21"/>
        </w:rPr>
        <w:t>违约金，不足一周按一周计算。</w:t>
      </w:r>
    </w:p>
    <w:p w14:paraId="191B4B92">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⑵ 根据所购货物情况，甲方确定是否在发货前对所供货物进行检查，以保证所发货物与合同一致。所需费用由乙方承担。</w:t>
      </w:r>
    </w:p>
    <w:p w14:paraId="472EEB1E">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⑶ 乙方交货地点：河南中医药大学指定地点。</w:t>
      </w:r>
    </w:p>
    <w:p w14:paraId="6DFEB7E3">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⑷ 合同货物抵达甲方后，由甲乙双方一同清点货物数量，开箱检验表面状况，核对规格型号。并负责解决开箱检验清点发现的问题和赔偿。</w:t>
      </w:r>
    </w:p>
    <w:p w14:paraId="5FE15F12">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⑸ 乙方应将合同货物的产品序列号、用户手册、技术资料（包括详细装箱单、质量证书、设备说明书、使用手册和其他相关技术资料）及配件、随机工具等一并交付给甲方。</w:t>
      </w:r>
    </w:p>
    <w:p w14:paraId="64092D0C">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⑹ 专用工具及备品、备件应分别包装，并在包装箱外加以注明其用处。</w:t>
      </w:r>
    </w:p>
    <w:p w14:paraId="4F121AB2">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b/>
          <w:szCs w:val="21"/>
        </w:rPr>
      </w:pPr>
      <w:r>
        <w:rPr>
          <w:rFonts w:hint="eastAsia" w:ascii="宋体" w:hAnsi="宋体"/>
          <w:b/>
          <w:szCs w:val="21"/>
        </w:rPr>
        <w:t>四、合同货物的安装、调试</w:t>
      </w:r>
    </w:p>
    <w:p w14:paraId="049709BE">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1. 乙方负责合同项下货物的安装调试至能够正常开机使用，且与合同要求的各项技术指标一致，符合各项安全标准，一切费用由乙方负责。</w:t>
      </w:r>
    </w:p>
    <w:p w14:paraId="315D60CB">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2. 乙方安装时须对各安装场地内的其他设备、设施有良好保护措施。</w:t>
      </w:r>
    </w:p>
    <w:p w14:paraId="66570A02">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b/>
          <w:szCs w:val="21"/>
        </w:rPr>
      </w:pPr>
      <w:r>
        <w:rPr>
          <w:rFonts w:hint="eastAsia" w:ascii="宋体" w:hAnsi="宋体"/>
          <w:b/>
          <w:szCs w:val="21"/>
        </w:rPr>
        <w:t>五、安全责任</w:t>
      </w:r>
    </w:p>
    <w:p w14:paraId="3427ECC2">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乙方在安装、调试合同货物过程中要严格执行国家有关人身安全及防火安全的规定，做好各项防护措施，防止各类事故的发生，若造成人身伤害及货物损坏事故等，则由乙方负全部责任，并对甲方造成实际损失进行赔偿。</w:t>
      </w:r>
    </w:p>
    <w:p w14:paraId="7AB295E1">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b/>
          <w:szCs w:val="21"/>
        </w:rPr>
      </w:pPr>
      <w:r>
        <w:rPr>
          <w:rFonts w:hint="eastAsia" w:ascii="宋体" w:hAnsi="宋体"/>
          <w:b/>
          <w:szCs w:val="21"/>
        </w:rPr>
        <w:t>六、货物的验收</w:t>
      </w:r>
    </w:p>
    <w:p w14:paraId="302CDCEA">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szCs w:val="21"/>
        </w:rPr>
        <w:t xml:space="preserve">1.  </w:t>
      </w:r>
      <w:r>
        <w:rPr>
          <w:rFonts w:hint="eastAsia" w:ascii="宋体" w:hAnsi="宋体"/>
          <w:szCs w:val="21"/>
        </w:rPr>
        <w:t>在甲方验收前，乙方应提交合同货物验收报告、每台仪器设备制造厂商出具的明细装箱单、每台仪器设备制造厂商出具的出厂质量证书、每台仪器设备制造厂商出具的使用说明书。</w:t>
      </w:r>
    </w:p>
    <w:p w14:paraId="4423C05E">
      <w:pPr>
        <w:pageBreakBefore w:val="0"/>
        <w:widowControl w:val="0"/>
        <w:kinsoku/>
        <w:wordWrap/>
        <w:overflowPunct/>
        <w:topLinePunct w:val="0"/>
        <w:autoSpaceDE/>
        <w:autoSpaceDN/>
        <w:bidi w:val="0"/>
        <w:adjustRightInd/>
        <w:snapToGrid/>
        <w:spacing w:line="480" w:lineRule="exact"/>
        <w:ind w:right="-82" w:rightChars="-39" w:firstLine="420" w:firstLineChars="200"/>
        <w:textAlignment w:val="auto"/>
        <w:rPr>
          <w:rFonts w:hint="eastAsia" w:ascii="宋体" w:hAnsi="宋体"/>
          <w:szCs w:val="21"/>
        </w:rPr>
      </w:pPr>
      <w:r>
        <w:rPr>
          <w:rFonts w:hint="eastAsia"/>
          <w:szCs w:val="21"/>
        </w:rPr>
        <w:t>2.</w:t>
      </w:r>
      <w:r>
        <w:rPr>
          <w:rFonts w:hint="eastAsia" w:ascii="宋体" w:hAnsi="宋体"/>
          <w:szCs w:val="21"/>
        </w:rPr>
        <w:t xml:space="preserve"> 乙方应在甲方验收前，向甲方提供按本合同的技术规格、技术规范要求进行的测试报告和验收报告，验收以招投标文件、合同技术规格、产品相应的技术说明为标准。</w:t>
      </w:r>
    </w:p>
    <w:p w14:paraId="2A97BB4E">
      <w:pPr>
        <w:pageBreakBefore w:val="0"/>
        <w:widowControl w:val="0"/>
        <w:kinsoku/>
        <w:wordWrap/>
        <w:overflowPunct/>
        <w:topLinePunct w:val="0"/>
        <w:autoSpaceDE/>
        <w:autoSpaceDN/>
        <w:bidi w:val="0"/>
        <w:adjustRightInd/>
        <w:snapToGrid/>
        <w:spacing w:line="480" w:lineRule="exact"/>
        <w:ind w:right="-82" w:rightChars="-39" w:firstLine="420" w:firstLineChars="200"/>
        <w:textAlignment w:val="auto"/>
        <w:rPr>
          <w:rFonts w:hint="eastAsia" w:ascii="宋体" w:hAnsi="宋体"/>
          <w:szCs w:val="21"/>
        </w:rPr>
      </w:pPr>
      <w:r>
        <w:rPr>
          <w:rFonts w:hint="eastAsia" w:ascii="宋体" w:hAnsi="宋体"/>
          <w:szCs w:val="21"/>
        </w:rPr>
        <w:t>3. 合同货物（系统）交货（完工）并完成操作培训、粘贴条码，且正常运行</w:t>
      </w:r>
      <w:r>
        <w:rPr>
          <w:rFonts w:hint="eastAsia"/>
          <w:szCs w:val="21"/>
        </w:rPr>
        <w:t>30</w:t>
      </w:r>
      <w:r>
        <w:rPr>
          <w:rFonts w:hint="eastAsia" w:ascii="宋体" w:hAnsi="宋体"/>
          <w:szCs w:val="21"/>
        </w:rPr>
        <w:t>天后，甲方使用单位组织验收。验收应在甲乙双方共同参加下进行。</w:t>
      </w:r>
    </w:p>
    <w:p w14:paraId="19F95B0E">
      <w:pPr>
        <w:pageBreakBefore w:val="0"/>
        <w:widowControl w:val="0"/>
        <w:kinsoku/>
        <w:wordWrap/>
        <w:overflowPunct/>
        <w:topLinePunct w:val="0"/>
        <w:autoSpaceDE/>
        <w:autoSpaceDN/>
        <w:bidi w:val="0"/>
        <w:adjustRightInd/>
        <w:snapToGrid/>
        <w:spacing w:line="480" w:lineRule="exact"/>
        <w:ind w:right="-82" w:rightChars="-39" w:firstLine="420" w:firstLineChars="200"/>
        <w:textAlignment w:val="auto"/>
        <w:rPr>
          <w:rFonts w:hint="eastAsia" w:ascii="宋体" w:hAnsi="宋体"/>
          <w:szCs w:val="21"/>
        </w:rPr>
      </w:pPr>
      <w:r>
        <w:rPr>
          <w:rFonts w:hint="eastAsia" w:ascii="宋体" w:hAnsi="宋体"/>
          <w:szCs w:val="21"/>
        </w:rPr>
        <w:t>4. 验收按国家有关规定、规范进行。验收时如发现所交付的货物有短装、次品、损坏或其他不符合本合同规定之情形者，甲方应做出详尽的现场记录，或由甲乙双方签署备忘录。此现场记录或备忘录可用作补充、缺失和更换损坏部件的有效证据。由此产生的有关费用由乙方承担。</w:t>
      </w:r>
    </w:p>
    <w:p w14:paraId="0E26F903">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5. 如果合同货物运输和安装调试过程中因事故造成货物短缺、损坏，乙方应及时安排换装，以保证合同货物安装调试的成功完成。换货的相关费用由乙方承担。</w:t>
      </w:r>
    </w:p>
    <w:p w14:paraId="082BA22A">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6. 国内产品或合资厂的产品必须具备出厂合格证。</w:t>
      </w:r>
    </w:p>
    <w:p w14:paraId="404F251A">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lang w:val="en-US" w:eastAsia="zh-CN"/>
        </w:rPr>
        <w:t>7</w:t>
      </w:r>
      <w:r>
        <w:rPr>
          <w:rFonts w:hint="eastAsia" w:ascii="宋体" w:hAnsi="宋体"/>
          <w:szCs w:val="21"/>
        </w:rPr>
        <w:t>. 乙方保证合同项下提供的货物不侵犯任何第三方的专利、商标或版权。否则，乙方须承担对第三方的专利或版权的侵权责任并承担因此而发生的所有费用。</w:t>
      </w:r>
    </w:p>
    <w:p w14:paraId="374F1F47">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lang w:val="en-US" w:eastAsia="zh-CN"/>
        </w:rPr>
        <w:t>8</w:t>
      </w:r>
      <w:r>
        <w:rPr>
          <w:rFonts w:hint="eastAsia" w:ascii="宋体" w:hAnsi="宋体"/>
          <w:szCs w:val="21"/>
        </w:rPr>
        <w:t>. 合同货物验收未能通过的，乙方负责及时整改。若整改后仍未能合格的，甲方依法追究其经济及法律责任。</w:t>
      </w:r>
    </w:p>
    <w:p w14:paraId="716FAF8C">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 验收合格后双方共同签署验收报告，验收合格日期以最后的签字日为准。</w:t>
      </w:r>
    </w:p>
    <w:p w14:paraId="64AE7602">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七、培训</w:t>
      </w:r>
    </w:p>
    <w:p w14:paraId="13F21727">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3E7DDFB2">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szCs w:val="21"/>
        </w:rPr>
      </w:pPr>
      <w:r>
        <w:rPr>
          <w:rFonts w:hint="eastAsia" w:ascii="宋体" w:hAnsi="宋体" w:cs="宋体"/>
          <w:b/>
          <w:szCs w:val="21"/>
        </w:rPr>
        <w:t>八、 付款方式</w:t>
      </w:r>
    </w:p>
    <w:p w14:paraId="55B4F305">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中标的货物安装调试，正常运行30天后，采购方组织有关人员及使用单位联合验收，验收合格后采购方支付合同</w:t>
      </w:r>
      <w:r>
        <w:rPr>
          <w:rFonts w:hint="eastAsia" w:ascii="宋体" w:hAnsi="宋体" w:eastAsia="宋体" w:cs="宋体"/>
          <w:color w:val="auto"/>
          <w:sz w:val="21"/>
          <w:szCs w:val="21"/>
          <w:lang w:val="en-US" w:eastAsia="zh-CN"/>
        </w:rPr>
        <w:t>价的</w:t>
      </w:r>
      <w:r>
        <w:rPr>
          <w:rFonts w:hint="eastAsia" w:ascii="宋体" w:hAnsi="宋体" w:eastAsia="宋体" w:cs="宋体"/>
          <w:color w:val="auto"/>
          <w:sz w:val="21"/>
          <w:szCs w:val="21"/>
        </w:rPr>
        <w:t>总额</w:t>
      </w:r>
      <w:r>
        <w:rPr>
          <w:rFonts w:hint="eastAsia" w:ascii="宋体" w:hAnsi="宋体" w:eastAsia="宋体" w:cs="宋体"/>
          <w:color w:val="auto"/>
          <w:sz w:val="21"/>
          <w:szCs w:val="21"/>
          <w:lang w:eastAsia="zh-CN"/>
        </w:rPr>
        <w:t>。</w:t>
      </w:r>
    </w:p>
    <w:p w14:paraId="62155776">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申请付款时必须提交以下文件和资料：1、资金支付申请书；2、由甲方签字的验收报告；3、</w:t>
      </w:r>
      <w:r>
        <w:rPr>
          <w:rFonts w:hint="eastAsia" w:ascii="宋体" w:hAnsi="宋体" w:eastAsia="宋体" w:cs="宋体"/>
          <w:color w:val="auto"/>
          <w:sz w:val="21"/>
          <w:szCs w:val="21"/>
          <w:lang w:eastAsia="zh-CN"/>
        </w:rPr>
        <w:t>教学、科研设备需开具</w:t>
      </w:r>
      <w:r>
        <w:rPr>
          <w:rFonts w:hint="eastAsia" w:ascii="宋体" w:hAnsi="宋体" w:eastAsia="宋体" w:cs="宋体"/>
          <w:color w:val="auto"/>
          <w:sz w:val="21"/>
          <w:szCs w:val="21"/>
        </w:rPr>
        <w:t>增值税</w:t>
      </w:r>
      <w:r>
        <w:rPr>
          <w:rFonts w:hint="eastAsia" w:ascii="宋体" w:hAnsi="宋体" w:eastAsia="宋体" w:cs="宋体"/>
          <w:color w:val="auto"/>
          <w:sz w:val="21"/>
          <w:szCs w:val="21"/>
          <w:lang w:eastAsia="zh-CN"/>
        </w:rPr>
        <w:t>专用</w:t>
      </w:r>
      <w:r>
        <w:rPr>
          <w:rFonts w:hint="eastAsia" w:ascii="宋体" w:hAnsi="宋体" w:eastAsia="宋体" w:cs="宋体"/>
          <w:color w:val="auto"/>
          <w:sz w:val="21"/>
          <w:szCs w:val="21"/>
        </w:rPr>
        <w:t>发票</w:t>
      </w:r>
      <w:r>
        <w:rPr>
          <w:rFonts w:hint="eastAsia" w:ascii="宋体" w:hAnsi="宋体" w:eastAsia="宋体" w:cs="宋体"/>
          <w:color w:val="auto"/>
          <w:sz w:val="21"/>
          <w:szCs w:val="21"/>
          <w:lang w:eastAsia="zh-CN"/>
        </w:rPr>
        <w:t>，其他货物、服务需开具增值税普通发票。</w:t>
      </w:r>
    </w:p>
    <w:p w14:paraId="63AC6520">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b/>
          <w:szCs w:val="21"/>
        </w:rPr>
      </w:pPr>
      <w:r>
        <w:rPr>
          <w:rFonts w:hint="eastAsia" w:ascii="宋体" w:hAnsi="宋体" w:eastAsia="宋体" w:cs="宋体"/>
          <w:color w:val="auto"/>
          <w:sz w:val="21"/>
          <w:szCs w:val="21"/>
        </w:rPr>
        <w:t>具体步骤：乙方填写《资金支付申请书》、开具抬头为甲方的发票，并送交甲方；甲方填写《验收报告》，乙方凭《资金支付申请书》和《验收报告》由甲方支付货款。</w:t>
      </w:r>
    </w:p>
    <w:p w14:paraId="1E637C0B">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九、质保期限</w:t>
      </w:r>
    </w:p>
    <w:p w14:paraId="699A70B5">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b/>
          <w:szCs w:val="21"/>
        </w:rPr>
      </w:pPr>
      <w:r>
        <w:rPr>
          <w:rFonts w:hint="eastAsia" w:ascii="宋体" w:hAnsi="宋体" w:cs="宋体"/>
          <w:szCs w:val="21"/>
        </w:rPr>
        <w:t>本合同货物</w:t>
      </w:r>
      <w:r>
        <w:rPr>
          <w:rFonts w:hint="eastAsia" w:ascii="宋体" w:hAnsi="宋体" w:cs="宋体"/>
          <w:bCs/>
          <w:szCs w:val="21"/>
        </w:rPr>
        <w:t>免费质保期五年</w:t>
      </w:r>
      <w:r>
        <w:rPr>
          <w:rFonts w:hint="eastAsia" w:ascii="宋体" w:hAnsi="宋体" w:cs="宋体"/>
          <w:szCs w:val="21"/>
        </w:rPr>
        <w:t>。质保期自甲方在设备验收报告签字之日起计算。</w:t>
      </w:r>
    </w:p>
    <w:p w14:paraId="64E2D13A">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十、售后服务</w:t>
      </w:r>
      <w:r>
        <w:rPr>
          <w:rFonts w:hint="eastAsia" w:ascii="宋体" w:hAnsi="宋体" w:cs="宋体"/>
          <w:b/>
          <w:szCs w:val="21"/>
        </w:rPr>
        <w:tab/>
      </w:r>
    </w:p>
    <w:p w14:paraId="6C81997A">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1"/>
          <w:lang w:val="en-US" w:eastAsia="zh-CN"/>
        </w:rPr>
      </w:pPr>
      <w:r>
        <w:rPr>
          <w:rFonts w:hint="eastAsia" w:ascii="宋体" w:hAnsi="宋体" w:cs="宋体"/>
          <w:szCs w:val="21"/>
        </w:rPr>
        <w:t>1. 乙方须指派专人负责与甲方联系售后服务事宜（联系人：</w:t>
      </w:r>
      <w:r>
        <w:rPr>
          <w:rFonts w:hint="eastAsia" w:ascii="宋体" w:hAnsi="宋体" w:cs="宋体"/>
          <w:szCs w:val="21"/>
          <w:lang w:val="en-US" w:eastAsia="zh-CN"/>
        </w:rPr>
        <w:t>刘亚东</w:t>
      </w:r>
      <w:r>
        <w:rPr>
          <w:rFonts w:hint="eastAsia" w:ascii="宋体" w:hAnsi="宋体" w:cs="宋体"/>
          <w:szCs w:val="21"/>
        </w:rPr>
        <w:t>，电话：</w:t>
      </w:r>
      <w:r>
        <w:rPr>
          <w:rFonts w:ascii="宋体" w:hAnsi="宋体" w:cs="宋体"/>
          <w:b/>
          <w:szCs w:val="21"/>
        </w:rPr>
        <w:t>177371359</w:t>
      </w:r>
      <w:r>
        <w:rPr>
          <w:rFonts w:hint="eastAsia" w:ascii="宋体" w:hAnsi="宋体" w:cs="宋体"/>
          <w:b/>
          <w:szCs w:val="21"/>
          <w:lang w:val="en-US" w:eastAsia="zh-CN"/>
        </w:rPr>
        <w:t>65</w:t>
      </w:r>
      <w:r>
        <w:rPr>
          <w:rFonts w:hint="eastAsia" w:ascii="宋体" w:hAnsi="宋体" w:cs="宋体"/>
          <w:szCs w:val="21"/>
        </w:rPr>
        <w:t>）</w:t>
      </w:r>
      <w:r>
        <w:rPr>
          <w:rFonts w:hint="eastAsia" w:ascii="宋体" w:hAnsi="宋体" w:cs="宋体"/>
          <w:szCs w:val="21"/>
          <w:lang w:eastAsia="zh-CN"/>
        </w:rPr>
        <w:t>。</w:t>
      </w:r>
    </w:p>
    <w:p w14:paraId="42E9BD61">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2. 质保期内，乙方负责对其提供的货物上门进行硬件维修、软件维护和升级等免费服务，甲方不再支付任何费用，但人为因素或自然灾害造成的损坏除外。</w:t>
      </w:r>
    </w:p>
    <w:p w14:paraId="1C1306FC">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3. 质保期内，乙方在接到甲方系统故障或问题告知后，8小时内做出回应，</w:t>
      </w:r>
      <w:r>
        <w:rPr>
          <w:rFonts w:hint="eastAsia" w:ascii="宋体" w:hAnsi="宋体" w:cs="宋体"/>
          <w:szCs w:val="21"/>
          <w:lang w:val="en-US" w:eastAsia="zh-CN"/>
        </w:rPr>
        <w:t>24</w:t>
      </w:r>
      <w:r>
        <w:rPr>
          <w:rFonts w:hint="eastAsia" w:ascii="宋体" w:hAnsi="宋体" w:cs="宋体"/>
          <w:szCs w:val="21"/>
        </w:rPr>
        <w:t>小时内到达现场排除故障。</w:t>
      </w:r>
    </w:p>
    <w:p w14:paraId="20FFB5BC">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4. 质保期满后，乙方负责终身维修，维修需要更换零配件时，按出厂价收取，不再收取其他费用。维修响应时间为接到报修后24小时内。乙方不定期免费提供仪器维护和进行软件升级和技术指导</w:t>
      </w:r>
      <w:r>
        <w:rPr>
          <w:rFonts w:hint="eastAsia" w:ascii="宋体" w:hAnsi="宋体" w:cs="宋体"/>
          <w:szCs w:val="21"/>
          <w:lang w:eastAsia="zh-CN"/>
        </w:rPr>
        <w:t>，</w:t>
      </w:r>
      <w:r>
        <w:rPr>
          <w:rFonts w:hint="eastAsia" w:ascii="宋体" w:hAnsi="宋体" w:cs="宋体"/>
          <w:szCs w:val="21"/>
          <w:lang w:val="en-US" w:eastAsia="zh-CN"/>
        </w:rPr>
        <w:t>确保系统安全可靠</w:t>
      </w:r>
      <w:r>
        <w:rPr>
          <w:rFonts w:hint="eastAsia" w:ascii="宋体" w:hAnsi="宋体" w:cs="宋体"/>
          <w:szCs w:val="21"/>
        </w:rPr>
        <w:t>。质保期满后，乙方根据用户需要提供使用人员继续培训服务，费用视情况而定。</w:t>
      </w:r>
    </w:p>
    <w:p w14:paraId="0CEBAC04">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b/>
          <w:bCs/>
          <w:szCs w:val="21"/>
        </w:rPr>
      </w:pPr>
      <w:r>
        <w:rPr>
          <w:rFonts w:hint="eastAsia" w:ascii="宋体" w:hAnsi="宋体"/>
          <w:b/>
          <w:bCs/>
          <w:szCs w:val="21"/>
        </w:rPr>
        <w:t>十一、索赔</w:t>
      </w:r>
    </w:p>
    <w:p w14:paraId="4832CA34">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1. 甲方如对乙方所提供的货物有异议，甲方有权根据有关检验结果向乙方提出索赔。</w:t>
      </w:r>
    </w:p>
    <w:p w14:paraId="5F8401EF">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2. 在合同执行期间，如果乙方对甲方提出的索赔和差异负有责任，乙方应按照甲方同意的下列一种或多种方式解决索赔事宜：</w:t>
      </w:r>
    </w:p>
    <w:p w14:paraId="664B0DE1">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⑴ 乙方同意退货，并按合同规定的同种货币将货款退还给甲方，并承担由此发生的一切损失和费用。</w:t>
      </w:r>
    </w:p>
    <w:p w14:paraId="68606BB2">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⑵ 根据货物低劣程度、损坏程度以及甲方所遭受损失的数额甲乙双方商定降低货物的价格。</w:t>
      </w:r>
    </w:p>
    <w:p w14:paraId="56106846">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⑶ 用符合规格、质量和性能要求的新零件、部件或货物来更换有缺陷的部分或修补缺陷的部分，乙方应承担一切费用和风险并负有甲方所发生的一切直接费用。同时，延长质量保证期。</w:t>
      </w:r>
    </w:p>
    <w:p w14:paraId="4E7D32C0">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3. 如果在甲方发出索赔通知后</w:t>
      </w:r>
      <w:r>
        <w:rPr>
          <w:rFonts w:hint="eastAsia" w:ascii="宋体" w:hAnsi="宋体"/>
          <w:szCs w:val="21"/>
          <w:lang w:val="en-US" w:eastAsia="zh-CN"/>
        </w:rPr>
        <w:t>1</w:t>
      </w:r>
      <w:r>
        <w:rPr>
          <w:rFonts w:hint="eastAsia" w:ascii="宋体" w:hAnsi="宋体"/>
          <w:szCs w:val="21"/>
          <w:shd w:val="clear" w:color="auto" w:fill="FFFFFF"/>
        </w:rPr>
        <w:t>0</w:t>
      </w:r>
      <w:r>
        <w:rPr>
          <w:rFonts w:hint="eastAsia" w:ascii="宋体" w:hAnsi="宋体"/>
          <w:szCs w:val="21"/>
        </w:rPr>
        <w:t>天内，乙方未作答复，上述索赔应视为已被乙方接受。甲方将从合同款项中扣回索赔金额。如果这些金额不足以补偿索赔金额，甲方有权向乙方提出不足部分的补偿。</w:t>
      </w:r>
    </w:p>
    <w:p w14:paraId="3410CA1D">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十二、违约责任</w:t>
      </w:r>
    </w:p>
    <w:p w14:paraId="032696A0">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cs="宋体"/>
          <w:szCs w:val="21"/>
        </w:rPr>
        <w:t>1. 乙方未能交付货物，则向甲方支付合同总额20%的违约金</w:t>
      </w:r>
      <w:r>
        <w:rPr>
          <w:rFonts w:hint="eastAsia" w:ascii="宋体" w:hAnsi="宋体"/>
          <w:szCs w:val="21"/>
        </w:rPr>
        <w:t>，同时履约保证金不予退还。</w:t>
      </w:r>
    </w:p>
    <w:p w14:paraId="7A6D34AA">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2. 乙方交付的货物与投标文件或合同不相符的，甲方有权拒收，乙方向甲方支付合同总额30%的违约金，同时履约保证金不予退还。</w:t>
      </w:r>
    </w:p>
    <w:p w14:paraId="4A8A54F9">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3. 甲方无正当理由拒收货物，拒付货款的，则向乙方支付合同总额10%的违约金。</w:t>
      </w:r>
    </w:p>
    <w:p w14:paraId="37EA9E90">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3ED1C671">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5. 甲方逾期付款，则每延迟一周付款甲方应向乙方支付货款总额0.5%违约金，违约金总额不超过合同总价的5%（不可抗力除外）。</w:t>
      </w:r>
    </w:p>
    <w:p w14:paraId="10B6A582">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49F83881">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7.若乙方提出换货，则按第十二条第2款执行。</w:t>
      </w:r>
    </w:p>
    <w:p w14:paraId="529C8341">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十三、争端的解决</w:t>
      </w:r>
    </w:p>
    <w:p w14:paraId="59643F03">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1.凡与本合同有关而引起的一切争执和分歧，甲乙双方通过友好协商解决或提交河南省政府采购管理部门调解，如协商或调解不成，任何一方可以向甲方所在地仲裁委员会申请仲裁裁决。</w:t>
      </w:r>
    </w:p>
    <w:p w14:paraId="75D22D3A">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2.在进行仲裁期间，除提交仲裁机构的事项外，合同其他部分应继续履行。</w:t>
      </w:r>
    </w:p>
    <w:p w14:paraId="1B1E13CB">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十四、</w:t>
      </w:r>
      <w:r>
        <w:rPr>
          <w:rFonts w:hint="eastAsia" w:ascii="宋体" w:hAnsi="宋体" w:cs="宋体"/>
          <w:b/>
          <w:bCs/>
          <w:szCs w:val="21"/>
        </w:rPr>
        <w:t>合同组成</w:t>
      </w:r>
    </w:p>
    <w:p w14:paraId="3B02934B">
      <w:pPr>
        <w:pageBreakBefore w:val="0"/>
        <w:widowControl w:val="0"/>
        <w:kinsoku/>
        <w:wordWrap/>
        <w:overflowPunct/>
        <w:topLinePunct w:val="0"/>
        <w:autoSpaceDE/>
        <w:autoSpaceDN/>
        <w:bidi w:val="0"/>
        <w:adjustRightInd/>
        <w:snapToGrid/>
        <w:spacing w:line="480" w:lineRule="exact"/>
        <w:ind w:firstLine="420" w:firstLineChars="200"/>
        <w:textAlignment w:val="auto"/>
        <w:rPr>
          <w:rFonts w:ascii="宋体" w:hAnsi="Courier New" w:cs="宋体"/>
          <w:szCs w:val="21"/>
        </w:rPr>
      </w:pPr>
      <w:r>
        <w:rPr>
          <w:rFonts w:hint="eastAsia" w:ascii="宋体" w:hAnsi="宋体" w:cs="宋体"/>
          <w:bCs/>
          <w:szCs w:val="21"/>
        </w:rPr>
        <w:t>本项目</w:t>
      </w:r>
      <w:r>
        <w:rPr>
          <w:rFonts w:hint="eastAsia" w:ascii="宋体" w:hAnsi="宋体" w:cs="宋体"/>
          <w:szCs w:val="21"/>
        </w:rPr>
        <w:t>招标文件、投标文件及下列附件等均为本合同的有效组成部分，与本合同具有同等法律效力。</w:t>
      </w:r>
    </w:p>
    <w:p w14:paraId="6E558515">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十五、合同解除和终止</w:t>
      </w:r>
    </w:p>
    <w:p w14:paraId="61DF57E2">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1. 甲乙双方各自完成合同规定的责任和义务，合同自然终止。</w:t>
      </w:r>
    </w:p>
    <w:p w14:paraId="503B709D">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szCs w:val="21"/>
        </w:rPr>
      </w:pPr>
      <w:r>
        <w:rPr>
          <w:rFonts w:hint="eastAsia" w:ascii="宋体" w:hAnsi="宋体"/>
          <w:szCs w:val="21"/>
        </w:rPr>
        <w:t>2. 如果一方严重违反合同，并在收到对方违约通知书后在</w:t>
      </w:r>
      <w:r>
        <w:rPr>
          <w:rFonts w:hint="eastAsia" w:ascii="宋体" w:hAnsi="宋体"/>
          <w:szCs w:val="21"/>
          <w:shd w:val="clear" w:color="auto" w:fill="FFFFFF"/>
        </w:rPr>
        <w:t>30</w:t>
      </w:r>
      <w:r>
        <w:rPr>
          <w:rFonts w:hint="eastAsia" w:ascii="宋体" w:hAnsi="宋体"/>
          <w:szCs w:val="21"/>
        </w:rPr>
        <w:t>天内或在指定期限内仍未能改正违约的，另一方可立即终止本合同。</w:t>
      </w:r>
    </w:p>
    <w:p w14:paraId="135C0603">
      <w:pPr>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b/>
          <w:szCs w:val="21"/>
        </w:rPr>
      </w:pPr>
      <w:r>
        <w:rPr>
          <w:rFonts w:hint="eastAsia" w:ascii="宋体" w:hAnsi="宋体" w:cs="宋体"/>
          <w:b/>
          <w:szCs w:val="21"/>
        </w:rPr>
        <w:t>十六、其他</w:t>
      </w:r>
    </w:p>
    <w:p w14:paraId="4C5F65CC">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1. 本合同乙方不得将本合同全部或部分分包给他人。乙方在任何情况下都不得全部或部分转让其应履行的合同义务。</w:t>
      </w:r>
    </w:p>
    <w:p w14:paraId="02D1329B">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2. 合同若有变更须经甲乙双方签字确认。</w:t>
      </w:r>
    </w:p>
    <w:p w14:paraId="2E8F2293">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3．在执行本合同的过程中，所有经双方签署确认的文件（包括会议纪要、补充协议、合同修改书、往来信函等）均为本合同的有效组成部分，其生效日期为双方签字盖章或确认之日期。</w:t>
      </w:r>
    </w:p>
    <w:p w14:paraId="442E3912">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4. 本合同经甲方、乙方法定代表人或授权代理人签字、盖章后生效，生效日以最后一个签字日为准。</w:t>
      </w:r>
    </w:p>
    <w:p w14:paraId="15CB6E2C">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eastAsia="宋体" w:cs="宋体"/>
          <w:szCs w:val="21"/>
          <w:lang w:eastAsia="zh-CN"/>
        </w:rPr>
        <w:drawing>
          <wp:anchor distT="0" distB="0" distL="114300" distR="114300" simplePos="0" relativeHeight="251660288" behindDoc="0" locked="0" layoutInCell="1" allowOverlap="1">
            <wp:simplePos x="0" y="0"/>
            <wp:positionH relativeFrom="column">
              <wp:posOffset>-1089025</wp:posOffset>
            </wp:positionH>
            <wp:positionV relativeFrom="paragraph">
              <wp:posOffset>-869315</wp:posOffset>
            </wp:positionV>
            <wp:extent cx="7488555" cy="10215880"/>
            <wp:effectExtent l="0" t="0" r="17145" b="13970"/>
            <wp:wrapNone/>
            <wp:docPr id="3" name="图片 3" descr="3d304344d789c9d95ee5e0fb61bc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d304344d789c9d95ee5e0fb61bcf3e"/>
                    <pic:cNvPicPr>
                      <a:picLocks noChangeAspect="1"/>
                    </pic:cNvPicPr>
                  </pic:nvPicPr>
                  <pic:blipFill>
                    <a:blip r:embed="rId7"/>
                    <a:stretch>
                      <a:fillRect/>
                    </a:stretch>
                  </pic:blipFill>
                  <pic:spPr>
                    <a:xfrm>
                      <a:off x="0" y="0"/>
                      <a:ext cx="7488555" cy="10215880"/>
                    </a:xfrm>
                    <a:prstGeom prst="rect">
                      <a:avLst/>
                    </a:prstGeom>
                  </pic:spPr>
                </pic:pic>
              </a:graphicData>
            </a:graphic>
          </wp:anchor>
        </w:drawing>
      </w:r>
    </w:p>
    <w:p w14:paraId="304B79D9">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p>
    <w:p w14:paraId="1D612ADF">
      <w:pPr>
        <w:spacing w:line="360" w:lineRule="auto"/>
        <w:ind w:firstLine="420" w:firstLineChars="200"/>
        <w:rPr>
          <w:rFonts w:hint="eastAsia" w:ascii="宋体" w:hAnsi="宋体" w:cs="宋体"/>
          <w:szCs w:val="21"/>
        </w:rPr>
      </w:pPr>
    </w:p>
    <w:p w14:paraId="7855596C">
      <w:pPr>
        <w:spacing w:line="360" w:lineRule="auto"/>
        <w:ind w:firstLine="420" w:firstLineChars="200"/>
        <w:rPr>
          <w:rFonts w:hint="eastAsia" w:ascii="宋体" w:hAnsi="宋体" w:cs="宋体"/>
          <w:szCs w:val="21"/>
        </w:rPr>
      </w:pPr>
    </w:p>
    <w:p w14:paraId="2C7564F0">
      <w:pPr>
        <w:spacing w:line="360" w:lineRule="auto"/>
        <w:ind w:firstLine="420" w:firstLineChars="200"/>
        <w:rPr>
          <w:rFonts w:hint="eastAsia" w:ascii="宋体" w:hAnsi="宋体" w:cs="宋体"/>
          <w:szCs w:val="21"/>
        </w:rPr>
      </w:pPr>
    </w:p>
    <w:p w14:paraId="4F2FCA79">
      <w:pPr>
        <w:spacing w:line="360" w:lineRule="auto"/>
        <w:rPr>
          <w:rFonts w:hint="eastAsia" w:ascii="宋体" w:hAnsi="宋体" w:eastAsia="宋体" w:cs="宋体"/>
          <w:szCs w:val="21"/>
          <w:lang w:eastAsia="zh-CN"/>
        </w:rPr>
      </w:pPr>
    </w:p>
    <w:p w14:paraId="16673867">
      <w:pPr>
        <w:pStyle w:val="3"/>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附件1</w:t>
      </w:r>
    </w:p>
    <w:p w14:paraId="592851FF">
      <w:pPr>
        <w:pStyle w:val="3"/>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中标通知书</w:t>
      </w:r>
    </w:p>
    <w:p w14:paraId="00104526">
      <w:pPr>
        <w:spacing w:line="360" w:lineRule="auto"/>
        <w:rPr>
          <w:rFonts w:hint="eastAsia" w:ascii="宋体" w:hAnsi="宋体" w:cs="宋体"/>
          <w:b/>
          <w:szCs w:val="21"/>
        </w:rPr>
        <w:sectPr>
          <w:headerReference r:id="rId3" w:type="default"/>
          <w:footerReference r:id="rId4" w:type="default"/>
          <w:pgSz w:w="11906" w:h="16838"/>
          <w:pgMar w:top="1440" w:right="1800" w:bottom="1440" w:left="1800" w:header="283" w:footer="992" w:gutter="0"/>
          <w:pgNumType w:fmt="decimal"/>
          <w:cols w:space="425" w:num="1"/>
          <w:docGrid w:type="lines" w:linePitch="312" w:charSpace="0"/>
        </w:sectPr>
      </w:pPr>
      <w:r>
        <w:drawing>
          <wp:inline distT="0" distB="0" distL="0" distR="0">
            <wp:extent cx="5274310" cy="7457440"/>
            <wp:effectExtent l="0" t="0" r="2540" b="0"/>
            <wp:docPr id="518427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27527" name="图片 1"/>
                    <pic:cNvPicPr>
                      <a:picLocks noChangeAspect="1"/>
                    </pic:cNvPicPr>
                  </pic:nvPicPr>
                  <pic:blipFill>
                    <a:blip r:embed="rId8"/>
                    <a:stretch>
                      <a:fillRect/>
                    </a:stretch>
                  </pic:blipFill>
                  <pic:spPr>
                    <a:xfrm>
                      <a:off x="0" y="0"/>
                      <a:ext cx="5274310" cy="7457440"/>
                    </a:xfrm>
                    <a:prstGeom prst="rect">
                      <a:avLst/>
                    </a:prstGeom>
                  </pic:spPr>
                </pic:pic>
              </a:graphicData>
            </a:graphic>
          </wp:inline>
        </w:drawing>
      </w:r>
    </w:p>
    <w:p w14:paraId="311D57F9">
      <w:pPr>
        <w:pStyle w:val="3"/>
        <w:rPr>
          <w:rFonts w:hint="eastAsia" w:ascii="黑体" w:hAnsi="黑体" w:eastAsia="黑体" w:cs="黑体"/>
          <w:color w:val="auto"/>
          <w:sz w:val="24"/>
          <w:szCs w:val="24"/>
        </w:rPr>
      </w:pPr>
      <w:r>
        <w:rPr>
          <w:rFonts w:hint="eastAsia" w:ascii="黑体" w:hAnsi="黑体" w:eastAsia="黑体" w:cs="黑体"/>
          <w:color w:val="auto"/>
          <w:sz w:val="24"/>
          <w:szCs w:val="24"/>
        </w:rPr>
        <w:t>附件2</w:t>
      </w:r>
    </w:p>
    <w:p w14:paraId="626DAAE7">
      <w:pPr>
        <w:pStyle w:val="3"/>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投标货物分项报价一览表</w:t>
      </w:r>
    </w:p>
    <w:tbl>
      <w:tblPr>
        <w:tblStyle w:val="39"/>
        <w:tblpPr w:leftFromText="181" w:rightFromText="181" w:vertAnchor="text" w:horzAnchor="margin"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351"/>
        <w:gridCol w:w="1641"/>
        <w:gridCol w:w="1470"/>
        <w:gridCol w:w="748"/>
        <w:gridCol w:w="689"/>
        <w:gridCol w:w="615"/>
        <w:gridCol w:w="915"/>
        <w:gridCol w:w="955"/>
        <w:gridCol w:w="748"/>
        <w:gridCol w:w="676"/>
        <w:gridCol w:w="547"/>
        <w:gridCol w:w="1222"/>
        <w:gridCol w:w="1688"/>
        <w:gridCol w:w="396"/>
      </w:tblGrid>
      <w:tr w14:paraId="5001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244240F4">
            <w:pPr>
              <w:spacing w:line="440" w:lineRule="exact"/>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1351" w:type="dxa"/>
            <w:tcBorders>
              <w:top w:val="single" w:color="auto" w:sz="4" w:space="0"/>
              <w:left w:val="single" w:color="auto" w:sz="4" w:space="0"/>
              <w:bottom w:val="single" w:color="auto" w:sz="4" w:space="0"/>
              <w:right w:val="single" w:color="auto" w:sz="4" w:space="0"/>
            </w:tcBorders>
            <w:vAlign w:val="center"/>
          </w:tcPr>
          <w:p w14:paraId="1CC28CBC">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货物名称</w:t>
            </w:r>
          </w:p>
        </w:tc>
        <w:tc>
          <w:tcPr>
            <w:tcW w:w="1641" w:type="dxa"/>
            <w:tcBorders>
              <w:top w:val="single" w:color="auto" w:sz="4" w:space="0"/>
              <w:left w:val="single" w:color="auto" w:sz="4" w:space="0"/>
              <w:bottom w:val="single" w:color="auto" w:sz="4" w:space="0"/>
              <w:right w:val="single" w:color="auto" w:sz="4" w:space="0"/>
            </w:tcBorders>
            <w:vAlign w:val="center"/>
          </w:tcPr>
          <w:p w14:paraId="6E9DD5B2">
            <w:pPr>
              <w:widowControl/>
              <w:jc w:val="center"/>
              <w:rPr>
                <w:rFonts w:hint="eastAsia" w:ascii="黑体" w:hAnsi="黑体" w:eastAsia="黑体" w:cs="黑体"/>
                <w:b w:val="0"/>
                <w:bCs w:val="0"/>
                <w:kern w:val="0"/>
                <w:sz w:val="18"/>
                <w:szCs w:val="18"/>
              </w:rPr>
            </w:pPr>
            <w:r>
              <w:rPr>
                <w:rFonts w:hint="eastAsia" w:ascii="黑体" w:hAnsi="黑体" w:eastAsia="黑体" w:cs="黑体"/>
                <w:b w:val="0"/>
                <w:bCs w:val="0"/>
                <w:sz w:val="18"/>
                <w:szCs w:val="18"/>
              </w:rPr>
              <w:t>型号规格</w:t>
            </w:r>
          </w:p>
        </w:tc>
        <w:tc>
          <w:tcPr>
            <w:tcW w:w="1470" w:type="dxa"/>
            <w:tcBorders>
              <w:top w:val="single" w:color="auto" w:sz="4" w:space="0"/>
              <w:left w:val="single" w:color="auto" w:sz="4" w:space="0"/>
              <w:bottom w:val="single" w:color="auto" w:sz="4" w:space="0"/>
              <w:right w:val="single" w:color="auto" w:sz="4" w:space="0"/>
            </w:tcBorders>
            <w:vAlign w:val="center"/>
          </w:tcPr>
          <w:p w14:paraId="381BFFDB">
            <w:pPr>
              <w:widowControl/>
              <w:jc w:val="center"/>
              <w:rPr>
                <w:rFonts w:hint="eastAsia" w:ascii="黑体" w:hAnsi="黑体" w:eastAsia="黑体" w:cs="黑体"/>
                <w:b w:val="0"/>
                <w:bCs w:val="0"/>
                <w:kern w:val="0"/>
                <w:sz w:val="18"/>
                <w:szCs w:val="18"/>
              </w:rPr>
            </w:pPr>
            <w:r>
              <w:rPr>
                <w:rFonts w:hint="eastAsia" w:ascii="黑体" w:hAnsi="黑体" w:eastAsia="黑体" w:cs="黑体"/>
                <w:b w:val="0"/>
                <w:bCs w:val="0"/>
                <w:kern w:val="0"/>
                <w:sz w:val="18"/>
                <w:szCs w:val="18"/>
              </w:rPr>
              <w:t>制造商</w:t>
            </w:r>
          </w:p>
        </w:tc>
        <w:tc>
          <w:tcPr>
            <w:tcW w:w="748" w:type="dxa"/>
            <w:tcBorders>
              <w:top w:val="single" w:color="auto" w:sz="4" w:space="0"/>
              <w:left w:val="single" w:color="auto" w:sz="4" w:space="0"/>
              <w:bottom w:val="single" w:color="auto" w:sz="4" w:space="0"/>
              <w:right w:val="single" w:color="auto" w:sz="4" w:space="0"/>
            </w:tcBorders>
            <w:vAlign w:val="center"/>
          </w:tcPr>
          <w:p w14:paraId="25334782">
            <w:pPr>
              <w:widowControl/>
              <w:jc w:val="center"/>
              <w:rPr>
                <w:rFonts w:hint="eastAsia" w:ascii="黑体" w:hAnsi="黑体" w:eastAsia="黑体" w:cs="黑体"/>
                <w:b w:val="0"/>
                <w:bCs w:val="0"/>
                <w:kern w:val="0"/>
                <w:sz w:val="18"/>
                <w:szCs w:val="18"/>
              </w:rPr>
            </w:pPr>
            <w:r>
              <w:rPr>
                <w:rFonts w:hint="eastAsia" w:ascii="黑体" w:hAnsi="黑体" w:eastAsia="黑体" w:cs="黑体"/>
                <w:b w:val="0"/>
                <w:bCs w:val="0"/>
                <w:kern w:val="0"/>
                <w:sz w:val="18"/>
                <w:szCs w:val="18"/>
              </w:rPr>
              <w:t>产</w:t>
            </w:r>
          </w:p>
          <w:p w14:paraId="3B4AFCA0">
            <w:pPr>
              <w:widowControl/>
              <w:jc w:val="center"/>
              <w:rPr>
                <w:rFonts w:hint="eastAsia" w:ascii="黑体" w:hAnsi="黑体" w:eastAsia="黑体" w:cs="黑体"/>
                <w:b w:val="0"/>
                <w:bCs w:val="0"/>
                <w:kern w:val="0"/>
                <w:sz w:val="18"/>
                <w:szCs w:val="18"/>
              </w:rPr>
            </w:pPr>
            <w:r>
              <w:rPr>
                <w:rFonts w:hint="eastAsia" w:ascii="黑体" w:hAnsi="黑体" w:eastAsia="黑体" w:cs="黑体"/>
                <w:b w:val="0"/>
                <w:bCs w:val="0"/>
                <w:kern w:val="0"/>
                <w:sz w:val="18"/>
                <w:szCs w:val="18"/>
              </w:rPr>
              <w:t>地</w:t>
            </w:r>
          </w:p>
        </w:tc>
        <w:tc>
          <w:tcPr>
            <w:tcW w:w="689" w:type="dxa"/>
            <w:tcBorders>
              <w:top w:val="single" w:color="auto" w:sz="4" w:space="0"/>
              <w:left w:val="single" w:color="auto" w:sz="4" w:space="0"/>
              <w:bottom w:val="single" w:color="auto" w:sz="4" w:space="0"/>
              <w:right w:val="single" w:color="auto" w:sz="4" w:space="0"/>
            </w:tcBorders>
            <w:vAlign w:val="center"/>
          </w:tcPr>
          <w:p w14:paraId="46CA5B05">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单</w:t>
            </w:r>
          </w:p>
          <w:p w14:paraId="5C12A0F0">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位</w:t>
            </w:r>
          </w:p>
        </w:tc>
        <w:tc>
          <w:tcPr>
            <w:tcW w:w="615" w:type="dxa"/>
            <w:tcBorders>
              <w:top w:val="single" w:color="auto" w:sz="4" w:space="0"/>
              <w:left w:val="single" w:color="auto" w:sz="4" w:space="0"/>
              <w:bottom w:val="single" w:color="auto" w:sz="4" w:space="0"/>
              <w:right w:val="single" w:color="auto" w:sz="4" w:space="0"/>
            </w:tcBorders>
            <w:vAlign w:val="center"/>
          </w:tcPr>
          <w:p w14:paraId="51B4F406">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数量</w:t>
            </w:r>
          </w:p>
        </w:tc>
        <w:tc>
          <w:tcPr>
            <w:tcW w:w="915" w:type="dxa"/>
            <w:tcBorders>
              <w:top w:val="single" w:color="auto" w:sz="4" w:space="0"/>
              <w:left w:val="single" w:color="auto" w:sz="4" w:space="0"/>
              <w:bottom w:val="single" w:color="auto" w:sz="4" w:space="0"/>
              <w:right w:val="single" w:color="auto" w:sz="4" w:space="0"/>
            </w:tcBorders>
            <w:vAlign w:val="center"/>
          </w:tcPr>
          <w:p w14:paraId="2C411E52">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单价</w:t>
            </w:r>
          </w:p>
          <w:p w14:paraId="2602660B">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（RMB）</w:t>
            </w:r>
          </w:p>
        </w:tc>
        <w:tc>
          <w:tcPr>
            <w:tcW w:w="955" w:type="dxa"/>
            <w:tcBorders>
              <w:top w:val="single" w:color="auto" w:sz="4" w:space="0"/>
              <w:left w:val="single" w:color="auto" w:sz="4" w:space="0"/>
              <w:bottom w:val="single" w:color="auto" w:sz="4" w:space="0"/>
              <w:right w:val="single" w:color="auto" w:sz="4" w:space="0"/>
            </w:tcBorders>
            <w:vAlign w:val="center"/>
          </w:tcPr>
          <w:p w14:paraId="640FA23D">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小计</w:t>
            </w:r>
          </w:p>
          <w:p w14:paraId="451181FF">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（RMB）</w:t>
            </w:r>
          </w:p>
        </w:tc>
        <w:tc>
          <w:tcPr>
            <w:tcW w:w="748" w:type="dxa"/>
            <w:tcBorders>
              <w:top w:val="single" w:color="auto" w:sz="4" w:space="0"/>
              <w:left w:val="single" w:color="auto" w:sz="4" w:space="0"/>
              <w:bottom w:val="single" w:color="auto" w:sz="4" w:space="0"/>
              <w:right w:val="single" w:color="auto" w:sz="4" w:space="0"/>
            </w:tcBorders>
            <w:vAlign w:val="center"/>
          </w:tcPr>
          <w:p w14:paraId="4BB4F0D9">
            <w:pPr>
              <w:ind w:right="-107" w:rightChars="-51"/>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运输及</w:t>
            </w:r>
          </w:p>
          <w:p w14:paraId="77888D2B">
            <w:pPr>
              <w:ind w:right="-107" w:rightChars="-51"/>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保险费</w:t>
            </w:r>
          </w:p>
        </w:tc>
        <w:tc>
          <w:tcPr>
            <w:tcW w:w="676" w:type="dxa"/>
            <w:tcBorders>
              <w:top w:val="single" w:color="auto" w:sz="4" w:space="0"/>
              <w:left w:val="single" w:color="auto" w:sz="4" w:space="0"/>
              <w:bottom w:val="single" w:color="auto" w:sz="4" w:space="0"/>
              <w:right w:val="single" w:color="auto" w:sz="4" w:space="0"/>
            </w:tcBorders>
            <w:vAlign w:val="center"/>
          </w:tcPr>
          <w:p w14:paraId="4C9CB0BE">
            <w:pPr>
              <w:ind w:right="-107" w:rightChars="-51"/>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技术</w:t>
            </w:r>
          </w:p>
          <w:p w14:paraId="32354842">
            <w:pPr>
              <w:ind w:right="-107" w:rightChars="-51"/>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服务费</w:t>
            </w:r>
          </w:p>
        </w:tc>
        <w:tc>
          <w:tcPr>
            <w:tcW w:w="0" w:type="auto"/>
            <w:tcBorders>
              <w:top w:val="single" w:color="auto" w:sz="4" w:space="0"/>
              <w:left w:val="single" w:color="auto" w:sz="4" w:space="0"/>
              <w:bottom w:val="single" w:color="auto" w:sz="4" w:space="0"/>
              <w:right w:val="single" w:color="auto" w:sz="4" w:space="0"/>
            </w:tcBorders>
            <w:vAlign w:val="center"/>
          </w:tcPr>
          <w:p w14:paraId="4121E0A5">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税费</w:t>
            </w:r>
          </w:p>
        </w:tc>
        <w:tc>
          <w:tcPr>
            <w:tcW w:w="1222" w:type="dxa"/>
            <w:tcBorders>
              <w:top w:val="single" w:color="auto" w:sz="4" w:space="0"/>
              <w:left w:val="single" w:color="auto" w:sz="4" w:space="0"/>
              <w:bottom w:val="single" w:color="auto" w:sz="4" w:space="0"/>
              <w:right w:val="single" w:color="auto" w:sz="4" w:space="0"/>
            </w:tcBorders>
            <w:vAlign w:val="center"/>
          </w:tcPr>
          <w:p w14:paraId="4BB3FD85">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交货日期</w:t>
            </w:r>
          </w:p>
        </w:tc>
        <w:tc>
          <w:tcPr>
            <w:tcW w:w="1688" w:type="dxa"/>
            <w:tcBorders>
              <w:top w:val="single" w:color="auto" w:sz="4" w:space="0"/>
              <w:left w:val="single" w:color="auto" w:sz="4" w:space="0"/>
              <w:bottom w:val="single" w:color="auto" w:sz="4" w:space="0"/>
              <w:right w:val="single" w:color="auto" w:sz="4" w:space="0"/>
            </w:tcBorders>
            <w:vAlign w:val="center"/>
          </w:tcPr>
          <w:p w14:paraId="5311C084">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交货地（港）</w:t>
            </w:r>
          </w:p>
        </w:tc>
        <w:tc>
          <w:tcPr>
            <w:tcW w:w="0" w:type="auto"/>
            <w:tcBorders>
              <w:top w:val="single" w:color="auto" w:sz="4" w:space="0"/>
              <w:left w:val="single" w:color="auto" w:sz="4" w:space="0"/>
              <w:bottom w:val="single" w:color="auto" w:sz="4" w:space="0"/>
              <w:right w:val="single" w:color="auto" w:sz="4" w:space="0"/>
            </w:tcBorders>
            <w:vAlign w:val="center"/>
          </w:tcPr>
          <w:p w14:paraId="6B1362B0">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备</w:t>
            </w:r>
          </w:p>
          <w:p w14:paraId="61BDF8DD">
            <w:pPr>
              <w:jc w:val="center"/>
              <w:rPr>
                <w:rFonts w:hint="eastAsia" w:ascii="黑体" w:hAnsi="黑体" w:eastAsia="黑体" w:cs="黑体"/>
                <w:b w:val="0"/>
                <w:bCs w:val="0"/>
                <w:sz w:val="18"/>
                <w:szCs w:val="18"/>
              </w:rPr>
            </w:pPr>
            <w:r>
              <w:rPr>
                <w:rFonts w:hint="eastAsia" w:ascii="黑体" w:hAnsi="黑体" w:eastAsia="黑体" w:cs="黑体"/>
                <w:b w:val="0"/>
                <w:bCs w:val="0"/>
                <w:sz w:val="18"/>
                <w:szCs w:val="18"/>
              </w:rPr>
              <w:t>注</w:t>
            </w:r>
          </w:p>
        </w:tc>
      </w:tr>
      <w:tr w14:paraId="1A26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57DF3EBD">
            <w:pPr>
              <w:jc w:val="center"/>
              <w:rPr>
                <w:rFonts w:hint="eastAsia" w:ascii="宋体" w:hAnsi="宋体"/>
                <w:b w:val="0"/>
                <w:bCs w:val="0"/>
                <w:sz w:val="18"/>
                <w:szCs w:val="18"/>
              </w:rPr>
            </w:pPr>
            <w:r>
              <w:rPr>
                <w:rFonts w:hint="eastAsia" w:ascii="宋体" w:hAnsi="宋体"/>
                <w:b w:val="0"/>
                <w:bCs w:val="0"/>
                <w:sz w:val="18"/>
                <w:szCs w:val="18"/>
              </w:rPr>
              <w:t>1</w:t>
            </w:r>
          </w:p>
        </w:tc>
        <w:tc>
          <w:tcPr>
            <w:tcW w:w="1351" w:type="dxa"/>
            <w:tcBorders>
              <w:top w:val="nil"/>
              <w:left w:val="nil"/>
              <w:bottom w:val="single" w:color="auto" w:sz="4" w:space="0"/>
              <w:right w:val="single" w:color="auto" w:sz="4" w:space="0"/>
            </w:tcBorders>
            <w:vAlign w:val="center"/>
          </w:tcPr>
          <w:p w14:paraId="28551405">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一卡通管理</w:t>
            </w:r>
          </w:p>
          <w:p w14:paraId="2A76BEA4">
            <w:pPr>
              <w:jc w:val="center"/>
              <w:rPr>
                <w:rFonts w:hint="eastAsia" w:ascii="宋体" w:hAnsi="宋体"/>
                <w:b w:val="0"/>
                <w:bCs w:val="0"/>
                <w:sz w:val="18"/>
                <w:szCs w:val="18"/>
              </w:rPr>
            </w:pPr>
            <w:r>
              <w:rPr>
                <w:rFonts w:hint="eastAsia" w:ascii="宋体" w:hAnsi="宋体" w:cs="宋体"/>
                <w:b w:val="0"/>
                <w:bCs w:val="0"/>
                <w:color w:val="000000"/>
                <w:kern w:val="0"/>
                <w:sz w:val="18"/>
                <w:szCs w:val="18"/>
              </w:rPr>
              <w:t>平台</w:t>
            </w:r>
          </w:p>
        </w:tc>
        <w:tc>
          <w:tcPr>
            <w:tcW w:w="1641" w:type="dxa"/>
            <w:tcBorders>
              <w:top w:val="nil"/>
              <w:left w:val="nil"/>
              <w:bottom w:val="single" w:color="auto" w:sz="4" w:space="0"/>
              <w:right w:val="single" w:color="auto" w:sz="4" w:space="0"/>
            </w:tcBorders>
            <w:vAlign w:val="center"/>
          </w:tcPr>
          <w:p w14:paraId="287C5539">
            <w:pPr>
              <w:widowControl/>
              <w:jc w:val="center"/>
              <w:rPr>
                <w:rFonts w:hint="eastAsia" w:ascii="宋体" w:hAnsi="宋体"/>
                <w:b w:val="0"/>
                <w:bCs w:val="0"/>
                <w:kern w:val="0"/>
                <w:sz w:val="18"/>
                <w:szCs w:val="18"/>
              </w:rPr>
            </w:pPr>
            <w:r>
              <w:rPr>
                <w:rFonts w:hint="eastAsia" w:ascii="宋体" w:hAnsi="宋体" w:cs="宋体"/>
                <w:b w:val="0"/>
                <w:bCs w:val="0"/>
                <w:color w:val="000000"/>
                <w:kern w:val="0"/>
                <w:sz w:val="18"/>
                <w:szCs w:val="18"/>
              </w:rPr>
              <w:t>新开普一校通平台V1.0</w:t>
            </w:r>
          </w:p>
        </w:tc>
        <w:tc>
          <w:tcPr>
            <w:tcW w:w="1470" w:type="dxa"/>
            <w:tcBorders>
              <w:top w:val="nil"/>
              <w:left w:val="nil"/>
              <w:bottom w:val="single" w:color="auto" w:sz="4" w:space="0"/>
              <w:right w:val="single" w:color="auto" w:sz="4" w:space="0"/>
            </w:tcBorders>
            <w:vAlign w:val="center"/>
          </w:tcPr>
          <w:p w14:paraId="44DE35A9">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1BBD78F3">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4ED5D2F9">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7C0B8C58">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62140FC4">
            <w:pPr>
              <w:widowControl/>
              <w:jc w:val="center"/>
              <w:rPr>
                <w:rFonts w:hint="eastAsia" w:ascii="Times New Roman" w:hAnsi="Times New Roman" w:eastAsia="宋体" w:cs="Times New Roman"/>
                <w:b w:val="0"/>
                <w:bCs w:val="0"/>
                <w:color w:val="000000"/>
                <w:kern w:val="2"/>
                <w:sz w:val="18"/>
                <w:szCs w:val="18"/>
                <w:lang w:val="en-US" w:eastAsia="zh-CN" w:bidi="ar-SA"/>
              </w:rPr>
            </w:pPr>
            <w:r>
              <w:rPr>
                <w:rFonts w:hint="eastAsia" w:ascii="微软雅黑" w:hAnsi="微软雅黑" w:eastAsia="微软雅黑"/>
                <w:b w:val="0"/>
                <w:bCs w:val="0"/>
                <w:color w:val="000000"/>
                <w:sz w:val="18"/>
                <w:szCs w:val="18"/>
              </w:rPr>
              <w:t>59249</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6ADBF86">
            <w:pPr>
              <w:widowControl/>
              <w:jc w:val="center"/>
              <w:rPr>
                <w:rFonts w:hint="eastAsia" w:ascii="Times New Roman" w:hAnsi="Times New Roman" w:eastAsia="宋体" w:cs="Times New Roman"/>
                <w:b w:val="0"/>
                <w:bCs w:val="0"/>
                <w:color w:val="000000"/>
                <w:kern w:val="2"/>
                <w:sz w:val="18"/>
                <w:szCs w:val="18"/>
                <w:lang w:val="en-US" w:eastAsia="zh-CN" w:bidi="ar-SA"/>
              </w:rPr>
            </w:pPr>
            <w:r>
              <w:rPr>
                <w:rFonts w:hint="eastAsia" w:ascii="微软雅黑" w:hAnsi="微软雅黑" w:eastAsia="微软雅黑"/>
                <w:b w:val="0"/>
                <w:bCs w:val="0"/>
                <w:color w:val="000000"/>
                <w:sz w:val="18"/>
                <w:szCs w:val="18"/>
              </w:rPr>
              <w:t>59249</w:t>
            </w:r>
          </w:p>
        </w:tc>
        <w:tc>
          <w:tcPr>
            <w:tcW w:w="748" w:type="dxa"/>
            <w:tcBorders>
              <w:top w:val="single" w:color="auto" w:sz="4" w:space="0"/>
              <w:left w:val="single" w:color="auto" w:sz="4" w:space="0"/>
              <w:bottom w:val="single" w:color="auto" w:sz="4" w:space="0"/>
              <w:right w:val="single" w:color="auto" w:sz="4" w:space="0"/>
            </w:tcBorders>
            <w:vAlign w:val="center"/>
          </w:tcPr>
          <w:p w14:paraId="4299520B">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0EED4C16">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408CA489">
            <w:pPr>
              <w:jc w:val="center"/>
              <w:rPr>
                <w:rFonts w:hint="eastAsia" w:ascii="宋体" w:hAnsi="宋体"/>
                <w:b w:val="0"/>
                <w:bCs w:val="0"/>
                <w:sz w:val="18"/>
                <w:szCs w:val="18"/>
              </w:rPr>
            </w:pPr>
            <w:r>
              <w:rPr>
                <w:rFonts w:hint="eastAsia" w:ascii="宋体" w:hAnsi="宋体"/>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6E90EC9D">
            <w:pPr>
              <w:jc w:val="center"/>
              <w:rPr>
                <w:rFonts w:hint="eastAsia" w:ascii="宋体" w:hAnsi="宋体"/>
                <w:b w:val="0"/>
                <w:bCs w:val="0"/>
                <w:sz w:val="18"/>
                <w:szCs w:val="18"/>
              </w:rPr>
            </w:pPr>
            <w:r>
              <w:rPr>
                <w:rFonts w:hint="eastAsia" w:ascii="宋体" w:hAnsi="宋体"/>
                <w:b w:val="0"/>
                <w:bCs w:val="0"/>
                <w:sz w:val="18"/>
                <w:szCs w:val="18"/>
              </w:rPr>
              <w:t>合同签订后</w:t>
            </w:r>
          </w:p>
          <w:p w14:paraId="48D242DD">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455BEDA1">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72B80F0E">
            <w:pPr>
              <w:jc w:val="center"/>
              <w:rPr>
                <w:rFonts w:hint="eastAsia" w:ascii="宋体" w:hAnsi="宋体"/>
                <w:b w:val="0"/>
                <w:bCs w:val="0"/>
                <w:sz w:val="18"/>
                <w:szCs w:val="18"/>
              </w:rPr>
            </w:pPr>
          </w:p>
        </w:tc>
      </w:tr>
      <w:tr w14:paraId="4650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509F2A22">
            <w:pPr>
              <w:jc w:val="center"/>
              <w:rPr>
                <w:rFonts w:hint="eastAsia" w:ascii="宋体" w:hAnsi="宋体"/>
                <w:b w:val="0"/>
                <w:bCs w:val="0"/>
                <w:sz w:val="18"/>
                <w:szCs w:val="18"/>
              </w:rPr>
            </w:pPr>
            <w:r>
              <w:rPr>
                <w:rFonts w:hint="eastAsia" w:ascii="宋体" w:hAnsi="宋体"/>
                <w:b w:val="0"/>
                <w:bCs w:val="0"/>
                <w:sz w:val="18"/>
                <w:szCs w:val="18"/>
              </w:rPr>
              <w:t>2</w:t>
            </w:r>
          </w:p>
        </w:tc>
        <w:tc>
          <w:tcPr>
            <w:tcW w:w="1351" w:type="dxa"/>
            <w:tcBorders>
              <w:top w:val="nil"/>
              <w:left w:val="nil"/>
              <w:bottom w:val="single" w:color="auto" w:sz="4" w:space="0"/>
              <w:right w:val="single" w:color="auto" w:sz="4" w:space="0"/>
            </w:tcBorders>
            <w:vAlign w:val="center"/>
          </w:tcPr>
          <w:p w14:paraId="0520408F">
            <w:pPr>
              <w:jc w:val="center"/>
              <w:rPr>
                <w:rFonts w:hint="eastAsia" w:ascii="宋体" w:hAnsi="宋体"/>
                <w:b w:val="0"/>
                <w:bCs w:val="0"/>
                <w:sz w:val="18"/>
                <w:szCs w:val="18"/>
              </w:rPr>
            </w:pPr>
            <w:r>
              <w:rPr>
                <w:rFonts w:hint="eastAsia" w:ascii="宋体" w:hAnsi="宋体" w:cs="宋体"/>
                <w:b w:val="0"/>
                <w:bCs w:val="0"/>
                <w:color w:val="000000"/>
                <w:kern w:val="0"/>
                <w:sz w:val="18"/>
                <w:szCs w:val="18"/>
              </w:rPr>
              <w:t>开放平台</w:t>
            </w:r>
          </w:p>
        </w:tc>
        <w:tc>
          <w:tcPr>
            <w:tcW w:w="1641" w:type="dxa"/>
            <w:tcBorders>
              <w:top w:val="nil"/>
              <w:left w:val="nil"/>
              <w:bottom w:val="single" w:color="auto" w:sz="4" w:space="0"/>
              <w:right w:val="single" w:color="auto" w:sz="4" w:space="0"/>
            </w:tcBorders>
            <w:vAlign w:val="center"/>
          </w:tcPr>
          <w:p w14:paraId="41595822">
            <w:pPr>
              <w:widowControl/>
              <w:jc w:val="center"/>
              <w:rPr>
                <w:rFonts w:hint="eastAsia" w:ascii="宋体" w:hAnsi="宋体"/>
                <w:b w:val="0"/>
                <w:bCs w:val="0"/>
                <w:kern w:val="0"/>
                <w:sz w:val="18"/>
                <w:szCs w:val="18"/>
              </w:rPr>
            </w:pPr>
            <w:r>
              <w:rPr>
                <w:rFonts w:hint="eastAsia" w:ascii="宋体" w:hAnsi="宋体" w:cs="宋体"/>
                <w:b w:val="0"/>
                <w:bCs w:val="0"/>
                <w:color w:val="000000"/>
                <w:kern w:val="0"/>
                <w:sz w:val="18"/>
                <w:szCs w:val="18"/>
              </w:rPr>
              <w:t>新开普一校通平台V1.0</w:t>
            </w:r>
          </w:p>
        </w:tc>
        <w:tc>
          <w:tcPr>
            <w:tcW w:w="1470" w:type="dxa"/>
            <w:tcBorders>
              <w:top w:val="nil"/>
              <w:left w:val="nil"/>
              <w:bottom w:val="single" w:color="auto" w:sz="4" w:space="0"/>
              <w:right w:val="single" w:color="auto" w:sz="4" w:space="0"/>
            </w:tcBorders>
            <w:vAlign w:val="center"/>
          </w:tcPr>
          <w:p w14:paraId="1B96F44F">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09273A04">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40E97196">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56B761EE">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5434CA84">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49375</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084A08BE">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49375</w:t>
            </w:r>
          </w:p>
        </w:tc>
        <w:tc>
          <w:tcPr>
            <w:tcW w:w="748" w:type="dxa"/>
            <w:tcBorders>
              <w:top w:val="single" w:color="auto" w:sz="4" w:space="0"/>
              <w:left w:val="single" w:color="auto" w:sz="4" w:space="0"/>
              <w:bottom w:val="single" w:color="auto" w:sz="4" w:space="0"/>
              <w:right w:val="single" w:color="auto" w:sz="4" w:space="0"/>
            </w:tcBorders>
            <w:vAlign w:val="center"/>
          </w:tcPr>
          <w:p w14:paraId="1B3E0BE3">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365AB30C">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09393F2">
            <w:pPr>
              <w:jc w:val="center"/>
              <w:rPr>
                <w:rFonts w:hint="eastAsia"/>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489F9AC8">
            <w:pPr>
              <w:jc w:val="center"/>
              <w:rPr>
                <w:rFonts w:hint="eastAsia" w:ascii="宋体" w:hAnsi="宋体"/>
                <w:b w:val="0"/>
                <w:bCs w:val="0"/>
                <w:sz w:val="18"/>
                <w:szCs w:val="18"/>
              </w:rPr>
            </w:pPr>
            <w:r>
              <w:rPr>
                <w:rFonts w:hint="eastAsia" w:ascii="宋体" w:hAnsi="宋体"/>
                <w:b w:val="0"/>
                <w:bCs w:val="0"/>
                <w:sz w:val="18"/>
                <w:szCs w:val="18"/>
              </w:rPr>
              <w:t>合同签订后</w:t>
            </w:r>
          </w:p>
          <w:p w14:paraId="2E01CBC4">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15F2E144">
            <w:pPr>
              <w:jc w:val="both"/>
              <w:rPr>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21B8B6FC">
            <w:pPr>
              <w:jc w:val="center"/>
              <w:rPr>
                <w:rFonts w:hint="eastAsia" w:ascii="宋体" w:hAnsi="宋体"/>
                <w:b w:val="0"/>
                <w:bCs w:val="0"/>
                <w:sz w:val="18"/>
                <w:szCs w:val="18"/>
              </w:rPr>
            </w:pPr>
          </w:p>
        </w:tc>
      </w:tr>
      <w:tr w14:paraId="11B5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20266E2D">
            <w:pPr>
              <w:spacing w:line="440" w:lineRule="exact"/>
              <w:jc w:val="center"/>
              <w:rPr>
                <w:rFonts w:hint="eastAsia" w:ascii="宋体" w:hAnsi="宋体"/>
                <w:b w:val="0"/>
                <w:bCs w:val="0"/>
                <w:sz w:val="18"/>
                <w:szCs w:val="18"/>
              </w:rPr>
            </w:pPr>
            <w:bookmarkStart w:id="0" w:name="_Hlk211879176"/>
            <w:r>
              <w:rPr>
                <w:rFonts w:hint="eastAsia" w:ascii="宋体" w:hAnsi="宋体"/>
                <w:b w:val="0"/>
                <w:bCs w:val="0"/>
                <w:sz w:val="18"/>
                <w:szCs w:val="18"/>
              </w:rPr>
              <w:t>3</w:t>
            </w:r>
          </w:p>
        </w:tc>
        <w:tc>
          <w:tcPr>
            <w:tcW w:w="1351" w:type="dxa"/>
            <w:tcBorders>
              <w:top w:val="nil"/>
              <w:left w:val="nil"/>
              <w:bottom w:val="single" w:color="auto" w:sz="4" w:space="0"/>
              <w:right w:val="single" w:color="auto" w:sz="4" w:space="0"/>
            </w:tcBorders>
            <w:vAlign w:val="center"/>
          </w:tcPr>
          <w:p w14:paraId="73A4C63B">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移动服务</w:t>
            </w:r>
          </w:p>
          <w:p w14:paraId="7D5D7C80">
            <w:pPr>
              <w:jc w:val="center"/>
              <w:rPr>
                <w:rFonts w:hint="eastAsia" w:ascii="宋体" w:hAnsi="宋体"/>
                <w:b w:val="0"/>
                <w:bCs w:val="0"/>
                <w:sz w:val="18"/>
                <w:szCs w:val="18"/>
              </w:rPr>
            </w:pPr>
            <w:r>
              <w:rPr>
                <w:rFonts w:hint="eastAsia" w:ascii="宋体" w:hAnsi="宋体" w:cs="宋体"/>
                <w:b w:val="0"/>
                <w:bCs w:val="0"/>
                <w:color w:val="000000"/>
                <w:kern w:val="0"/>
                <w:sz w:val="18"/>
                <w:szCs w:val="18"/>
              </w:rPr>
              <w:t>平台</w:t>
            </w:r>
          </w:p>
        </w:tc>
        <w:tc>
          <w:tcPr>
            <w:tcW w:w="1641" w:type="dxa"/>
            <w:tcBorders>
              <w:top w:val="nil"/>
              <w:left w:val="nil"/>
              <w:bottom w:val="single" w:color="auto" w:sz="4" w:space="0"/>
              <w:right w:val="single" w:color="auto" w:sz="4" w:space="0"/>
            </w:tcBorders>
            <w:vAlign w:val="center"/>
          </w:tcPr>
          <w:p w14:paraId="067E37A2">
            <w:pPr>
              <w:widowControl/>
              <w:jc w:val="center"/>
              <w:rPr>
                <w:rFonts w:hint="eastAsia" w:ascii="宋体" w:hAnsi="宋体"/>
                <w:b w:val="0"/>
                <w:bCs w:val="0"/>
                <w:kern w:val="0"/>
                <w:sz w:val="18"/>
                <w:szCs w:val="18"/>
              </w:rPr>
            </w:pPr>
            <w:r>
              <w:rPr>
                <w:rFonts w:hint="eastAsia" w:ascii="宋体" w:hAnsi="宋体" w:cs="宋体"/>
                <w:b w:val="0"/>
                <w:bCs w:val="0"/>
                <w:color w:val="000000"/>
                <w:kern w:val="0"/>
                <w:sz w:val="18"/>
                <w:szCs w:val="18"/>
              </w:rPr>
              <w:t>新开普一校通平台V1.0</w:t>
            </w:r>
          </w:p>
        </w:tc>
        <w:tc>
          <w:tcPr>
            <w:tcW w:w="1470" w:type="dxa"/>
            <w:tcBorders>
              <w:top w:val="nil"/>
              <w:left w:val="nil"/>
              <w:bottom w:val="single" w:color="auto" w:sz="4" w:space="0"/>
              <w:right w:val="single" w:color="auto" w:sz="4" w:space="0"/>
            </w:tcBorders>
            <w:vAlign w:val="center"/>
          </w:tcPr>
          <w:p w14:paraId="33290284">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4752526D">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3C30FC96">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3E56C9EE">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228D7539">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27D6C34E">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748" w:type="dxa"/>
            <w:tcBorders>
              <w:top w:val="single" w:color="auto" w:sz="4" w:space="0"/>
              <w:left w:val="single" w:color="auto" w:sz="4" w:space="0"/>
              <w:bottom w:val="single" w:color="auto" w:sz="4" w:space="0"/>
              <w:right w:val="single" w:color="auto" w:sz="4" w:space="0"/>
            </w:tcBorders>
            <w:vAlign w:val="center"/>
          </w:tcPr>
          <w:p w14:paraId="750F58A1">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68C81BC3">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FDDEAAB">
            <w:pPr>
              <w:jc w:val="center"/>
              <w:rPr>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5F80925D">
            <w:pPr>
              <w:jc w:val="center"/>
              <w:rPr>
                <w:rFonts w:hint="eastAsia" w:ascii="宋体" w:hAnsi="宋体"/>
                <w:b w:val="0"/>
                <w:bCs w:val="0"/>
                <w:sz w:val="18"/>
                <w:szCs w:val="18"/>
              </w:rPr>
            </w:pPr>
            <w:r>
              <w:rPr>
                <w:rFonts w:hint="eastAsia" w:ascii="宋体" w:hAnsi="宋体"/>
                <w:b w:val="0"/>
                <w:bCs w:val="0"/>
                <w:sz w:val="18"/>
                <w:szCs w:val="18"/>
              </w:rPr>
              <w:t>合同签订后</w:t>
            </w:r>
          </w:p>
          <w:p w14:paraId="627BD75E">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44022C55">
            <w:pPr>
              <w:jc w:val="both"/>
              <w:rPr>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226B8409">
            <w:pPr>
              <w:jc w:val="center"/>
              <w:rPr>
                <w:rFonts w:hint="eastAsia" w:ascii="宋体" w:hAnsi="宋体"/>
                <w:b w:val="0"/>
                <w:bCs w:val="0"/>
                <w:sz w:val="18"/>
                <w:szCs w:val="18"/>
              </w:rPr>
            </w:pPr>
          </w:p>
        </w:tc>
      </w:tr>
      <w:bookmarkEnd w:id="0"/>
      <w:tr w14:paraId="78A5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68FB84C5">
            <w:pPr>
              <w:spacing w:line="440" w:lineRule="exact"/>
              <w:jc w:val="center"/>
              <w:rPr>
                <w:rFonts w:hint="eastAsia" w:ascii="宋体" w:hAnsi="宋体"/>
                <w:b w:val="0"/>
                <w:bCs w:val="0"/>
                <w:sz w:val="18"/>
                <w:szCs w:val="18"/>
              </w:rPr>
            </w:pPr>
            <w:r>
              <w:rPr>
                <w:rFonts w:hint="eastAsia" w:ascii="宋体" w:hAnsi="宋体"/>
                <w:b w:val="0"/>
                <w:bCs w:val="0"/>
                <w:sz w:val="18"/>
                <w:szCs w:val="18"/>
              </w:rPr>
              <w:t>4</w:t>
            </w:r>
          </w:p>
        </w:tc>
        <w:tc>
          <w:tcPr>
            <w:tcW w:w="1351" w:type="dxa"/>
            <w:tcBorders>
              <w:top w:val="nil"/>
              <w:left w:val="nil"/>
              <w:bottom w:val="single" w:color="auto" w:sz="4" w:space="0"/>
              <w:right w:val="single" w:color="auto" w:sz="4" w:space="0"/>
            </w:tcBorders>
            <w:vAlign w:val="center"/>
          </w:tcPr>
          <w:p w14:paraId="26393529">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支付服务</w:t>
            </w:r>
          </w:p>
          <w:p w14:paraId="14217174">
            <w:pPr>
              <w:jc w:val="center"/>
              <w:rPr>
                <w:rFonts w:hint="eastAsia" w:ascii="宋体" w:hAnsi="宋体"/>
                <w:b w:val="0"/>
                <w:bCs w:val="0"/>
                <w:sz w:val="18"/>
                <w:szCs w:val="18"/>
              </w:rPr>
            </w:pPr>
            <w:r>
              <w:rPr>
                <w:rFonts w:hint="eastAsia" w:ascii="宋体" w:hAnsi="宋体" w:cs="宋体"/>
                <w:b w:val="0"/>
                <w:bCs w:val="0"/>
                <w:color w:val="000000"/>
                <w:kern w:val="0"/>
                <w:sz w:val="18"/>
                <w:szCs w:val="18"/>
              </w:rPr>
              <w:t>平台</w:t>
            </w:r>
          </w:p>
        </w:tc>
        <w:tc>
          <w:tcPr>
            <w:tcW w:w="1641" w:type="dxa"/>
            <w:tcBorders>
              <w:top w:val="nil"/>
              <w:left w:val="nil"/>
              <w:bottom w:val="single" w:color="auto" w:sz="4" w:space="0"/>
              <w:right w:val="single" w:color="auto" w:sz="4" w:space="0"/>
            </w:tcBorders>
            <w:vAlign w:val="center"/>
          </w:tcPr>
          <w:p w14:paraId="620A3A97">
            <w:pPr>
              <w:widowControl/>
              <w:jc w:val="center"/>
              <w:rPr>
                <w:rFonts w:hint="eastAsia" w:ascii="宋体" w:hAnsi="宋体"/>
                <w:b w:val="0"/>
                <w:bCs w:val="0"/>
                <w:kern w:val="0"/>
                <w:sz w:val="18"/>
                <w:szCs w:val="18"/>
              </w:rPr>
            </w:pPr>
            <w:r>
              <w:rPr>
                <w:rFonts w:hint="eastAsia" w:ascii="宋体" w:hAnsi="宋体" w:cs="宋体"/>
                <w:b w:val="0"/>
                <w:bCs w:val="0"/>
                <w:color w:val="000000"/>
                <w:kern w:val="0"/>
                <w:sz w:val="18"/>
                <w:szCs w:val="18"/>
              </w:rPr>
              <w:t>新开普一校通平台V1.0</w:t>
            </w:r>
          </w:p>
        </w:tc>
        <w:tc>
          <w:tcPr>
            <w:tcW w:w="1470" w:type="dxa"/>
            <w:tcBorders>
              <w:top w:val="nil"/>
              <w:left w:val="nil"/>
              <w:bottom w:val="single" w:color="auto" w:sz="4" w:space="0"/>
              <w:right w:val="single" w:color="auto" w:sz="4" w:space="0"/>
            </w:tcBorders>
            <w:vAlign w:val="center"/>
          </w:tcPr>
          <w:p w14:paraId="3D76AFB0">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0D3EBDF2">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3B099992">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7A5559C4">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3761AB57">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8F6FB41">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748" w:type="dxa"/>
            <w:tcBorders>
              <w:top w:val="single" w:color="auto" w:sz="4" w:space="0"/>
              <w:left w:val="single" w:color="auto" w:sz="4" w:space="0"/>
              <w:bottom w:val="single" w:color="auto" w:sz="4" w:space="0"/>
              <w:right w:val="single" w:color="auto" w:sz="4" w:space="0"/>
            </w:tcBorders>
            <w:vAlign w:val="center"/>
          </w:tcPr>
          <w:p w14:paraId="7611AD80">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1F39ECE1">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0C414471">
            <w:pPr>
              <w:jc w:val="center"/>
              <w:rPr>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3EEB4837">
            <w:pPr>
              <w:jc w:val="center"/>
              <w:rPr>
                <w:rFonts w:hint="eastAsia" w:ascii="宋体" w:hAnsi="宋体"/>
                <w:b w:val="0"/>
                <w:bCs w:val="0"/>
                <w:sz w:val="18"/>
                <w:szCs w:val="18"/>
              </w:rPr>
            </w:pPr>
            <w:r>
              <w:rPr>
                <w:rFonts w:hint="eastAsia" w:ascii="宋体" w:hAnsi="宋体"/>
                <w:b w:val="0"/>
                <w:bCs w:val="0"/>
                <w:sz w:val="18"/>
                <w:szCs w:val="18"/>
              </w:rPr>
              <w:t>合同签订后</w:t>
            </w:r>
          </w:p>
          <w:p w14:paraId="633E436A">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66AD26C0">
            <w:pPr>
              <w:jc w:val="both"/>
              <w:rPr>
                <w:b w:val="0"/>
                <w:bCs w:val="0"/>
                <w:sz w:val="18"/>
                <w:szCs w:val="18"/>
              </w:rPr>
            </w:pPr>
            <w:bookmarkStart w:id="1" w:name="OLE_LINK6"/>
            <w:r>
              <w:rPr>
                <w:rFonts w:hint="eastAsia" w:ascii="宋体" w:hAnsi="宋体"/>
                <w:b w:val="0"/>
                <w:bCs w:val="0"/>
                <w:sz w:val="18"/>
                <w:szCs w:val="18"/>
              </w:rPr>
              <w:t>河南中医药大学</w:t>
            </w:r>
            <w:bookmarkEnd w:id="1"/>
          </w:p>
        </w:tc>
        <w:tc>
          <w:tcPr>
            <w:tcW w:w="0" w:type="auto"/>
            <w:tcBorders>
              <w:top w:val="single" w:color="auto" w:sz="4" w:space="0"/>
              <w:left w:val="single" w:color="auto" w:sz="4" w:space="0"/>
              <w:bottom w:val="single" w:color="auto" w:sz="4" w:space="0"/>
              <w:right w:val="single" w:color="auto" w:sz="4" w:space="0"/>
            </w:tcBorders>
            <w:vAlign w:val="center"/>
          </w:tcPr>
          <w:p w14:paraId="1BB48D83">
            <w:pPr>
              <w:jc w:val="center"/>
              <w:rPr>
                <w:rFonts w:hint="eastAsia" w:ascii="宋体" w:hAnsi="宋体"/>
                <w:b w:val="0"/>
                <w:bCs w:val="0"/>
                <w:sz w:val="18"/>
                <w:szCs w:val="18"/>
              </w:rPr>
            </w:pPr>
          </w:p>
        </w:tc>
      </w:tr>
      <w:tr w14:paraId="2DAC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6257785B">
            <w:pPr>
              <w:spacing w:line="440" w:lineRule="exact"/>
              <w:jc w:val="center"/>
              <w:rPr>
                <w:rFonts w:hint="eastAsia" w:ascii="宋体" w:hAnsi="宋体"/>
                <w:b w:val="0"/>
                <w:bCs w:val="0"/>
                <w:sz w:val="18"/>
                <w:szCs w:val="18"/>
              </w:rPr>
            </w:pPr>
            <w:r>
              <w:rPr>
                <w:rFonts w:hint="eastAsia" w:ascii="宋体" w:hAnsi="宋体"/>
                <w:b w:val="0"/>
                <w:bCs w:val="0"/>
                <w:sz w:val="18"/>
                <w:szCs w:val="18"/>
              </w:rPr>
              <w:t>5</w:t>
            </w:r>
          </w:p>
        </w:tc>
        <w:tc>
          <w:tcPr>
            <w:tcW w:w="1351" w:type="dxa"/>
            <w:tcBorders>
              <w:top w:val="nil"/>
              <w:left w:val="nil"/>
              <w:bottom w:val="single" w:color="auto" w:sz="4" w:space="0"/>
              <w:right w:val="single" w:color="auto" w:sz="4" w:space="0"/>
            </w:tcBorders>
            <w:vAlign w:val="center"/>
          </w:tcPr>
          <w:p w14:paraId="0BF8BD21">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运维监控</w:t>
            </w:r>
          </w:p>
          <w:p w14:paraId="50B11353">
            <w:pPr>
              <w:jc w:val="center"/>
              <w:rPr>
                <w:rFonts w:hint="eastAsia" w:ascii="宋体" w:hAnsi="宋体"/>
                <w:b w:val="0"/>
                <w:bCs w:val="0"/>
                <w:sz w:val="18"/>
                <w:szCs w:val="18"/>
              </w:rPr>
            </w:pPr>
            <w:r>
              <w:rPr>
                <w:rFonts w:hint="eastAsia" w:ascii="宋体" w:hAnsi="宋体" w:cs="宋体"/>
                <w:b w:val="0"/>
                <w:bCs w:val="0"/>
                <w:color w:val="000000"/>
                <w:kern w:val="0"/>
                <w:sz w:val="18"/>
                <w:szCs w:val="18"/>
              </w:rPr>
              <w:t>平台</w:t>
            </w:r>
          </w:p>
        </w:tc>
        <w:tc>
          <w:tcPr>
            <w:tcW w:w="1641" w:type="dxa"/>
            <w:tcBorders>
              <w:top w:val="nil"/>
              <w:left w:val="nil"/>
              <w:bottom w:val="single" w:color="auto" w:sz="4" w:space="0"/>
              <w:right w:val="single" w:color="auto" w:sz="4" w:space="0"/>
            </w:tcBorders>
            <w:vAlign w:val="center"/>
          </w:tcPr>
          <w:p w14:paraId="343F2FF2">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新开普一校通平台V1.0</w:t>
            </w:r>
          </w:p>
        </w:tc>
        <w:tc>
          <w:tcPr>
            <w:tcW w:w="1470" w:type="dxa"/>
            <w:tcBorders>
              <w:top w:val="nil"/>
              <w:left w:val="nil"/>
              <w:bottom w:val="single" w:color="auto" w:sz="4" w:space="0"/>
              <w:right w:val="single" w:color="auto" w:sz="4" w:space="0"/>
            </w:tcBorders>
            <w:vAlign w:val="center"/>
          </w:tcPr>
          <w:p w14:paraId="771F13C1">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7E45BFD5">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54DD3DCC">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469898D8">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672C7939">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03368FC">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748" w:type="dxa"/>
            <w:tcBorders>
              <w:top w:val="single" w:color="auto" w:sz="4" w:space="0"/>
              <w:left w:val="single" w:color="auto" w:sz="4" w:space="0"/>
              <w:bottom w:val="single" w:color="auto" w:sz="4" w:space="0"/>
              <w:right w:val="single" w:color="auto" w:sz="4" w:space="0"/>
            </w:tcBorders>
            <w:vAlign w:val="center"/>
          </w:tcPr>
          <w:p w14:paraId="3F4F46E4">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5F5F6D45">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6AEFE51A">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4345EB72">
            <w:pPr>
              <w:jc w:val="center"/>
              <w:rPr>
                <w:rFonts w:hint="eastAsia" w:ascii="宋体" w:hAnsi="宋体"/>
                <w:b w:val="0"/>
                <w:bCs w:val="0"/>
                <w:sz w:val="18"/>
                <w:szCs w:val="18"/>
              </w:rPr>
            </w:pPr>
            <w:r>
              <w:rPr>
                <w:rFonts w:hint="eastAsia" w:ascii="宋体" w:hAnsi="宋体"/>
                <w:b w:val="0"/>
                <w:bCs w:val="0"/>
                <w:sz w:val="18"/>
                <w:szCs w:val="18"/>
              </w:rPr>
              <w:t>合同签订后</w:t>
            </w:r>
          </w:p>
          <w:p w14:paraId="10350C03">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5E1A826A">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3A0A069B">
            <w:pPr>
              <w:jc w:val="center"/>
              <w:rPr>
                <w:rFonts w:hint="eastAsia" w:ascii="宋体" w:hAnsi="宋体"/>
                <w:b w:val="0"/>
                <w:bCs w:val="0"/>
                <w:sz w:val="18"/>
                <w:szCs w:val="18"/>
              </w:rPr>
            </w:pPr>
          </w:p>
        </w:tc>
      </w:tr>
      <w:tr w14:paraId="1FF4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459D7007">
            <w:pPr>
              <w:spacing w:line="440" w:lineRule="exact"/>
              <w:jc w:val="center"/>
              <w:rPr>
                <w:rFonts w:hint="eastAsia" w:ascii="宋体" w:hAnsi="宋体"/>
                <w:b w:val="0"/>
                <w:bCs w:val="0"/>
                <w:sz w:val="18"/>
                <w:szCs w:val="18"/>
              </w:rPr>
            </w:pPr>
            <w:r>
              <w:rPr>
                <w:rFonts w:hint="eastAsia" w:ascii="宋体" w:hAnsi="宋体"/>
                <w:b w:val="0"/>
                <w:bCs w:val="0"/>
                <w:sz w:val="18"/>
                <w:szCs w:val="18"/>
              </w:rPr>
              <w:t>6</w:t>
            </w:r>
          </w:p>
        </w:tc>
        <w:tc>
          <w:tcPr>
            <w:tcW w:w="1351" w:type="dxa"/>
            <w:tcBorders>
              <w:top w:val="nil"/>
              <w:left w:val="nil"/>
              <w:bottom w:val="single" w:color="auto" w:sz="4" w:space="0"/>
              <w:right w:val="single" w:color="auto" w:sz="4" w:space="0"/>
            </w:tcBorders>
            <w:vAlign w:val="center"/>
          </w:tcPr>
          <w:p w14:paraId="08875B52">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密钥管理</w:t>
            </w:r>
          </w:p>
          <w:p w14:paraId="43DF8F57">
            <w:pPr>
              <w:jc w:val="center"/>
              <w:rPr>
                <w:rFonts w:hint="eastAsia" w:ascii="宋体" w:hAnsi="宋体"/>
                <w:b w:val="0"/>
                <w:bCs w:val="0"/>
                <w:sz w:val="18"/>
                <w:szCs w:val="18"/>
              </w:rPr>
            </w:pPr>
            <w:r>
              <w:rPr>
                <w:rFonts w:hint="eastAsia" w:ascii="宋体" w:hAnsi="宋体" w:cs="宋体"/>
                <w:b w:val="0"/>
                <w:bCs w:val="0"/>
                <w:color w:val="000000"/>
                <w:kern w:val="0"/>
                <w:sz w:val="18"/>
                <w:szCs w:val="18"/>
              </w:rPr>
              <w:t>系统</w:t>
            </w:r>
          </w:p>
        </w:tc>
        <w:tc>
          <w:tcPr>
            <w:tcW w:w="1641" w:type="dxa"/>
            <w:tcBorders>
              <w:top w:val="nil"/>
              <w:left w:val="nil"/>
              <w:bottom w:val="single" w:color="auto" w:sz="4" w:space="0"/>
              <w:right w:val="single" w:color="auto" w:sz="4" w:space="0"/>
            </w:tcBorders>
            <w:vAlign w:val="center"/>
          </w:tcPr>
          <w:p w14:paraId="728ACB6D">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新开普智能卡密钥管理系统V1.0</w:t>
            </w:r>
          </w:p>
        </w:tc>
        <w:tc>
          <w:tcPr>
            <w:tcW w:w="1470" w:type="dxa"/>
            <w:tcBorders>
              <w:top w:val="nil"/>
              <w:left w:val="nil"/>
              <w:bottom w:val="single" w:color="auto" w:sz="4" w:space="0"/>
              <w:right w:val="single" w:color="auto" w:sz="4" w:space="0"/>
            </w:tcBorders>
            <w:vAlign w:val="center"/>
          </w:tcPr>
          <w:p w14:paraId="51AB1819">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2BC84888">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3D934DE4">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571FFE6A">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01701981">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448F1A0B">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748" w:type="dxa"/>
            <w:tcBorders>
              <w:top w:val="single" w:color="auto" w:sz="4" w:space="0"/>
              <w:left w:val="single" w:color="auto" w:sz="4" w:space="0"/>
              <w:bottom w:val="single" w:color="auto" w:sz="4" w:space="0"/>
              <w:right w:val="single" w:color="auto" w:sz="4" w:space="0"/>
            </w:tcBorders>
            <w:vAlign w:val="center"/>
          </w:tcPr>
          <w:p w14:paraId="40E6E9F8">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75AAA974">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2F33C998">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6C566409">
            <w:pPr>
              <w:jc w:val="center"/>
              <w:rPr>
                <w:rFonts w:hint="eastAsia" w:ascii="宋体" w:hAnsi="宋体"/>
                <w:b w:val="0"/>
                <w:bCs w:val="0"/>
                <w:sz w:val="18"/>
                <w:szCs w:val="18"/>
              </w:rPr>
            </w:pPr>
            <w:r>
              <w:rPr>
                <w:rFonts w:hint="eastAsia" w:ascii="宋体" w:hAnsi="宋体"/>
                <w:b w:val="0"/>
                <w:bCs w:val="0"/>
                <w:sz w:val="18"/>
                <w:szCs w:val="18"/>
              </w:rPr>
              <w:t>合同签订后</w:t>
            </w:r>
          </w:p>
          <w:p w14:paraId="70C988D5">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7E93518E">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74ACB04A">
            <w:pPr>
              <w:jc w:val="center"/>
              <w:rPr>
                <w:rFonts w:hint="eastAsia" w:ascii="宋体" w:hAnsi="宋体"/>
                <w:b w:val="0"/>
                <w:bCs w:val="0"/>
                <w:sz w:val="18"/>
                <w:szCs w:val="18"/>
              </w:rPr>
            </w:pPr>
          </w:p>
        </w:tc>
      </w:tr>
      <w:tr w14:paraId="23D7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6F1FAFFB">
            <w:pPr>
              <w:spacing w:line="440" w:lineRule="exact"/>
              <w:jc w:val="center"/>
              <w:rPr>
                <w:rFonts w:hint="eastAsia" w:ascii="宋体" w:hAnsi="宋体"/>
                <w:b w:val="0"/>
                <w:bCs w:val="0"/>
                <w:sz w:val="18"/>
                <w:szCs w:val="18"/>
              </w:rPr>
            </w:pPr>
            <w:r>
              <w:rPr>
                <w:rFonts w:hint="eastAsia" w:ascii="宋体" w:hAnsi="宋体"/>
                <w:b w:val="0"/>
                <w:bCs w:val="0"/>
                <w:sz w:val="18"/>
                <w:szCs w:val="18"/>
              </w:rPr>
              <w:t>7</w:t>
            </w:r>
          </w:p>
        </w:tc>
        <w:tc>
          <w:tcPr>
            <w:tcW w:w="1351" w:type="dxa"/>
            <w:tcBorders>
              <w:top w:val="nil"/>
              <w:left w:val="nil"/>
              <w:bottom w:val="single" w:color="auto" w:sz="4" w:space="0"/>
              <w:right w:val="single" w:color="auto" w:sz="4" w:space="0"/>
            </w:tcBorders>
            <w:vAlign w:val="center"/>
          </w:tcPr>
          <w:p w14:paraId="1BFBBEC4">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人脸认证</w:t>
            </w:r>
          </w:p>
          <w:p w14:paraId="2DAF1124">
            <w:pPr>
              <w:jc w:val="center"/>
              <w:rPr>
                <w:rFonts w:hint="eastAsia" w:ascii="宋体" w:hAnsi="宋体"/>
                <w:b w:val="0"/>
                <w:bCs w:val="0"/>
                <w:sz w:val="18"/>
                <w:szCs w:val="18"/>
              </w:rPr>
            </w:pPr>
            <w:r>
              <w:rPr>
                <w:rFonts w:hint="eastAsia" w:ascii="宋体" w:hAnsi="宋体" w:cs="宋体"/>
                <w:b w:val="0"/>
                <w:bCs w:val="0"/>
                <w:color w:val="000000"/>
                <w:kern w:val="0"/>
                <w:sz w:val="18"/>
                <w:szCs w:val="18"/>
              </w:rPr>
              <w:t>服务平台</w:t>
            </w:r>
          </w:p>
        </w:tc>
        <w:tc>
          <w:tcPr>
            <w:tcW w:w="1641" w:type="dxa"/>
            <w:tcBorders>
              <w:top w:val="nil"/>
              <w:left w:val="nil"/>
              <w:bottom w:val="single" w:color="auto" w:sz="4" w:space="0"/>
              <w:right w:val="single" w:color="auto" w:sz="4" w:space="0"/>
            </w:tcBorders>
            <w:vAlign w:val="center"/>
          </w:tcPr>
          <w:p w14:paraId="30316DB7">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新开普人脸认证服务平台V1.0</w:t>
            </w:r>
          </w:p>
        </w:tc>
        <w:tc>
          <w:tcPr>
            <w:tcW w:w="1470" w:type="dxa"/>
            <w:tcBorders>
              <w:top w:val="nil"/>
              <w:left w:val="nil"/>
              <w:bottom w:val="single" w:color="auto" w:sz="4" w:space="0"/>
              <w:right w:val="single" w:color="auto" w:sz="4" w:space="0"/>
            </w:tcBorders>
            <w:vAlign w:val="center"/>
          </w:tcPr>
          <w:p w14:paraId="734AE4F0">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1B3DB4C4">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294C7422">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75100747">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02F42136">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6AAAD62D">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748" w:type="dxa"/>
            <w:tcBorders>
              <w:top w:val="single" w:color="auto" w:sz="4" w:space="0"/>
              <w:left w:val="single" w:color="auto" w:sz="4" w:space="0"/>
              <w:bottom w:val="single" w:color="auto" w:sz="4" w:space="0"/>
              <w:right w:val="single" w:color="auto" w:sz="4" w:space="0"/>
            </w:tcBorders>
            <w:vAlign w:val="center"/>
          </w:tcPr>
          <w:p w14:paraId="36E77A15">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69433A2A">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31B427C">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7E466851">
            <w:pPr>
              <w:jc w:val="center"/>
              <w:rPr>
                <w:rFonts w:hint="eastAsia" w:ascii="宋体" w:hAnsi="宋体"/>
                <w:b w:val="0"/>
                <w:bCs w:val="0"/>
                <w:sz w:val="18"/>
                <w:szCs w:val="18"/>
              </w:rPr>
            </w:pPr>
            <w:r>
              <w:rPr>
                <w:rFonts w:hint="eastAsia" w:ascii="宋体" w:hAnsi="宋体"/>
                <w:b w:val="0"/>
                <w:bCs w:val="0"/>
                <w:sz w:val="18"/>
                <w:szCs w:val="18"/>
              </w:rPr>
              <w:t>合同签订后</w:t>
            </w:r>
          </w:p>
          <w:p w14:paraId="57D27818">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405623E2">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43AB75E9">
            <w:pPr>
              <w:jc w:val="center"/>
              <w:rPr>
                <w:rFonts w:hint="eastAsia" w:ascii="宋体" w:hAnsi="宋体"/>
                <w:b w:val="0"/>
                <w:bCs w:val="0"/>
                <w:sz w:val="18"/>
                <w:szCs w:val="18"/>
              </w:rPr>
            </w:pPr>
          </w:p>
        </w:tc>
      </w:tr>
      <w:tr w14:paraId="4A25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12BA0CEE">
            <w:pPr>
              <w:spacing w:line="440" w:lineRule="exact"/>
              <w:jc w:val="center"/>
              <w:rPr>
                <w:rFonts w:hint="eastAsia" w:ascii="宋体" w:hAnsi="宋体"/>
                <w:b w:val="0"/>
                <w:bCs w:val="0"/>
                <w:sz w:val="18"/>
                <w:szCs w:val="18"/>
              </w:rPr>
            </w:pPr>
            <w:r>
              <w:rPr>
                <w:rFonts w:hint="eastAsia" w:ascii="宋体" w:hAnsi="宋体"/>
                <w:b w:val="0"/>
                <w:bCs w:val="0"/>
                <w:sz w:val="18"/>
                <w:szCs w:val="18"/>
              </w:rPr>
              <w:t>8</w:t>
            </w:r>
          </w:p>
        </w:tc>
        <w:tc>
          <w:tcPr>
            <w:tcW w:w="1351" w:type="dxa"/>
            <w:tcBorders>
              <w:top w:val="nil"/>
              <w:left w:val="nil"/>
              <w:bottom w:val="single" w:color="auto" w:sz="4" w:space="0"/>
              <w:right w:val="single" w:color="auto" w:sz="4" w:space="0"/>
            </w:tcBorders>
            <w:vAlign w:val="center"/>
          </w:tcPr>
          <w:p w14:paraId="068ED12B">
            <w:pPr>
              <w:jc w:val="center"/>
              <w:rPr>
                <w:rFonts w:hint="eastAsia" w:ascii="宋体" w:hAnsi="宋体"/>
                <w:b w:val="0"/>
                <w:bCs w:val="0"/>
                <w:sz w:val="18"/>
                <w:szCs w:val="18"/>
              </w:rPr>
            </w:pPr>
            <w:r>
              <w:rPr>
                <w:rFonts w:hint="eastAsia" w:ascii="宋体" w:hAnsi="宋体" w:cs="宋体"/>
                <w:b w:val="0"/>
                <w:bCs w:val="0"/>
                <w:color w:val="000000"/>
                <w:kern w:val="0"/>
                <w:sz w:val="18"/>
                <w:szCs w:val="18"/>
              </w:rPr>
              <w:t>物联网平台</w:t>
            </w:r>
          </w:p>
        </w:tc>
        <w:tc>
          <w:tcPr>
            <w:tcW w:w="1641" w:type="dxa"/>
            <w:tcBorders>
              <w:top w:val="nil"/>
              <w:left w:val="nil"/>
              <w:bottom w:val="single" w:color="auto" w:sz="4" w:space="0"/>
              <w:right w:val="single" w:color="auto" w:sz="4" w:space="0"/>
            </w:tcBorders>
            <w:vAlign w:val="center"/>
          </w:tcPr>
          <w:p w14:paraId="2FFB15C5">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新开普物联网平台V1.0</w:t>
            </w:r>
          </w:p>
        </w:tc>
        <w:tc>
          <w:tcPr>
            <w:tcW w:w="1470" w:type="dxa"/>
            <w:tcBorders>
              <w:top w:val="nil"/>
              <w:left w:val="nil"/>
              <w:bottom w:val="single" w:color="auto" w:sz="4" w:space="0"/>
              <w:right w:val="single" w:color="auto" w:sz="4" w:space="0"/>
            </w:tcBorders>
            <w:vAlign w:val="center"/>
          </w:tcPr>
          <w:p w14:paraId="4E7EF46B">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77737C24">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246E7807">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3CFF5D44">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2BA9C070">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14813</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2A484E26">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14813</w:t>
            </w:r>
          </w:p>
        </w:tc>
        <w:tc>
          <w:tcPr>
            <w:tcW w:w="748" w:type="dxa"/>
            <w:tcBorders>
              <w:top w:val="single" w:color="auto" w:sz="4" w:space="0"/>
              <w:left w:val="single" w:color="auto" w:sz="4" w:space="0"/>
              <w:bottom w:val="single" w:color="auto" w:sz="4" w:space="0"/>
              <w:right w:val="single" w:color="auto" w:sz="4" w:space="0"/>
            </w:tcBorders>
            <w:vAlign w:val="center"/>
          </w:tcPr>
          <w:p w14:paraId="32EAC9E4">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7450119B">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3EC06916">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2B888A75">
            <w:pPr>
              <w:jc w:val="center"/>
              <w:rPr>
                <w:rFonts w:hint="eastAsia" w:ascii="宋体" w:hAnsi="宋体"/>
                <w:b w:val="0"/>
                <w:bCs w:val="0"/>
                <w:sz w:val="18"/>
                <w:szCs w:val="18"/>
              </w:rPr>
            </w:pPr>
            <w:r>
              <w:rPr>
                <w:rFonts w:hint="eastAsia" w:ascii="宋体" w:hAnsi="宋体"/>
                <w:b w:val="0"/>
                <w:bCs w:val="0"/>
                <w:sz w:val="18"/>
                <w:szCs w:val="18"/>
              </w:rPr>
              <w:t>合同签订后</w:t>
            </w:r>
          </w:p>
          <w:p w14:paraId="768C3B8B">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7CD5396E">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1B092D92">
            <w:pPr>
              <w:jc w:val="center"/>
              <w:rPr>
                <w:rFonts w:hint="eastAsia" w:ascii="宋体" w:hAnsi="宋体"/>
                <w:b w:val="0"/>
                <w:bCs w:val="0"/>
                <w:sz w:val="18"/>
                <w:szCs w:val="18"/>
              </w:rPr>
            </w:pPr>
          </w:p>
        </w:tc>
      </w:tr>
      <w:tr w14:paraId="3421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2C7D2DF9">
            <w:pPr>
              <w:spacing w:line="440" w:lineRule="exact"/>
              <w:jc w:val="center"/>
              <w:rPr>
                <w:rFonts w:hint="eastAsia" w:ascii="宋体" w:hAnsi="宋体"/>
                <w:b w:val="0"/>
                <w:bCs w:val="0"/>
                <w:sz w:val="18"/>
                <w:szCs w:val="18"/>
              </w:rPr>
            </w:pPr>
            <w:r>
              <w:rPr>
                <w:rFonts w:hint="eastAsia" w:ascii="宋体" w:hAnsi="宋体"/>
                <w:b w:val="0"/>
                <w:bCs w:val="0"/>
                <w:sz w:val="18"/>
                <w:szCs w:val="18"/>
              </w:rPr>
              <w:t>9</w:t>
            </w:r>
          </w:p>
        </w:tc>
        <w:tc>
          <w:tcPr>
            <w:tcW w:w="1351" w:type="dxa"/>
            <w:tcBorders>
              <w:top w:val="nil"/>
              <w:left w:val="nil"/>
              <w:bottom w:val="single" w:color="auto" w:sz="4" w:space="0"/>
              <w:right w:val="single" w:color="auto" w:sz="4" w:space="0"/>
            </w:tcBorders>
            <w:vAlign w:val="center"/>
          </w:tcPr>
          <w:p w14:paraId="636EB625">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终端权鉴</w:t>
            </w:r>
          </w:p>
          <w:p w14:paraId="59596194">
            <w:pPr>
              <w:jc w:val="center"/>
              <w:rPr>
                <w:rFonts w:hint="eastAsia" w:ascii="宋体" w:hAnsi="宋体"/>
                <w:b w:val="0"/>
                <w:bCs w:val="0"/>
                <w:sz w:val="18"/>
                <w:szCs w:val="18"/>
              </w:rPr>
            </w:pPr>
            <w:r>
              <w:rPr>
                <w:rFonts w:hint="eastAsia" w:ascii="宋体" w:hAnsi="宋体" w:cs="宋体"/>
                <w:b w:val="0"/>
                <w:bCs w:val="0"/>
                <w:color w:val="000000"/>
                <w:kern w:val="0"/>
                <w:sz w:val="18"/>
                <w:szCs w:val="18"/>
              </w:rPr>
              <w:t>平台</w:t>
            </w:r>
          </w:p>
        </w:tc>
        <w:tc>
          <w:tcPr>
            <w:tcW w:w="1641" w:type="dxa"/>
            <w:tcBorders>
              <w:top w:val="nil"/>
              <w:left w:val="nil"/>
              <w:bottom w:val="single" w:color="auto" w:sz="4" w:space="0"/>
              <w:right w:val="single" w:color="auto" w:sz="4" w:space="0"/>
            </w:tcBorders>
            <w:vAlign w:val="center"/>
          </w:tcPr>
          <w:p w14:paraId="5501467A">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新开普智能出入管控系统V1.0</w:t>
            </w:r>
          </w:p>
        </w:tc>
        <w:tc>
          <w:tcPr>
            <w:tcW w:w="1470" w:type="dxa"/>
            <w:tcBorders>
              <w:top w:val="nil"/>
              <w:left w:val="nil"/>
              <w:bottom w:val="single" w:color="auto" w:sz="4" w:space="0"/>
              <w:right w:val="single" w:color="auto" w:sz="4" w:space="0"/>
            </w:tcBorders>
            <w:vAlign w:val="center"/>
          </w:tcPr>
          <w:p w14:paraId="2CF99CC0">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7EFF30D6">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1F017FB3">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178CB68B">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0C43B509">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9875</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1C84D923">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9875</w:t>
            </w:r>
          </w:p>
        </w:tc>
        <w:tc>
          <w:tcPr>
            <w:tcW w:w="748" w:type="dxa"/>
            <w:tcBorders>
              <w:top w:val="single" w:color="auto" w:sz="4" w:space="0"/>
              <w:left w:val="single" w:color="auto" w:sz="4" w:space="0"/>
              <w:bottom w:val="single" w:color="auto" w:sz="4" w:space="0"/>
              <w:right w:val="single" w:color="auto" w:sz="4" w:space="0"/>
            </w:tcBorders>
            <w:vAlign w:val="center"/>
          </w:tcPr>
          <w:p w14:paraId="2F8AD667">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7C4FFA37">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233F1727">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277E7941">
            <w:pPr>
              <w:jc w:val="center"/>
              <w:rPr>
                <w:rFonts w:hint="eastAsia" w:ascii="宋体" w:hAnsi="宋体"/>
                <w:b w:val="0"/>
                <w:bCs w:val="0"/>
                <w:sz w:val="18"/>
                <w:szCs w:val="18"/>
              </w:rPr>
            </w:pPr>
            <w:r>
              <w:rPr>
                <w:rFonts w:hint="eastAsia" w:ascii="宋体" w:hAnsi="宋体"/>
                <w:b w:val="0"/>
                <w:bCs w:val="0"/>
                <w:sz w:val="18"/>
                <w:szCs w:val="18"/>
              </w:rPr>
              <w:t>合同签订后</w:t>
            </w:r>
          </w:p>
          <w:p w14:paraId="466800B8">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1EF06C9C">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08836761">
            <w:pPr>
              <w:jc w:val="center"/>
              <w:rPr>
                <w:rFonts w:hint="eastAsia" w:ascii="宋体" w:hAnsi="宋体"/>
                <w:b w:val="0"/>
                <w:bCs w:val="0"/>
                <w:sz w:val="18"/>
                <w:szCs w:val="18"/>
              </w:rPr>
            </w:pPr>
          </w:p>
        </w:tc>
      </w:tr>
      <w:tr w14:paraId="27B8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4E5CEEA1">
            <w:pPr>
              <w:spacing w:line="440" w:lineRule="exact"/>
              <w:jc w:val="center"/>
              <w:rPr>
                <w:rFonts w:hint="eastAsia" w:ascii="宋体" w:hAnsi="宋体"/>
                <w:b w:val="0"/>
                <w:bCs w:val="0"/>
                <w:sz w:val="18"/>
                <w:szCs w:val="18"/>
              </w:rPr>
            </w:pPr>
            <w:r>
              <w:rPr>
                <w:rFonts w:hint="eastAsia" w:ascii="宋体" w:hAnsi="宋体"/>
                <w:b w:val="0"/>
                <w:bCs w:val="0"/>
                <w:sz w:val="18"/>
                <w:szCs w:val="18"/>
              </w:rPr>
              <w:t>10</w:t>
            </w:r>
          </w:p>
        </w:tc>
        <w:tc>
          <w:tcPr>
            <w:tcW w:w="1351" w:type="dxa"/>
            <w:tcBorders>
              <w:top w:val="nil"/>
              <w:left w:val="nil"/>
              <w:bottom w:val="single" w:color="auto" w:sz="4" w:space="0"/>
              <w:right w:val="single" w:color="auto" w:sz="4" w:space="0"/>
            </w:tcBorders>
            <w:vAlign w:val="center"/>
          </w:tcPr>
          <w:p w14:paraId="2950ADB2">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综合消费</w:t>
            </w:r>
          </w:p>
          <w:p w14:paraId="5E3B7AD1">
            <w:pPr>
              <w:jc w:val="center"/>
              <w:rPr>
                <w:rFonts w:hint="eastAsia" w:ascii="宋体" w:hAnsi="宋体"/>
                <w:b w:val="0"/>
                <w:bCs w:val="0"/>
                <w:sz w:val="18"/>
                <w:szCs w:val="18"/>
              </w:rPr>
            </w:pPr>
            <w:r>
              <w:rPr>
                <w:rFonts w:hint="eastAsia" w:ascii="宋体" w:hAnsi="宋体" w:cs="宋体"/>
                <w:b w:val="0"/>
                <w:bCs w:val="0"/>
                <w:color w:val="000000"/>
                <w:kern w:val="0"/>
                <w:sz w:val="18"/>
                <w:szCs w:val="18"/>
              </w:rPr>
              <w:t>系统</w:t>
            </w:r>
          </w:p>
        </w:tc>
        <w:tc>
          <w:tcPr>
            <w:tcW w:w="1641" w:type="dxa"/>
            <w:tcBorders>
              <w:top w:val="nil"/>
              <w:left w:val="nil"/>
              <w:bottom w:val="single" w:color="auto" w:sz="4" w:space="0"/>
              <w:right w:val="single" w:color="auto" w:sz="4" w:space="0"/>
            </w:tcBorders>
            <w:vAlign w:val="center"/>
          </w:tcPr>
          <w:p w14:paraId="2AE38615">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新开普一校通平台V1.0</w:t>
            </w:r>
          </w:p>
        </w:tc>
        <w:tc>
          <w:tcPr>
            <w:tcW w:w="1470" w:type="dxa"/>
            <w:tcBorders>
              <w:top w:val="nil"/>
              <w:left w:val="nil"/>
              <w:bottom w:val="single" w:color="auto" w:sz="4" w:space="0"/>
              <w:right w:val="single" w:color="auto" w:sz="4" w:space="0"/>
            </w:tcBorders>
            <w:vAlign w:val="center"/>
          </w:tcPr>
          <w:p w14:paraId="759BAB84">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700FE9A0">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2D8296F0">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05E539C0">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5E535F1">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9875</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05534B6D">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9875</w:t>
            </w:r>
          </w:p>
        </w:tc>
        <w:tc>
          <w:tcPr>
            <w:tcW w:w="748" w:type="dxa"/>
            <w:tcBorders>
              <w:top w:val="single" w:color="auto" w:sz="4" w:space="0"/>
              <w:left w:val="single" w:color="auto" w:sz="4" w:space="0"/>
              <w:bottom w:val="single" w:color="auto" w:sz="4" w:space="0"/>
              <w:right w:val="single" w:color="auto" w:sz="4" w:space="0"/>
            </w:tcBorders>
            <w:vAlign w:val="center"/>
          </w:tcPr>
          <w:p w14:paraId="67814526">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6546B79E">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64FF090E">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663172C7">
            <w:pPr>
              <w:jc w:val="center"/>
              <w:rPr>
                <w:rFonts w:hint="eastAsia" w:ascii="宋体" w:hAnsi="宋体"/>
                <w:b w:val="0"/>
                <w:bCs w:val="0"/>
                <w:sz w:val="18"/>
                <w:szCs w:val="18"/>
              </w:rPr>
            </w:pPr>
            <w:r>
              <w:rPr>
                <w:rFonts w:hint="eastAsia" w:ascii="宋体" w:hAnsi="宋体"/>
                <w:b w:val="0"/>
                <w:bCs w:val="0"/>
                <w:sz w:val="18"/>
                <w:szCs w:val="18"/>
              </w:rPr>
              <w:t>合同签订后</w:t>
            </w:r>
          </w:p>
          <w:p w14:paraId="270B4411">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763EFBD1">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694F713E">
            <w:pPr>
              <w:jc w:val="center"/>
              <w:rPr>
                <w:rFonts w:hint="eastAsia" w:ascii="宋体" w:hAnsi="宋体"/>
                <w:b w:val="0"/>
                <w:bCs w:val="0"/>
                <w:sz w:val="18"/>
                <w:szCs w:val="18"/>
              </w:rPr>
            </w:pPr>
          </w:p>
        </w:tc>
      </w:tr>
      <w:tr w14:paraId="6BF1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61E87BD5">
            <w:pPr>
              <w:spacing w:line="440" w:lineRule="exact"/>
              <w:jc w:val="center"/>
              <w:rPr>
                <w:rFonts w:hint="eastAsia" w:ascii="宋体" w:hAnsi="宋体"/>
                <w:b w:val="0"/>
                <w:bCs w:val="0"/>
                <w:sz w:val="18"/>
                <w:szCs w:val="18"/>
              </w:rPr>
            </w:pPr>
            <w:r>
              <w:rPr>
                <w:rFonts w:hint="eastAsia" w:ascii="宋体" w:hAnsi="宋体"/>
                <w:b w:val="0"/>
                <w:bCs w:val="0"/>
                <w:sz w:val="18"/>
                <w:szCs w:val="18"/>
              </w:rPr>
              <w:t>11</w:t>
            </w:r>
          </w:p>
        </w:tc>
        <w:tc>
          <w:tcPr>
            <w:tcW w:w="1351" w:type="dxa"/>
            <w:tcBorders>
              <w:top w:val="nil"/>
              <w:left w:val="nil"/>
              <w:bottom w:val="single" w:color="auto" w:sz="4" w:space="0"/>
              <w:right w:val="single" w:color="auto" w:sz="4" w:space="0"/>
            </w:tcBorders>
            <w:vAlign w:val="center"/>
          </w:tcPr>
          <w:p w14:paraId="2EE38826">
            <w:pPr>
              <w:jc w:val="center"/>
              <w:rPr>
                <w:rFonts w:hint="eastAsia" w:ascii="宋体" w:hAnsi="宋体"/>
                <w:b w:val="0"/>
                <w:bCs w:val="0"/>
                <w:sz w:val="18"/>
                <w:szCs w:val="18"/>
              </w:rPr>
            </w:pPr>
            <w:r>
              <w:rPr>
                <w:rFonts w:hint="eastAsia" w:ascii="宋体" w:hAnsi="宋体" w:cs="宋体"/>
                <w:b w:val="0"/>
                <w:bCs w:val="0"/>
                <w:color w:val="000000"/>
                <w:kern w:val="0"/>
                <w:sz w:val="18"/>
                <w:szCs w:val="18"/>
              </w:rPr>
              <w:t>电子券</w:t>
            </w:r>
          </w:p>
        </w:tc>
        <w:tc>
          <w:tcPr>
            <w:tcW w:w="1641" w:type="dxa"/>
            <w:tcBorders>
              <w:top w:val="nil"/>
              <w:left w:val="nil"/>
              <w:bottom w:val="single" w:color="auto" w:sz="4" w:space="0"/>
              <w:right w:val="single" w:color="auto" w:sz="4" w:space="0"/>
            </w:tcBorders>
            <w:vAlign w:val="center"/>
          </w:tcPr>
          <w:p w14:paraId="69EAF79D">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新开普电子券管理平台V1.0</w:t>
            </w:r>
          </w:p>
        </w:tc>
        <w:tc>
          <w:tcPr>
            <w:tcW w:w="1470" w:type="dxa"/>
            <w:tcBorders>
              <w:top w:val="nil"/>
              <w:left w:val="nil"/>
              <w:bottom w:val="single" w:color="auto" w:sz="4" w:space="0"/>
              <w:right w:val="single" w:color="auto" w:sz="4" w:space="0"/>
            </w:tcBorders>
            <w:vAlign w:val="center"/>
          </w:tcPr>
          <w:p w14:paraId="762A2BC2">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4ADD96A1">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31E880B8">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3F9EF1B4">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FAB5E95">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78999</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7C584BF2">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78999</w:t>
            </w:r>
          </w:p>
        </w:tc>
        <w:tc>
          <w:tcPr>
            <w:tcW w:w="748" w:type="dxa"/>
            <w:tcBorders>
              <w:top w:val="single" w:color="auto" w:sz="4" w:space="0"/>
              <w:left w:val="single" w:color="auto" w:sz="4" w:space="0"/>
              <w:bottom w:val="single" w:color="auto" w:sz="4" w:space="0"/>
              <w:right w:val="single" w:color="auto" w:sz="4" w:space="0"/>
            </w:tcBorders>
            <w:vAlign w:val="center"/>
          </w:tcPr>
          <w:p w14:paraId="6266909A">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13C6505F">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3A05F99F">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760B8D66">
            <w:pPr>
              <w:jc w:val="center"/>
              <w:rPr>
                <w:rFonts w:hint="eastAsia" w:ascii="宋体" w:hAnsi="宋体"/>
                <w:b w:val="0"/>
                <w:bCs w:val="0"/>
                <w:sz w:val="18"/>
                <w:szCs w:val="18"/>
              </w:rPr>
            </w:pPr>
            <w:r>
              <w:rPr>
                <w:rFonts w:hint="eastAsia" w:ascii="宋体" w:hAnsi="宋体"/>
                <w:b w:val="0"/>
                <w:bCs w:val="0"/>
                <w:sz w:val="18"/>
                <w:szCs w:val="18"/>
              </w:rPr>
              <w:t>合同签订后</w:t>
            </w:r>
          </w:p>
          <w:p w14:paraId="12460994">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23EA2AD0">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6979424E">
            <w:pPr>
              <w:jc w:val="center"/>
              <w:rPr>
                <w:rFonts w:hint="eastAsia" w:ascii="宋体" w:hAnsi="宋体"/>
                <w:b w:val="0"/>
                <w:bCs w:val="0"/>
                <w:sz w:val="18"/>
                <w:szCs w:val="18"/>
              </w:rPr>
            </w:pPr>
          </w:p>
        </w:tc>
      </w:tr>
      <w:tr w14:paraId="401E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2DE9872E">
            <w:pPr>
              <w:spacing w:line="440" w:lineRule="exact"/>
              <w:jc w:val="center"/>
              <w:rPr>
                <w:rFonts w:hint="eastAsia" w:ascii="宋体" w:hAnsi="宋体"/>
                <w:b w:val="0"/>
                <w:bCs w:val="0"/>
                <w:sz w:val="18"/>
                <w:szCs w:val="18"/>
              </w:rPr>
            </w:pPr>
            <w:r>
              <w:rPr>
                <w:rFonts w:hint="eastAsia" w:ascii="宋体" w:hAnsi="宋体"/>
                <w:b w:val="0"/>
                <w:bCs w:val="0"/>
                <w:sz w:val="18"/>
                <w:szCs w:val="18"/>
              </w:rPr>
              <w:t>12</w:t>
            </w:r>
          </w:p>
        </w:tc>
        <w:tc>
          <w:tcPr>
            <w:tcW w:w="1351" w:type="dxa"/>
            <w:tcBorders>
              <w:top w:val="nil"/>
              <w:left w:val="nil"/>
              <w:bottom w:val="single" w:color="auto" w:sz="4" w:space="0"/>
              <w:right w:val="single" w:color="auto" w:sz="4" w:space="0"/>
            </w:tcBorders>
            <w:vAlign w:val="center"/>
          </w:tcPr>
          <w:p w14:paraId="72F3CAE5">
            <w:pPr>
              <w:jc w:val="center"/>
              <w:rPr>
                <w:rFonts w:hint="eastAsia" w:ascii="宋体" w:hAnsi="宋体"/>
                <w:b w:val="0"/>
                <w:bCs w:val="0"/>
                <w:sz w:val="18"/>
                <w:szCs w:val="18"/>
              </w:rPr>
            </w:pPr>
            <w:r>
              <w:rPr>
                <w:rFonts w:hint="eastAsia" w:ascii="宋体" w:hAnsi="宋体" w:cs="宋体"/>
                <w:b w:val="0"/>
                <w:bCs w:val="0"/>
                <w:color w:val="000000"/>
                <w:kern w:val="0"/>
                <w:sz w:val="18"/>
                <w:szCs w:val="18"/>
              </w:rPr>
              <w:t>校园卡智能助手</w:t>
            </w:r>
          </w:p>
        </w:tc>
        <w:tc>
          <w:tcPr>
            <w:tcW w:w="1641" w:type="dxa"/>
            <w:tcBorders>
              <w:top w:val="nil"/>
              <w:left w:val="nil"/>
              <w:bottom w:val="single" w:color="auto" w:sz="4" w:space="0"/>
              <w:right w:val="single" w:color="auto" w:sz="4" w:space="0"/>
            </w:tcBorders>
            <w:vAlign w:val="center"/>
          </w:tcPr>
          <w:p w14:paraId="0DBBB592">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新开普AI智能服务助手及一体化平台V1.0</w:t>
            </w:r>
          </w:p>
        </w:tc>
        <w:tc>
          <w:tcPr>
            <w:tcW w:w="1470" w:type="dxa"/>
            <w:tcBorders>
              <w:top w:val="nil"/>
              <w:left w:val="nil"/>
              <w:bottom w:val="single" w:color="auto" w:sz="4" w:space="0"/>
              <w:right w:val="single" w:color="auto" w:sz="4" w:space="0"/>
            </w:tcBorders>
            <w:vAlign w:val="center"/>
          </w:tcPr>
          <w:p w14:paraId="7531579C">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00FAF702">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36E2BA9B">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331D8C99">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0FA7A90B">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148123</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2E0CCE35">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148123</w:t>
            </w:r>
          </w:p>
        </w:tc>
        <w:tc>
          <w:tcPr>
            <w:tcW w:w="748" w:type="dxa"/>
            <w:tcBorders>
              <w:top w:val="single" w:color="auto" w:sz="4" w:space="0"/>
              <w:left w:val="single" w:color="auto" w:sz="4" w:space="0"/>
              <w:bottom w:val="single" w:color="auto" w:sz="4" w:space="0"/>
              <w:right w:val="single" w:color="auto" w:sz="4" w:space="0"/>
            </w:tcBorders>
            <w:vAlign w:val="center"/>
          </w:tcPr>
          <w:p w14:paraId="3C4F9E79">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557F4BEA">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0F90468C">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5644A279">
            <w:pPr>
              <w:jc w:val="center"/>
              <w:rPr>
                <w:rFonts w:hint="eastAsia" w:ascii="宋体" w:hAnsi="宋体"/>
                <w:b w:val="0"/>
                <w:bCs w:val="0"/>
                <w:sz w:val="18"/>
                <w:szCs w:val="18"/>
              </w:rPr>
            </w:pPr>
            <w:r>
              <w:rPr>
                <w:rFonts w:hint="eastAsia" w:ascii="宋体" w:hAnsi="宋体"/>
                <w:b w:val="0"/>
                <w:bCs w:val="0"/>
                <w:sz w:val="18"/>
                <w:szCs w:val="18"/>
              </w:rPr>
              <w:t>合同签订后</w:t>
            </w:r>
          </w:p>
          <w:p w14:paraId="2CEF29F9">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6E2A0960">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5DB6927F">
            <w:pPr>
              <w:jc w:val="center"/>
              <w:rPr>
                <w:rFonts w:hint="eastAsia" w:ascii="宋体" w:hAnsi="宋体"/>
                <w:b w:val="0"/>
                <w:bCs w:val="0"/>
                <w:sz w:val="18"/>
                <w:szCs w:val="18"/>
              </w:rPr>
            </w:pPr>
          </w:p>
        </w:tc>
      </w:tr>
      <w:tr w14:paraId="28E5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000D07F1">
            <w:pPr>
              <w:spacing w:line="440" w:lineRule="exact"/>
              <w:jc w:val="center"/>
              <w:rPr>
                <w:rFonts w:hint="eastAsia" w:ascii="宋体" w:hAnsi="宋体"/>
                <w:b w:val="0"/>
                <w:bCs w:val="0"/>
                <w:sz w:val="18"/>
                <w:szCs w:val="18"/>
              </w:rPr>
            </w:pPr>
            <w:r>
              <w:rPr>
                <w:rFonts w:hint="eastAsia" w:ascii="宋体" w:hAnsi="宋体"/>
                <w:b w:val="0"/>
                <w:bCs w:val="0"/>
                <w:sz w:val="18"/>
                <w:szCs w:val="18"/>
              </w:rPr>
              <w:t>13</w:t>
            </w:r>
          </w:p>
        </w:tc>
        <w:tc>
          <w:tcPr>
            <w:tcW w:w="1351" w:type="dxa"/>
            <w:tcBorders>
              <w:top w:val="nil"/>
              <w:left w:val="nil"/>
              <w:bottom w:val="single" w:color="auto" w:sz="4" w:space="0"/>
              <w:right w:val="single" w:color="auto" w:sz="4" w:space="0"/>
            </w:tcBorders>
            <w:vAlign w:val="center"/>
          </w:tcPr>
          <w:p w14:paraId="39F89A02">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大数据分析</w:t>
            </w:r>
          </w:p>
          <w:p w14:paraId="0EF6537D">
            <w:pPr>
              <w:jc w:val="center"/>
              <w:rPr>
                <w:rFonts w:hint="eastAsia" w:ascii="宋体" w:hAnsi="宋体"/>
                <w:b w:val="0"/>
                <w:bCs w:val="0"/>
                <w:sz w:val="18"/>
                <w:szCs w:val="18"/>
              </w:rPr>
            </w:pPr>
            <w:r>
              <w:rPr>
                <w:rFonts w:hint="eastAsia" w:ascii="宋体" w:hAnsi="宋体" w:cs="宋体"/>
                <w:b w:val="0"/>
                <w:bCs w:val="0"/>
                <w:color w:val="000000"/>
                <w:kern w:val="0"/>
                <w:sz w:val="18"/>
                <w:szCs w:val="18"/>
              </w:rPr>
              <w:t>平台</w:t>
            </w:r>
          </w:p>
        </w:tc>
        <w:tc>
          <w:tcPr>
            <w:tcW w:w="1641" w:type="dxa"/>
            <w:tcBorders>
              <w:top w:val="nil"/>
              <w:left w:val="nil"/>
              <w:bottom w:val="single" w:color="auto" w:sz="4" w:space="0"/>
              <w:right w:val="single" w:color="auto" w:sz="4" w:space="0"/>
            </w:tcBorders>
            <w:vAlign w:val="center"/>
          </w:tcPr>
          <w:p w14:paraId="1AED98F6">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新开普智能BI大数据分析平台V1.0</w:t>
            </w:r>
          </w:p>
        </w:tc>
        <w:tc>
          <w:tcPr>
            <w:tcW w:w="1470" w:type="dxa"/>
            <w:tcBorders>
              <w:top w:val="nil"/>
              <w:left w:val="nil"/>
              <w:bottom w:val="single" w:color="auto" w:sz="4" w:space="0"/>
              <w:right w:val="single" w:color="auto" w:sz="4" w:space="0"/>
            </w:tcBorders>
            <w:vAlign w:val="center"/>
          </w:tcPr>
          <w:p w14:paraId="2811DF7E">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50B7A908">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30DC83F4">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16BEFEA3">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383B6245">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49375</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5935CD9A">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49375</w:t>
            </w:r>
          </w:p>
        </w:tc>
        <w:tc>
          <w:tcPr>
            <w:tcW w:w="748" w:type="dxa"/>
            <w:tcBorders>
              <w:top w:val="single" w:color="auto" w:sz="4" w:space="0"/>
              <w:left w:val="single" w:color="auto" w:sz="4" w:space="0"/>
              <w:bottom w:val="single" w:color="auto" w:sz="4" w:space="0"/>
              <w:right w:val="single" w:color="auto" w:sz="4" w:space="0"/>
            </w:tcBorders>
            <w:vAlign w:val="center"/>
          </w:tcPr>
          <w:p w14:paraId="001D734D">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04DD0919">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2EB2B96F">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4EC0389E">
            <w:pPr>
              <w:jc w:val="center"/>
              <w:rPr>
                <w:rFonts w:hint="eastAsia" w:ascii="宋体" w:hAnsi="宋体"/>
                <w:b w:val="0"/>
                <w:bCs w:val="0"/>
                <w:sz w:val="18"/>
                <w:szCs w:val="18"/>
              </w:rPr>
            </w:pPr>
            <w:r>
              <w:rPr>
                <w:rFonts w:hint="eastAsia" w:ascii="宋体" w:hAnsi="宋体"/>
                <w:b w:val="0"/>
                <w:bCs w:val="0"/>
                <w:sz w:val="18"/>
                <w:szCs w:val="18"/>
              </w:rPr>
              <w:t>合同签订后</w:t>
            </w:r>
          </w:p>
          <w:p w14:paraId="1980A5C3">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7763F39B">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5085679F">
            <w:pPr>
              <w:jc w:val="center"/>
              <w:rPr>
                <w:rFonts w:hint="eastAsia" w:ascii="宋体" w:hAnsi="宋体"/>
                <w:b w:val="0"/>
                <w:bCs w:val="0"/>
                <w:sz w:val="18"/>
                <w:szCs w:val="18"/>
              </w:rPr>
            </w:pPr>
          </w:p>
        </w:tc>
      </w:tr>
      <w:tr w14:paraId="213B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7AFB7A70">
            <w:pPr>
              <w:spacing w:line="440" w:lineRule="exact"/>
              <w:jc w:val="center"/>
              <w:rPr>
                <w:rFonts w:hint="eastAsia" w:ascii="宋体" w:hAnsi="宋体"/>
                <w:b w:val="0"/>
                <w:bCs w:val="0"/>
                <w:sz w:val="18"/>
                <w:szCs w:val="18"/>
              </w:rPr>
            </w:pPr>
            <w:r>
              <w:rPr>
                <w:rFonts w:hint="eastAsia" w:ascii="宋体" w:hAnsi="宋体"/>
                <w:b w:val="0"/>
                <w:bCs w:val="0"/>
                <w:sz w:val="18"/>
                <w:szCs w:val="18"/>
              </w:rPr>
              <w:t>14</w:t>
            </w:r>
          </w:p>
        </w:tc>
        <w:tc>
          <w:tcPr>
            <w:tcW w:w="1351" w:type="dxa"/>
            <w:tcBorders>
              <w:top w:val="nil"/>
              <w:left w:val="nil"/>
              <w:bottom w:val="single" w:color="auto" w:sz="4" w:space="0"/>
              <w:right w:val="single" w:color="auto" w:sz="4" w:space="0"/>
            </w:tcBorders>
            <w:vAlign w:val="center"/>
          </w:tcPr>
          <w:p w14:paraId="2E75AA7D">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大数据展示</w:t>
            </w:r>
          </w:p>
          <w:p w14:paraId="1C95120D">
            <w:pPr>
              <w:jc w:val="center"/>
              <w:rPr>
                <w:rFonts w:hint="eastAsia" w:ascii="宋体" w:hAnsi="宋体"/>
                <w:b w:val="0"/>
                <w:bCs w:val="0"/>
                <w:sz w:val="18"/>
                <w:szCs w:val="18"/>
              </w:rPr>
            </w:pPr>
            <w:r>
              <w:rPr>
                <w:rFonts w:hint="eastAsia" w:ascii="宋体" w:hAnsi="宋体" w:cs="宋体"/>
                <w:b w:val="0"/>
                <w:bCs w:val="0"/>
                <w:color w:val="000000"/>
                <w:kern w:val="0"/>
                <w:sz w:val="18"/>
                <w:szCs w:val="18"/>
              </w:rPr>
              <w:t>平台</w:t>
            </w:r>
          </w:p>
        </w:tc>
        <w:tc>
          <w:tcPr>
            <w:tcW w:w="1641" w:type="dxa"/>
            <w:tcBorders>
              <w:top w:val="nil"/>
              <w:left w:val="nil"/>
              <w:bottom w:val="single" w:color="auto" w:sz="4" w:space="0"/>
              <w:right w:val="single" w:color="auto" w:sz="4" w:space="0"/>
            </w:tcBorders>
            <w:vAlign w:val="center"/>
          </w:tcPr>
          <w:p w14:paraId="1DE23DD6">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新开普智能BI大数据分析平台V1.0</w:t>
            </w:r>
          </w:p>
        </w:tc>
        <w:tc>
          <w:tcPr>
            <w:tcW w:w="1470" w:type="dxa"/>
            <w:tcBorders>
              <w:top w:val="nil"/>
              <w:left w:val="nil"/>
              <w:bottom w:val="single" w:color="auto" w:sz="4" w:space="0"/>
              <w:right w:val="single" w:color="auto" w:sz="4" w:space="0"/>
            </w:tcBorders>
            <w:vAlign w:val="center"/>
          </w:tcPr>
          <w:p w14:paraId="0B6B0EAA">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251E5405">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178A0981">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259B4A7E">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51859931">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29625</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0D52C957">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29625</w:t>
            </w:r>
          </w:p>
        </w:tc>
        <w:tc>
          <w:tcPr>
            <w:tcW w:w="748" w:type="dxa"/>
            <w:tcBorders>
              <w:top w:val="single" w:color="auto" w:sz="4" w:space="0"/>
              <w:left w:val="single" w:color="auto" w:sz="4" w:space="0"/>
              <w:bottom w:val="single" w:color="auto" w:sz="4" w:space="0"/>
              <w:right w:val="single" w:color="auto" w:sz="4" w:space="0"/>
            </w:tcBorders>
            <w:vAlign w:val="center"/>
          </w:tcPr>
          <w:p w14:paraId="3C02CE98">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52BC7BB4">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23E2841B">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4E72A4CA">
            <w:pPr>
              <w:jc w:val="center"/>
              <w:rPr>
                <w:rFonts w:hint="eastAsia" w:ascii="宋体" w:hAnsi="宋体"/>
                <w:b w:val="0"/>
                <w:bCs w:val="0"/>
                <w:sz w:val="18"/>
                <w:szCs w:val="18"/>
              </w:rPr>
            </w:pPr>
            <w:r>
              <w:rPr>
                <w:rFonts w:hint="eastAsia" w:ascii="宋体" w:hAnsi="宋体"/>
                <w:b w:val="0"/>
                <w:bCs w:val="0"/>
                <w:sz w:val="18"/>
                <w:szCs w:val="18"/>
              </w:rPr>
              <w:t>合同签订后</w:t>
            </w:r>
          </w:p>
          <w:p w14:paraId="43F2BFDF">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52B7B377">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6C6CB3D2">
            <w:pPr>
              <w:jc w:val="center"/>
              <w:rPr>
                <w:rFonts w:hint="eastAsia" w:ascii="宋体" w:hAnsi="宋体"/>
                <w:b w:val="0"/>
                <w:bCs w:val="0"/>
                <w:sz w:val="18"/>
                <w:szCs w:val="18"/>
              </w:rPr>
            </w:pPr>
          </w:p>
        </w:tc>
      </w:tr>
      <w:tr w14:paraId="48FA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72D624E1">
            <w:pPr>
              <w:spacing w:line="440" w:lineRule="exact"/>
              <w:jc w:val="center"/>
              <w:rPr>
                <w:rFonts w:hint="eastAsia" w:ascii="宋体" w:hAnsi="宋体"/>
                <w:b w:val="0"/>
                <w:bCs w:val="0"/>
                <w:sz w:val="18"/>
                <w:szCs w:val="18"/>
              </w:rPr>
            </w:pPr>
            <w:r>
              <w:rPr>
                <w:rFonts w:hint="eastAsia" w:ascii="宋体" w:hAnsi="宋体"/>
                <w:b w:val="0"/>
                <w:bCs w:val="0"/>
                <w:sz w:val="18"/>
                <w:szCs w:val="18"/>
              </w:rPr>
              <w:t>15</w:t>
            </w:r>
          </w:p>
        </w:tc>
        <w:tc>
          <w:tcPr>
            <w:tcW w:w="1351" w:type="dxa"/>
            <w:tcBorders>
              <w:top w:val="nil"/>
              <w:left w:val="nil"/>
              <w:bottom w:val="single" w:color="auto" w:sz="4" w:space="0"/>
              <w:right w:val="single" w:color="auto" w:sz="4" w:space="0"/>
            </w:tcBorders>
            <w:vAlign w:val="center"/>
          </w:tcPr>
          <w:p w14:paraId="1C51C8DF">
            <w:pPr>
              <w:jc w:val="center"/>
              <w:rPr>
                <w:rFonts w:hint="eastAsia" w:ascii="宋体" w:hAnsi="宋体"/>
                <w:b w:val="0"/>
                <w:bCs w:val="0"/>
                <w:sz w:val="18"/>
                <w:szCs w:val="18"/>
              </w:rPr>
            </w:pPr>
            <w:r>
              <w:rPr>
                <w:rFonts w:hint="eastAsia" w:ascii="宋体" w:hAnsi="宋体" w:cs="宋体"/>
                <w:b w:val="0"/>
                <w:bCs w:val="0"/>
                <w:color w:val="000000"/>
                <w:kern w:val="0"/>
                <w:sz w:val="18"/>
                <w:szCs w:val="18"/>
              </w:rPr>
              <w:t>管理后台</w:t>
            </w:r>
          </w:p>
        </w:tc>
        <w:tc>
          <w:tcPr>
            <w:tcW w:w="1641" w:type="dxa"/>
            <w:tcBorders>
              <w:top w:val="nil"/>
              <w:left w:val="nil"/>
              <w:bottom w:val="single" w:color="auto" w:sz="4" w:space="0"/>
              <w:right w:val="single" w:color="auto" w:sz="4" w:space="0"/>
            </w:tcBorders>
            <w:vAlign w:val="center"/>
          </w:tcPr>
          <w:p w14:paraId="0893D3AE">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新开普智能BI大数据分析平台V1.0</w:t>
            </w:r>
          </w:p>
        </w:tc>
        <w:tc>
          <w:tcPr>
            <w:tcW w:w="1470" w:type="dxa"/>
            <w:tcBorders>
              <w:top w:val="nil"/>
              <w:left w:val="nil"/>
              <w:bottom w:val="single" w:color="auto" w:sz="4" w:space="0"/>
              <w:right w:val="single" w:color="auto" w:sz="4" w:space="0"/>
            </w:tcBorders>
            <w:vAlign w:val="center"/>
          </w:tcPr>
          <w:p w14:paraId="2A2C6453">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04117AC7">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2D9FE7BB">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6A89B6B1">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0328243">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6CBC15A2">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748" w:type="dxa"/>
            <w:tcBorders>
              <w:top w:val="single" w:color="auto" w:sz="4" w:space="0"/>
              <w:left w:val="single" w:color="auto" w:sz="4" w:space="0"/>
              <w:bottom w:val="single" w:color="auto" w:sz="4" w:space="0"/>
              <w:right w:val="single" w:color="auto" w:sz="4" w:space="0"/>
            </w:tcBorders>
            <w:vAlign w:val="center"/>
          </w:tcPr>
          <w:p w14:paraId="0696EB21">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66C70D74">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7D5C0B61">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1AA2F629">
            <w:pPr>
              <w:jc w:val="center"/>
              <w:rPr>
                <w:rFonts w:hint="eastAsia" w:ascii="宋体" w:hAnsi="宋体"/>
                <w:b w:val="0"/>
                <w:bCs w:val="0"/>
                <w:sz w:val="18"/>
                <w:szCs w:val="18"/>
              </w:rPr>
            </w:pPr>
            <w:r>
              <w:rPr>
                <w:rFonts w:hint="eastAsia" w:ascii="宋体" w:hAnsi="宋体"/>
                <w:b w:val="0"/>
                <w:bCs w:val="0"/>
                <w:sz w:val="18"/>
                <w:szCs w:val="18"/>
              </w:rPr>
              <w:t>合同签订后</w:t>
            </w:r>
          </w:p>
          <w:p w14:paraId="4F2D8C30">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2167E255">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2962A901">
            <w:pPr>
              <w:jc w:val="center"/>
              <w:rPr>
                <w:rFonts w:hint="eastAsia" w:ascii="宋体" w:hAnsi="宋体"/>
                <w:b w:val="0"/>
                <w:bCs w:val="0"/>
                <w:sz w:val="18"/>
                <w:szCs w:val="18"/>
              </w:rPr>
            </w:pPr>
          </w:p>
        </w:tc>
      </w:tr>
      <w:tr w14:paraId="00D0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43BC8A9B">
            <w:pPr>
              <w:spacing w:line="440" w:lineRule="exact"/>
              <w:jc w:val="center"/>
              <w:rPr>
                <w:rFonts w:hint="eastAsia" w:ascii="宋体" w:hAnsi="宋体"/>
                <w:b w:val="0"/>
                <w:bCs w:val="0"/>
                <w:sz w:val="18"/>
                <w:szCs w:val="18"/>
              </w:rPr>
            </w:pPr>
            <w:r>
              <w:rPr>
                <w:rFonts w:hint="eastAsia" w:ascii="宋体" w:hAnsi="宋体"/>
                <w:b w:val="0"/>
                <w:bCs w:val="0"/>
                <w:sz w:val="18"/>
                <w:szCs w:val="18"/>
              </w:rPr>
              <w:t>16</w:t>
            </w:r>
          </w:p>
        </w:tc>
        <w:tc>
          <w:tcPr>
            <w:tcW w:w="1351" w:type="dxa"/>
            <w:tcBorders>
              <w:top w:val="nil"/>
              <w:left w:val="nil"/>
              <w:bottom w:val="single" w:color="auto" w:sz="4" w:space="0"/>
              <w:right w:val="single" w:color="auto" w:sz="4" w:space="0"/>
            </w:tcBorders>
            <w:vAlign w:val="center"/>
          </w:tcPr>
          <w:p w14:paraId="1B520161">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一卡通消费</w:t>
            </w:r>
          </w:p>
          <w:p w14:paraId="331E2A4F">
            <w:pPr>
              <w:jc w:val="center"/>
              <w:rPr>
                <w:rFonts w:hint="eastAsia" w:ascii="宋体" w:hAnsi="宋体"/>
                <w:b w:val="0"/>
                <w:bCs w:val="0"/>
                <w:sz w:val="18"/>
                <w:szCs w:val="18"/>
              </w:rPr>
            </w:pPr>
            <w:r>
              <w:rPr>
                <w:rFonts w:hint="eastAsia" w:ascii="宋体" w:hAnsi="宋体" w:cs="宋体"/>
                <w:b w:val="0"/>
                <w:bCs w:val="0"/>
                <w:color w:val="000000"/>
                <w:kern w:val="0"/>
                <w:sz w:val="18"/>
                <w:szCs w:val="18"/>
              </w:rPr>
              <w:t>大屏</w:t>
            </w:r>
          </w:p>
        </w:tc>
        <w:tc>
          <w:tcPr>
            <w:tcW w:w="1641" w:type="dxa"/>
            <w:tcBorders>
              <w:top w:val="nil"/>
              <w:left w:val="nil"/>
              <w:bottom w:val="single" w:color="auto" w:sz="4" w:space="0"/>
              <w:right w:val="single" w:color="auto" w:sz="4" w:space="0"/>
            </w:tcBorders>
            <w:vAlign w:val="center"/>
          </w:tcPr>
          <w:p w14:paraId="2749F5E9">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新开普智能BI大数据分析平台V1.0</w:t>
            </w:r>
          </w:p>
        </w:tc>
        <w:tc>
          <w:tcPr>
            <w:tcW w:w="1470" w:type="dxa"/>
            <w:tcBorders>
              <w:top w:val="nil"/>
              <w:left w:val="nil"/>
              <w:bottom w:val="single" w:color="auto" w:sz="4" w:space="0"/>
              <w:right w:val="single" w:color="auto" w:sz="4" w:space="0"/>
            </w:tcBorders>
            <w:vAlign w:val="center"/>
          </w:tcPr>
          <w:p w14:paraId="5B6BC3FC">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504A7A4E">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5442E16B">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24CEB2F8">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28B4998E">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3739EAC">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748" w:type="dxa"/>
            <w:tcBorders>
              <w:top w:val="single" w:color="auto" w:sz="4" w:space="0"/>
              <w:left w:val="single" w:color="auto" w:sz="4" w:space="0"/>
              <w:bottom w:val="single" w:color="auto" w:sz="4" w:space="0"/>
              <w:right w:val="single" w:color="auto" w:sz="4" w:space="0"/>
            </w:tcBorders>
            <w:vAlign w:val="center"/>
          </w:tcPr>
          <w:p w14:paraId="759B0E43">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587F221D">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204CA374">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27D87432">
            <w:pPr>
              <w:jc w:val="center"/>
              <w:rPr>
                <w:rFonts w:hint="eastAsia" w:ascii="宋体" w:hAnsi="宋体"/>
                <w:b w:val="0"/>
                <w:bCs w:val="0"/>
                <w:sz w:val="18"/>
                <w:szCs w:val="18"/>
              </w:rPr>
            </w:pPr>
            <w:r>
              <w:rPr>
                <w:rFonts w:hint="eastAsia" w:ascii="宋体" w:hAnsi="宋体"/>
                <w:b w:val="0"/>
                <w:bCs w:val="0"/>
                <w:sz w:val="18"/>
                <w:szCs w:val="18"/>
              </w:rPr>
              <w:t>合同签订后</w:t>
            </w:r>
          </w:p>
          <w:p w14:paraId="372768B7">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7DE90A92">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704777ED">
            <w:pPr>
              <w:jc w:val="center"/>
              <w:rPr>
                <w:rFonts w:hint="eastAsia" w:ascii="宋体" w:hAnsi="宋体"/>
                <w:b w:val="0"/>
                <w:bCs w:val="0"/>
                <w:sz w:val="18"/>
                <w:szCs w:val="18"/>
              </w:rPr>
            </w:pPr>
          </w:p>
        </w:tc>
      </w:tr>
      <w:tr w14:paraId="1D28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5F98E923">
            <w:pPr>
              <w:spacing w:line="440" w:lineRule="exact"/>
              <w:jc w:val="center"/>
              <w:rPr>
                <w:rFonts w:hint="eastAsia" w:ascii="宋体" w:hAnsi="宋体"/>
                <w:b w:val="0"/>
                <w:bCs w:val="0"/>
                <w:sz w:val="18"/>
                <w:szCs w:val="18"/>
              </w:rPr>
            </w:pPr>
            <w:r>
              <w:rPr>
                <w:rFonts w:hint="eastAsia" w:ascii="宋体" w:hAnsi="宋体"/>
                <w:b w:val="0"/>
                <w:bCs w:val="0"/>
                <w:sz w:val="18"/>
                <w:szCs w:val="18"/>
              </w:rPr>
              <w:t>17</w:t>
            </w:r>
          </w:p>
        </w:tc>
        <w:tc>
          <w:tcPr>
            <w:tcW w:w="1351" w:type="dxa"/>
            <w:tcBorders>
              <w:top w:val="nil"/>
              <w:left w:val="nil"/>
              <w:bottom w:val="single" w:color="auto" w:sz="4" w:space="0"/>
              <w:right w:val="single" w:color="auto" w:sz="4" w:space="0"/>
            </w:tcBorders>
            <w:vAlign w:val="center"/>
          </w:tcPr>
          <w:p w14:paraId="5A5DFC8B">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一卡通运营</w:t>
            </w:r>
          </w:p>
          <w:p w14:paraId="0834CD12">
            <w:pPr>
              <w:jc w:val="center"/>
              <w:rPr>
                <w:rFonts w:hint="eastAsia" w:ascii="宋体" w:hAnsi="宋体"/>
                <w:b w:val="0"/>
                <w:bCs w:val="0"/>
                <w:sz w:val="18"/>
                <w:szCs w:val="18"/>
              </w:rPr>
            </w:pPr>
            <w:r>
              <w:rPr>
                <w:rFonts w:hint="eastAsia" w:ascii="宋体" w:hAnsi="宋体" w:cs="宋体"/>
                <w:b w:val="0"/>
                <w:bCs w:val="0"/>
                <w:color w:val="000000"/>
                <w:kern w:val="0"/>
                <w:sz w:val="18"/>
                <w:szCs w:val="18"/>
              </w:rPr>
              <w:t>大屏</w:t>
            </w:r>
          </w:p>
        </w:tc>
        <w:tc>
          <w:tcPr>
            <w:tcW w:w="1641" w:type="dxa"/>
            <w:tcBorders>
              <w:top w:val="nil"/>
              <w:left w:val="nil"/>
              <w:bottom w:val="single" w:color="auto" w:sz="4" w:space="0"/>
              <w:right w:val="single" w:color="auto" w:sz="4" w:space="0"/>
            </w:tcBorders>
            <w:vAlign w:val="center"/>
          </w:tcPr>
          <w:p w14:paraId="6CABD2F3">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新开普智能BI大数据分析平台V1.0</w:t>
            </w:r>
          </w:p>
        </w:tc>
        <w:tc>
          <w:tcPr>
            <w:tcW w:w="1470" w:type="dxa"/>
            <w:tcBorders>
              <w:top w:val="nil"/>
              <w:left w:val="nil"/>
              <w:bottom w:val="single" w:color="auto" w:sz="4" w:space="0"/>
              <w:right w:val="single" w:color="auto" w:sz="4" w:space="0"/>
            </w:tcBorders>
            <w:vAlign w:val="center"/>
          </w:tcPr>
          <w:p w14:paraId="16C8A2F3">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2A2002B2">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291425E8">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04FEF473">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3F497F9">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19770E24">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19750</w:t>
            </w:r>
          </w:p>
        </w:tc>
        <w:tc>
          <w:tcPr>
            <w:tcW w:w="748" w:type="dxa"/>
            <w:tcBorders>
              <w:top w:val="single" w:color="auto" w:sz="4" w:space="0"/>
              <w:left w:val="single" w:color="auto" w:sz="4" w:space="0"/>
              <w:bottom w:val="single" w:color="auto" w:sz="4" w:space="0"/>
              <w:right w:val="single" w:color="auto" w:sz="4" w:space="0"/>
            </w:tcBorders>
            <w:vAlign w:val="center"/>
          </w:tcPr>
          <w:p w14:paraId="07663706">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7759A0A4">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4474AE03">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4C286A44">
            <w:pPr>
              <w:jc w:val="center"/>
              <w:rPr>
                <w:rFonts w:hint="eastAsia" w:ascii="宋体" w:hAnsi="宋体"/>
                <w:b w:val="0"/>
                <w:bCs w:val="0"/>
                <w:sz w:val="18"/>
                <w:szCs w:val="18"/>
              </w:rPr>
            </w:pPr>
            <w:r>
              <w:rPr>
                <w:rFonts w:hint="eastAsia" w:ascii="宋体" w:hAnsi="宋体"/>
                <w:b w:val="0"/>
                <w:bCs w:val="0"/>
                <w:sz w:val="18"/>
                <w:szCs w:val="18"/>
              </w:rPr>
              <w:t>合同签订后</w:t>
            </w:r>
          </w:p>
          <w:p w14:paraId="4B447B70">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1D404311">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4559B2AD">
            <w:pPr>
              <w:jc w:val="center"/>
              <w:rPr>
                <w:rFonts w:hint="eastAsia" w:ascii="宋体" w:hAnsi="宋体"/>
                <w:b w:val="0"/>
                <w:bCs w:val="0"/>
                <w:sz w:val="18"/>
                <w:szCs w:val="18"/>
              </w:rPr>
            </w:pPr>
          </w:p>
        </w:tc>
      </w:tr>
      <w:tr w14:paraId="051D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31DCD41B">
            <w:pPr>
              <w:spacing w:line="440" w:lineRule="exact"/>
              <w:jc w:val="center"/>
              <w:rPr>
                <w:rFonts w:hint="eastAsia" w:ascii="宋体" w:hAnsi="宋体"/>
                <w:b w:val="0"/>
                <w:bCs w:val="0"/>
                <w:sz w:val="18"/>
                <w:szCs w:val="18"/>
              </w:rPr>
            </w:pPr>
            <w:r>
              <w:rPr>
                <w:rFonts w:hint="eastAsia" w:ascii="宋体" w:hAnsi="宋体"/>
                <w:b w:val="0"/>
                <w:bCs w:val="0"/>
                <w:sz w:val="18"/>
                <w:szCs w:val="18"/>
              </w:rPr>
              <w:t>18</w:t>
            </w:r>
          </w:p>
        </w:tc>
        <w:tc>
          <w:tcPr>
            <w:tcW w:w="1351" w:type="dxa"/>
            <w:tcBorders>
              <w:top w:val="nil"/>
              <w:left w:val="nil"/>
              <w:bottom w:val="single" w:color="auto" w:sz="4" w:space="0"/>
              <w:right w:val="single" w:color="auto" w:sz="4" w:space="0"/>
            </w:tcBorders>
            <w:vAlign w:val="center"/>
          </w:tcPr>
          <w:p w14:paraId="5B6FB62C">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收费退费</w:t>
            </w:r>
          </w:p>
          <w:p w14:paraId="7FC1D0B1">
            <w:pPr>
              <w:jc w:val="center"/>
              <w:rPr>
                <w:rFonts w:hint="eastAsia" w:ascii="宋体" w:hAnsi="宋体"/>
                <w:b w:val="0"/>
                <w:bCs w:val="0"/>
                <w:sz w:val="18"/>
                <w:szCs w:val="18"/>
              </w:rPr>
            </w:pPr>
            <w:r>
              <w:rPr>
                <w:rFonts w:hint="eastAsia" w:ascii="宋体" w:hAnsi="宋体" w:cs="宋体"/>
                <w:b w:val="0"/>
                <w:bCs w:val="0"/>
                <w:color w:val="000000"/>
                <w:kern w:val="0"/>
                <w:sz w:val="18"/>
                <w:szCs w:val="18"/>
              </w:rPr>
              <w:t>功能</w:t>
            </w:r>
          </w:p>
        </w:tc>
        <w:tc>
          <w:tcPr>
            <w:tcW w:w="1641" w:type="dxa"/>
            <w:tcBorders>
              <w:top w:val="nil"/>
              <w:left w:val="nil"/>
              <w:bottom w:val="single" w:color="auto" w:sz="4" w:space="0"/>
              <w:right w:val="single" w:color="auto" w:sz="4" w:space="0"/>
            </w:tcBorders>
            <w:vAlign w:val="center"/>
          </w:tcPr>
          <w:p w14:paraId="4970220B">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新开普综合缴费平台V2.0</w:t>
            </w:r>
          </w:p>
        </w:tc>
        <w:tc>
          <w:tcPr>
            <w:tcW w:w="1470" w:type="dxa"/>
            <w:tcBorders>
              <w:top w:val="nil"/>
              <w:left w:val="nil"/>
              <w:bottom w:val="single" w:color="auto" w:sz="4" w:space="0"/>
              <w:right w:val="single" w:color="auto" w:sz="4" w:space="0"/>
            </w:tcBorders>
            <w:vAlign w:val="center"/>
          </w:tcPr>
          <w:p w14:paraId="6DD6D0B1">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65110831">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59741D3C">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5692740B">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B7A9D64">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78999</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9F4E589">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78999</w:t>
            </w:r>
          </w:p>
        </w:tc>
        <w:tc>
          <w:tcPr>
            <w:tcW w:w="748" w:type="dxa"/>
            <w:tcBorders>
              <w:top w:val="single" w:color="auto" w:sz="4" w:space="0"/>
              <w:left w:val="single" w:color="auto" w:sz="4" w:space="0"/>
              <w:bottom w:val="single" w:color="auto" w:sz="4" w:space="0"/>
              <w:right w:val="single" w:color="auto" w:sz="4" w:space="0"/>
            </w:tcBorders>
            <w:vAlign w:val="center"/>
          </w:tcPr>
          <w:p w14:paraId="03169B4E">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1550AD58">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316D0AD">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1C7C525E">
            <w:pPr>
              <w:jc w:val="center"/>
              <w:rPr>
                <w:rFonts w:hint="eastAsia" w:ascii="宋体" w:hAnsi="宋体"/>
                <w:b w:val="0"/>
                <w:bCs w:val="0"/>
                <w:sz w:val="18"/>
                <w:szCs w:val="18"/>
              </w:rPr>
            </w:pPr>
            <w:r>
              <w:rPr>
                <w:rFonts w:hint="eastAsia" w:ascii="宋体" w:hAnsi="宋体"/>
                <w:b w:val="0"/>
                <w:bCs w:val="0"/>
                <w:sz w:val="18"/>
                <w:szCs w:val="18"/>
              </w:rPr>
              <w:t>合同签订后</w:t>
            </w:r>
          </w:p>
          <w:p w14:paraId="2D50672C">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0092D329">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1BBB8D02">
            <w:pPr>
              <w:jc w:val="center"/>
              <w:rPr>
                <w:rFonts w:hint="eastAsia" w:ascii="宋体" w:hAnsi="宋体"/>
                <w:b w:val="0"/>
                <w:bCs w:val="0"/>
                <w:sz w:val="18"/>
                <w:szCs w:val="18"/>
              </w:rPr>
            </w:pPr>
          </w:p>
        </w:tc>
      </w:tr>
      <w:tr w14:paraId="20DF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52050511">
            <w:pPr>
              <w:spacing w:line="440" w:lineRule="exact"/>
              <w:jc w:val="center"/>
              <w:rPr>
                <w:rFonts w:hint="eastAsia" w:ascii="宋体" w:hAnsi="宋体"/>
                <w:b w:val="0"/>
                <w:bCs w:val="0"/>
                <w:sz w:val="18"/>
                <w:szCs w:val="18"/>
              </w:rPr>
            </w:pPr>
            <w:r>
              <w:rPr>
                <w:rFonts w:hint="eastAsia" w:ascii="宋体" w:hAnsi="宋体"/>
                <w:b w:val="0"/>
                <w:bCs w:val="0"/>
                <w:sz w:val="18"/>
                <w:szCs w:val="18"/>
              </w:rPr>
              <w:t>19</w:t>
            </w:r>
          </w:p>
        </w:tc>
        <w:tc>
          <w:tcPr>
            <w:tcW w:w="1351" w:type="dxa"/>
            <w:tcBorders>
              <w:top w:val="nil"/>
              <w:left w:val="nil"/>
              <w:bottom w:val="single" w:color="auto" w:sz="4" w:space="0"/>
              <w:right w:val="single" w:color="auto" w:sz="4" w:space="0"/>
            </w:tcBorders>
            <w:vAlign w:val="center"/>
          </w:tcPr>
          <w:p w14:paraId="25A03182">
            <w:pPr>
              <w:jc w:val="center"/>
              <w:rPr>
                <w:rFonts w:hint="eastAsia" w:ascii="宋体" w:hAnsi="宋体"/>
                <w:b w:val="0"/>
                <w:bCs w:val="0"/>
                <w:sz w:val="18"/>
                <w:szCs w:val="18"/>
              </w:rPr>
            </w:pPr>
            <w:r>
              <w:rPr>
                <w:rFonts w:hint="eastAsia" w:ascii="宋体" w:hAnsi="宋体" w:cs="宋体"/>
                <w:b w:val="0"/>
                <w:bCs w:val="0"/>
                <w:color w:val="000000"/>
                <w:kern w:val="0"/>
                <w:sz w:val="18"/>
                <w:szCs w:val="18"/>
              </w:rPr>
              <w:t>金融加密机</w:t>
            </w:r>
          </w:p>
        </w:tc>
        <w:tc>
          <w:tcPr>
            <w:tcW w:w="1641" w:type="dxa"/>
            <w:tcBorders>
              <w:top w:val="nil"/>
              <w:left w:val="nil"/>
              <w:bottom w:val="single" w:color="auto" w:sz="4" w:space="0"/>
              <w:right w:val="single" w:color="auto" w:sz="4" w:space="0"/>
            </w:tcBorders>
            <w:vAlign w:val="center"/>
          </w:tcPr>
          <w:p w14:paraId="0D981F99">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P201</w:t>
            </w:r>
          </w:p>
        </w:tc>
        <w:tc>
          <w:tcPr>
            <w:tcW w:w="1470" w:type="dxa"/>
            <w:tcBorders>
              <w:top w:val="nil"/>
              <w:left w:val="nil"/>
              <w:bottom w:val="single" w:color="auto" w:sz="4" w:space="0"/>
              <w:right w:val="single" w:color="auto" w:sz="4" w:space="0"/>
            </w:tcBorders>
            <w:vAlign w:val="center"/>
          </w:tcPr>
          <w:p w14:paraId="2000DC1E">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5C0932D4">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67EFD73D">
            <w:pPr>
              <w:jc w:val="center"/>
              <w:rPr>
                <w:rFonts w:hint="eastAsia" w:ascii="宋体" w:hAnsi="宋体"/>
                <w:b w:val="0"/>
                <w:bCs w:val="0"/>
                <w:sz w:val="18"/>
                <w:szCs w:val="18"/>
              </w:rPr>
            </w:pPr>
            <w:r>
              <w:rPr>
                <w:rFonts w:hint="eastAsia" w:ascii="宋体" w:hAnsi="宋体"/>
                <w:b w:val="0"/>
                <w:bCs w:val="0"/>
                <w:sz w:val="18"/>
                <w:szCs w:val="18"/>
              </w:rPr>
              <w:t>台</w:t>
            </w:r>
          </w:p>
        </w:tc>
        <w:tc>
          <w:tcPr>
            <w:tcW w:w="615" w:type="dxa"/>
            <w:tcBorders>
              <w:top w:val="nil"/>
              <w:left w:val="nil"/>
              <w:bottom w:val="single" w:color="auto" w:sz="4" w:space="0"/>
              <w:right w:val="single" w:color="auto" w:sz="4" w:space="0"/>
            </w:tcBorders>
            <w:vAlign w:val="center"/>
          </w:tcPr>
          <w:p w14:paraId="77213266">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F975AD4">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11850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7C8466E1">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11850</w:t>
            </w:r>
          </w:p>
        </w:tc>
        <w:tc>
          <w:tcPr>
            <w:tcW w:w="748" w:type="dxa"/>
            <w:tcBorders>
              <w:top w:val="single" w:color="auto" w:sz="4" w:space="0"/>
              <w:left w:val="single" w:color="auto" w:sz="4" w:space="0"/>
              <w:bottom w:val="single" w:color="auto" w:sz="4" w:space="0"/>
              <w:right w:val="single" w:color="auto" w:sz="4" w:space="0"/>
            </w:tcBorders>
            <w:vAlign w:val="center"/>
          </w:tcPr>
          <w:p w14:paraId="7E6BCD35">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08AC53AF">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6130391">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2C1200AF">
            <w:pPr>
              <w:jc w:val="center"/>
              <w:rPr>
                <w:rFonts w:hint="eastAsia" w:ascii="宋体" w:hAnsi="宋体"/>
                <w:b w:val="0"/>
                <w:bCs w:val="0"/>
                <w:sz w:val="18"/>
                <w:szCs w:val="18"/>
              </w:rPr>
            </w:pPr>
            <w:r>
              <w:rPr>
                <w:rFonts w:hint="eastAsia" w:ascii="宋体" w:hAnsi="宋体"/>
                <w:b w:val="0"/>
                <w:bCs w:val="0"/>
                <w:sz w:val="18"/>
                <w:szCs w:val="18"/>
              </w:rPr>
              <w:t>合同签订后</w:t>
            </w:r>
          </w:p>
          <w:p w14:paraId="327CA4D9">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72CCE422">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3958DB3F">
            <w:pPr>
              <w:jc w:val="center"/>
              <w:rPr>
                <w:rFonts w:hint="eastAsia" w:ascii="宋体" w:hAnsi="宋体"/>
                <w:b w:val="0"/>
                <w:bCs w:val="0"/>
                <w:sz w:val="18"/>
                <w:szCs w:val="18"/>
              </w:rPr>
            </w:pPr>
          </w:p>
        </w:tc>
      </w:tr>
      <w:tr w14:paraId="30BB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29AF56F6">
            <w:pPr>
              <w:spacing w:line="440" w:lineRule="exact"/>
              <w:jc w:val="center"/>
              <w:rPr>
                <w:rFonts w:hint="eastAsia" w:ascii="宋体" w:hAnsi="宋体"/>
                <w:b w:val="0"/>
                <w:bCs w:val="0"/>
                <w:sz w:val="18"/>
                <w:szCs w:val="18"/>
              </w:rPr>
            </w:pPr>
            <w:r>
              <w:rPr>
                <w:rFonts w:hint="eastAsia" w:ascii="宋体" w:hAnsi="宋体"/>
                <w:b w:val="0"/>
                <w:bCs w:val="0"/>
                <w:sz w:val="18"/>
                <w:szCs w:val="18"/>
              </w:rPr>
              <w:t>20</w:t>
            </w:r>
          </w:p>
        </w:tc>
        <w:tc>
          <w:tcPr>
            <w:tcW w:w="1351" w:type="dxa"/>
            <w:tcBorders>
              <w:top w:val="nil"/>
              <w:left w:val="nil"/>
              <w:bottom w:val="single" w:color="auto" w:sz="4" w:space="0"/>
              <w:right w:val="single" w:color="auto" w:sz="4" w:space="0"/>
            </w:tcBorders>
            <w:vAlign w:val="center"/>
          </w:tcPr>
          <w:p w14:paraId="34264B21">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密钥卡</w:t>
            </w:r>
          </w:p>
          <w:p w14:paraId="46A7DEF4">
            <w:pPr>
              <w:jc w:val="center"/>
              <w:rPr>
                <w:rFonts w:hint="eastAsia" w:ascii="宋体" w:hAnsi="宋体"/>
                <w:b w:val="0"/>
                <w:bCs w:val="0"/>
                <w:sz w:val="18"/>
                <w:szCs w:val="18"/>
              </w:rPr>
            </w:pPr>
            <w:r>
              <w:rPr>
                <w:rFonts w:hint="eastAsia" w:ascii="宋体" w:hAnsi="宋体" w:cs="宋体"/>
                <w:b w:val="0"/>
                <w:bCs w:val="0"/>
                <w:color w:val="000000"/>
                <w:kern w:val="0"/>
                <w:sz w:val="18"/>
                <w:szCs w:val="18"/>
              </w:rPr>
              <w:t>读写器</w:t>
            </w:r>
          </w:p>
        </w:tc>
        <w:tc>
          <w:tcPr>
            <w:tcW w:w="1641" w:type="dxa"/>
            <w:tcBorders>
              <w:top w:val="nil"/>
              <w:left w:val="nil"/>
              <w:bottom w:val="single" w:color="auto" w:sz="4" w:space="0"/>
              <w:right w:val="single" w:color="auto" w:sz="4" w:space="0"/>
            </w:tcBorders>
            <w:vAlign w:val="center"/>
          </w:tcPr>
          <w:p w14:paraId="31210A56">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E711</w:t>
            </w:r>
          </w:p>
        </w:tc>
        <w:tc>
          <w:tcPr>
            <w:tcW w:w="1470" w:type="dxa"/>
            <w:tcBorders>
              <w:top w:val="nil"/>
              <w:left w:val="nil"/>
              <w:bottom w:val="single" w:color="auto" w:sz="4" w:space="0"/>
              <w:right w:val="single" w:color="auto" w:sz="4" w:space="0"/>
            </w:tcBorders>
            <w:vAlign w:val="center"/>
          </w:tcPr>
          <w:p w14:paraId="5B965AF5">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322C616A">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6BA1F560">
            <w:pPr>
              <w:jc w:val="center"/>
              <w:rPr>
                <w:rFonts w:hint="eastAsia" w:ascii="宋体" w:hAnsi="宋体"/>
                <w:b w:val="0"/>
                <w:bCs w:val="0"/>
                <w:sz w:val="18"/>
                <w:szCs w:val="18"/>
              </w:rPr>
            </w:pPr>
            <w:r>
              <w:rPr>
                <w:rFonts w:hint="eastAsia" w:ascii="宋体" w:hAnsi="宋体"/>
                <w:b w:val="0"/>
                <w:bCs w:val="0"/>
                <w:sz w:val="18"/>
                <w:szCs w:val="18"/>
              </w:rPr>
              <w:t>台</w:t>
            </w:r>
          </w:p>
        </w:tc>
        <w:tc>
          <w:tcPr>
            <w:tcW w:w="615" w:type="dxa"/>
            <w:tcBorders>
              <w:top w:val="nil"/>
              <w:left w:val="nil"/>
              <w:bottom w:val="single" w:color="auto" w:sz="4" w:space="0"/>
              <w:right w:val="single" w:color="auto" w:sz="4" w:space="0"/>
            </w:tcBorders>
            <w:vAlign w:val="center"/>
          </w:tcPr>
          <w:p w14:paraId="3F4F43DC">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5EEB1C9F">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887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7CB5E776">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887</w:t>
            </w:r>
          </w:p>
        </w:tc>
        <w:tc>
          <w:tcPr>
            <w:tcW w:w="748" w:type="dxa"/>
            <w:tcBorders>
              <w:top w:val="single" w:color="auto" w:sz="4" w:space="0"/>
              <w:left w:val="single" w:color="auto" w:sz="4" w:space="0"/>
              <w:bottom w:val="single" w:color="auto" w:sz="4" w:space="0"/>
              <w:right w:val="single" w:color="auto" w:sz="4" w:space="0"/>
            </w:tcBorders>
            <w:vAlign w:val="center"/>
          </w:tcPr>
          <w:p w14:paraId="697D82B1">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0F0B9EA4">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4BD1A0FD">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5A55F41F">
            <w:pPr>
              <w:jc w:val="center"/>
              <w:rPr>
                <w:rFonts w:hint="eastAsia" w:ascii="宋体" w:hAnsi="宋体"/>
                <w:b w:val="0"/>
                <w:bCs w:val="0"/>
                <w:sz w:val="18"/>
                <w:szCs w:val="18"/>
              </w:rPr>
            </w:pPr>
            <w:r>
              <w:rPr>
                <w:rFonts w:hint="eastAsia" w:ascii="宋体" w:hAnsi="宋体"/>
                <w:b w:val="0"/>
                <w:bCs w:val="0"/>
                <w:sz w:val="18"/>
                <w:szCs w:val="18"/>
              </w:rPr>
              <w:t>合同签订后</w:t>
            </w:r>
          </w:p>
          <w:p w14:paraId="4419F894">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33622A78">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58041C3A">
            <w:pPr>
              <w:jc w:val="center"/>
              <w:rPr>
                <w:rFonts w:hint="eastAsia" w:ascii="宋体" w:hAnsi="宋体"/>
                <w:b w:val="0"/>
                <w:bCs w:val="0"/>
                <w:sz w:val="18"/>
                <w:szCs w:val="18"/>
              </w:rPr>
            </w:pPr>
          </w:p>
        </w:tc>
      </w:tr>
      <w:tr w14:paraId="6EF4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7EB3CDE0">
            <w:pPr>
              <w:spacing w:line="440" w:lineRule="exact"/>
              <w:jc w:val="center"/>
              <w:rPr>
                <w:rFonts w:hint="eastAsia" w:ascii="宋体" w:hAnsi="宋体"/>
                <w:b w:val="0"/>
                <w:bCs w:val="0"/>
                <w:sz w:val="18"/>
                <w:szCs w:val="18"/>
              </w:rPr>
            </w:pPr>
            <w:r>
              <w:rPr>
                <w:rFonts w:hint="eastAsia" w:ascii="宋体" w:hAnsi="宋体"/>
                <w:b w:val="0"/>
                <w:bCs w:val="0"/>
                <w:sz w:val="18"/>
                <w:szCs w:val="18"/>
              </w:rPr>
              <w:t>21</w:t>
            </w:r>
          </w:p>
        </w:tc>
        <w:tc>
          <w:tcPr>
            <w:tcW w:w="1351" w:type="dxa"/>
            <w:tcBorders>
              <w:top w:val="nil"/>
              <w:left w:val="nil"/>
              <w:bottom w:val="single" w:color="auto" w:sz="4" w:space="0"/>
              <w:right w:val="single" w:color="auto" w:sz="4" w:space="0"/>
            </w:tcBorders>
            <w:vAlign w:val="center"/>
          </w:tcPr>
          <w:p w14:paraId="52EE184A">
            <w:pPr>
              <w:jc w:val="center"/>
              <w:rPr>
                <w:rFonts w:hint="eastAsia" w:ascii="宋体" w:hAnsi="宋体"/>
                <w:b w:val="0"/>
                <w:bCs w:val="0"/>
                <w:sz w:val="18"/>
                <w:szCs w:val="18"/>
              </w:rPr>
            </w:pPr>
            <w:r>
              <w:rPr>
                <w:rFonts w:hint="eastAsia" w:ascii="宋体" w:hAnsi="宋体" w:cs="宋体"/>
                <w:b w:val="0"/>
                <w:bCs w:val="0"/>
                <w:color w:val="000000"/>
                <w:kern w:val="0"/>
                <w:sz w:val="18"/>
                <w:szCs w:val="18"/>
              </w:rPr>
              <w:t>终端密钥卡</w:t>
            </w:r>
          </w:p>
        </w:tc>
        <w:tc>
          <w:tcPr>
            <w:tcW w:w="1641" w:type="dxa"/>
            <w:tcBorders>
              <w:top w:val="nil"/>
              <w:left w:val="nil"/>
              <w:bottom w:val="single" w:color="auto" w:sz="4" w:space="0"/>
              <w:right w:val="single" w:color="auto" w:sz="4" w:space="0"/>
            </w:tcBorders>
            <w:vAlign w:val="center"/>
          </w:tcPr>
          <w:p w14:paraId="1326A9EC">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PSAM卡</w:t>
            </w:r>
          </w:p>
        </w:tc>
        <w:tc>
          <w:tcPr>
            <w:tcW w:w="1470" w:type="dxa"/>
            <w:tcBorders>
              <w:top w:val="nil"/>
              <w:left w:val="nil"/>
              <w:bottom w:val="single" w:color="auto" w:sz="4" w:space="0"/>
              <w:right w:val="single" w:color="auto" w:sz="4" w:space="0"/>
            </w:tcBorders>
            <w:vAlign w:val="center"/>
          </w:tcPr>
          <w:p w14:paraId="4D5190CF">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4D2D3961">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5AFF1275">
            <w:pPr>
              <w:jc w:val="center"/>
              <w:rPr>
                <w:rFonts w:hint="eastAsia" w:ascii="宋体" w:hAnsi="宋体"/>
                <w:b w:val="0"/>
                <w:bCs w:val="0"/>
                <w:sz w:val="18"/>
                <w:szCs w:val="18"/>
              </w:rPr>
            </w:pPr>
            <w:r>
              <w:rPr>
                <w:rFonts w:hint="eastAsia" w:ascii="宋体" w:hAnsi="宋体"/>
                <w:b w:val="0"/>
                <w:bCs w:val="0"/>
                <w:sz w:val="18"/>
                <w:szCs w:val="18"/>
              </w:rPr>
              <w:t>张</w:t>
            </w:r>
          </w:p>
        </w:tc>
        <w:tc>
          <w:tcPr>
            <w:tcW w:w="615" w:type="dxa"/>
            <w:tcBorders>
              <w:top w:val="nil"/>
              <w:left w:val="nil"/>
              <w:bottom w:val="single" w:color="auto" w:sz="4" w:space="0"/>
              <w:right w:val="single" w:color="auto" w:sz="4" w:space="0"/>
            </w:tcBorders>
            <w:vAlign w:val="center"/>
          </w:tcPr>
          <w:p w14:paraId="0673F2A4">
            <w:pPr>
              <w:jc w:val="center"/>
              <w:rPr>
                <w:rFonts w:hint="eastAsia" w:ascii="宋体" w:hAnsi="宋体"/>
                <w:b w:val="0"/>
                <w:bCs w:val="0"/>
                <w:sz w:val="18"/>
                <w:szCs w:val="18"/>
              </w:rPr>
            </w:pPr>
            <w:r>
              <w:rPr>
                <w:rFonts w:hint="eastAsia" w:ascii="宋体" w:hAnsi="宋体" w:cs="宋体"/>
                <w:b w:val="0"/>
                <w:bCs w:val="0"/>
                <w:color w:val="000000"/>
                <w:kern w:val="0"/>
                <w:sz w:val="18"/>
                <w:szCs w:val="18"/>
              </w:rPr>
              <w:t>260</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293032C7">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29</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918D4C9">
            <w:pPr>
              <w:widowControl/>
              <w:jc w:val="center"/>
              <w:rPr>
                <w:rFonts w:hint="default"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7</w:t>
            </w:r>
            <w:r>
              <w:rPr>
                <w:rFonts w:hint="eastAsia" w:ascii="微软雅黑" w:hAnsi="微软雅黑" w:eastAsia="微软雅黑"/>
                <w:b w:val="0"/>
                <w:bCs w:val="0"/>
                <w:color w:val="000000"/>
                <w:sz w:val="18"/>
                <w:szCs w:val="18"/>
                <w:lang w:val="en-US" w:eastAsia="zh-CN"/>
              </w:rPr>
              <w:t>540</w:t>
            </w:r>
          </w:p>
        </w:tc>
        <w:tc>
          <w:tcPr>
            <w:tcW w:w="748" w:type="dxa"/>
            <w:tcBorders>
              <w:top w:val="single" w:color="auto" w:sz="4" w:space="0"/>
              <w:left w:val="single" w:color="auto" w:sz="4" w:space="0"/>
              <w:bottom w:val="single" w:color="auto" w:sz="4" w:space="0"/>
              <w:right w:val="single" w:color="auto" w:sz="4" w:space="0"/>
            </w:tcBorders>
            <w:vAlign w:val="center"/>
          </w:tcPr>
          <w:p w14:paraId="08A7EA5B">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2CD6558A">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359C569E">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73296A44">
            <w:pPr>
              <w:jc w:val="center"/>
              <w:rPr>
                <w:rFonts w:hint="eastAsia" w:ascii="宋体" w:hAnsi="宋体"/>
                <w:b w:val="0"/>
                <w:bCs w:val="0"/>
                <w:sz w:val="18"/>
                <w:szCs w:val="18"/>
              </w:rPr>
            </w:pPr>
            <w:r>
              <w:rPr>
                <w:rFonts w:hint="eastAsia" w:ascii="宋体" w:hAnsi="宋体"/>
                <w:b w:val="0"/>
                <w:bCs w:val="0"/>
                <w:sz w:val="18"/>
                <w:szCs w:val="18"/>
              </w:rPr>
              <w:t>合同签订后</w:t>
            </w:r>
          </w:p>
          <w:p w14:paraId="49B3A9D0">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0C86762B">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1D700ECA">
            <w:pPr>
              <w:jc w:val="center"/>
              <w:rPr>
                <w:rFonts w:hint="eastAsia" w:ascii="宋体" w:hAnsi="宋体"/>
                <w:b w:val="0"/>
                <w:bCs w:val="0"/>
                <w:sz w:val="18"/>
                <w:szCs w:val="18"/>
              </w:rPr>
            </w:pPr>
          </w:p>
        </w:tc>
      </w:tr>
      <w:tr w14:paraId="5D63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2EC35F08">
            <w:pPr>
              <w:spacing w:line="440" w:lineRule="exact"/>
              <w:jc w:val="center"/>
              <w:rPr>
                <w:rFonts w:hint="eastAsia" w:ascii="宋体" w:hAnsi="宋体"/>
                <w:b w:val="0"/>
                <w:bCs w:val="0"/>
                <w:sz w:val="18"/>
                <w:szCs w:val="18"/>
              </w:rPr>
            </w:pPr>
            <w:r>
              <w:rPr>
                <w:rFonts w:hint="eastAsia" w:ascii="宋体" w:hAnsi="宋体"/>
                <w:b w:val="0"/>
                <w:bCs w:val="0"/>
                <w:sz w:val="18"/>
                <w:szCs w:val="18"/>
              </w:rPr>
              <w:t>22</w:t>
            </w:r>
          </w:p>
        </w:tc>
        <w:tc>
          <w:tcPr>
            <w:tcW w:w="1351" w:type="dxa"/>
            <w:tcBorders>
              <w:top w:val="nil"/>
              <w:left w:val="nil"/>
              <w:bottom w:val="single" w:color="auto" w:sz="4" w:space="0"/>
              <w:right w:val="single" w:color="auto" w:sz="4" w:space="0"/>
            </w:tcBorders>
            <w:vAlign w:val="center"/>
          </w:tcPr>
          <w:p w14:paraId="182175BF">
            <w:pPr>
              <w:jc w:val="center"/>
              <w:rPr>
                <w:rFonts w:hint="eastAsia" w:ascii="宋体" w:hAnsi="宋体"/>
                <w:b w:val="0"/>
                <w:bCs w:val="0"/>
                <w:sz w:val="18"/>
                <w:szCs w:val="18"/>
              </w:rPr>
            </w:pPr>
            <w:r>
              <w:rPr>
                <w:rFonts w:hint="eastAsia" w:ascii="宋体" w:hAnsi="宋体" w:cs="宋体"/>
                <w:b w:val="0"/>
                <w:bCs w:val="0"/>
                <w:color w:val="000000"/>
                <w:kern w:val="0"/>
                <w:sz w:val="18"/>
                <w:szCs w:val="18"/>
              </w:rPr>
              <w:t>工具卡</w:t>
            </w:r>
          </w:p>
        </w:tc>
        <w:tc>
          <w:tcPr>
            <w:tcW w:w="1641" w:type="dxa"/>
            <w:tcBorders>
              <w:top w:val="nil"/>
              <w:left w:val="nil"/>
              <w:bottom w:val="single" w:color="auto" w:sz="4" w:space="0"/>
              <w:right w:val="single" w:color="auto" w:sz="4" w:space="0"/>
            </w:tcBorders>
            <w:vAlign w:val="center"/>
          </w:tcPr>
          <w:p w14:paraId="56AEF0EF">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CPU卡</w:t>
            </w:r>
          </w:p>
        </w:tc>
        <w:tc>
          <w:tcPr>
            <w:tcW w:w="1470" w:type="dxa"/>
            <w:tcBorders>
              <w:top w:val="nil"/>
              <w:left w:val="nil"/>
              <w:bottom w:val="single" w:color="auto" w:sz="4" w:space="0"/>
              <w:right w:val="single" w:color="auto" w:sz="4" w:space="0"/>
            </w:tcBorders>
            <w:vAlign w:val="center"/>
          </w:tcPr>
          <w:p w14:paraId="105DE4C8">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7D1E8BF8">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17EC9598">
            <w:pPr>
              <w:jc w:val="center"/>
              <w:rPr>
                <w:rFonts w:hint="eastAsia" w:ascii="宋体" w:hAnsi="宋体"/>
                <w:b w:val="0"/>
                <w:bCs w:val="0"/>
                <w:sz w:val="18"/>
                <w:szCs w:val="18"/>
              </w:rPr>
            </w:pPr>
            <w:r>
              <w:rPr>
                <w:rFonts w:hint="eastAsia" w:ascii="宋体" w:hAnsi="宋体"/>
                <w:b w:val="0"/>
                <w:bCs w:val="0"/>
                <w:sz w:val="18"/>
                <w:szCs w:val="18"/>
              </w:rPr>
              <w:t>张</w:t>
            </w:r>
          </w:p>
        </w:tc>
        <w:tc>
          <w:tcPr>
            <w:tcW w:w="615" w:type="dxa"/>
            <w:tcBorders>
              <w:top w:val="nil"/>
              <w:left w:val="nil"/>
              <w:bottom w:val="single" w:color="auto" w:sz="4" w:space="0"/>
              <w:right w:val="single" w:color="auto" w:sz="4" w:space="0"/>
            </w:tcBorders>
            <w:vAlign w:val="center"/>
          </w:tcPr>
          <w:p w14:paraId="6A339C4B">
            <w:pPr>
              <w:jc w:val="center"/>
              <w:rPr>
                <w:rFonts w:hint="eastAsia" w:ascii="宋体" w:hAnsi="宋体"/>
                <w:b w:val="0"/>
                <w:bCs w:val="0"/>
                <w:sz w:val="18"/>
                <w:szCs w:val="18"/>
              </w:rPr>
            </w:pPr>
            <w:r>
              <w:rPr>
                <w:rFonts w:hint="eastAsia" w:ascii="宋体" w:hAnsi="宋体" w:cs="宋体"/>
                <w:b w:val="0"/>
                <w:bCs w:val="0"/>
                <w:color w:val="000000"/>
                <w:kern w:val="0"/>
                <w:sz w:val="18"/>
                <w:szCs w:val="18"/>
              </w:rPr>
              <w:t>20</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58FFCC4D">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14</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684D84C1">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280</w:t>
            </w:r>
          </w:p>
        </w:tc>
        <w:tc>
          <w:tcPr>
            <w:tcW w:w="748" w:type="dxa"/>
            <w:tcBorders>
              <w:top w:val="single" w:color="auto" w:sz="4" w:space="0"/>
              <w:left w:val="single" w:color="auto" w:sz="4" w:space="0"/>
              <w:bottom w:val="single" w:color="auto" w:sz="4" w:space="0"/>
              <w:right w:val="single" w:color="auto" w:sz="4" w:space="0"/>
            </w:tcBorders>
            <w:vAlign w:val="center"/>
          </w:tcPr>
          <w:p w14:paraId="00EAD7B4">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4C61C3F8">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DA7E80B">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29627408">
            <w:pPr>
              <w:jc w:val="center"/>
              <w:rPr>
                <w:rFonts w:hint="eastAsia" w:ascii="宋体" w:hAnsi="宋体"/>
                <w:b w:val="0"/>
                <w:bCs w:val="0"/>
                <w:sz w:val="18"/>
                <w:szCs w:val="18"/>
              </w:rPr>
            </w:pPr>
            <w:r>
              <w:rPr>
                <w:rFonts w:hint="eastAsia" w:ascii="宋体" w:hAnsi="宋体"/>
                <w:b w:val="0"/>
                <w:bCs w:val="0"/>
                <w:sz w:val="18"/>
                <w:szCs w:val="18"/>
              </w:rPr>
              <w:t>合同签订后</w:t>
            </w:r>
          </w:p>
          <w:p w14:paraId="0D7DE955">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326D149B">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1DBC5707">
            <w:pPr>
              <w:jc w:val="center"/>
              <w:rPr>
                <w:rFonts w:hint="eastAsia" w:ascii="宋体" w:hAnsi="宋体"/>
                <w:b w:val="0"/>
                <w:bCs w:val="0"/>
                <w:sz w:val="18"/>
                <w:szCs w:val="18"/>
              </w:rPr>
            </w:pPr>
          </w:p>
        </w:tc>
      </w:tr>
      <w:tr w14:paraId="6621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48039C5A">
            <w:pPr>
              <w:spacing w:line="440" w:lineRule="exact"/>
              <w:jc w:val="center"/>
              <w:rPr>
                <w:rFonts w:hint="eastAsia" w:ascii="宋体" w:hAnsi="宋体"/>
                <w:b w:val="0"/>
                <w:bCs w:val="0"/>
                <w:sz w:val="18"/>
                <w:szCs w:val="18"/>
              </w:rPr>
            </w:pPr>
            <w:r>
              <w:rPr>
                <w:rFonts w:hint="eastAsia" w:ascii="宋体" w:hAnsi="宋体"/>
                <w:b w:val="0"/>
                <w:bCs w:val="0"/>
                <w:sz w:val="18"/>
                <w:szCs w:val="18"/>
              </w:rPr>
              <w:t>23</w:t>
            </w:r>
          </w:p>
        </w:tc>
        <w:tc>
          <w:tcPr>
            <w:tcW w:w="1351" w:type="dxa"/>
            <w:tcBorders>
              <w:top w:val="nil"/>
              <w:left w:val="nil"/>
              <w:bottom w:val="single" w:color="auto" w:sz="4" w:space="0"/>
              <w:right w:val="single" w:color="auto" w:sz="4" w:space="0"/>
            </w:tcBorders>
            <w:vAlign w:val="center"/>
          </w:tcPr>
          <w:p w14:paraId="4D91F14D">
            <w:pPr>
              <w:jc w:val="center"/>
              <w:rPr>
                <w:rFonts w:hint="eastAsia" w:ascii="宋体" w:hAnsi="宋体"/>
                <w:b w:val="0"/>
                <w:bCs w:val="0"/>
                <w:sz w:val="18"/>
                <w:szCs w:val="18"/>
              </w:rPr>
            </w:pPr>
            <w:r>
              <w:rPr>
                <w:rFonts w:hint="eastAsia" w:ascii="宋体" w:hAnsi="宋体" w:cs="宋体"/>
                <w:b w:val="0"/>
                <w:bCs w:val="0"/>
                <w:color w:val="000000"/>
                <w:kern w:val="0"/>
                <w:sz w:val="18"/>
                <w:szCs w:val="18"/>
              </w:rPr>
              <w:t>应用工作站</w:t>
            </w:r>
          </w:p>
        </w:tc>
        <w:tc>
          <w:tcPr>
            <w:tcW w:w="1641" w:type="dxa"/>
            <w:tcBorders>
              <w:top w:val="nil"/>
              <w:left w:val="nil"/>
              <w:bottom w:val="single" w:color="auto" w:sz="4" w:space="0"/>
              <w:right w:val="single" w:color="auto" w:sz="4" w:space="0"/>
            </w:tcBorders>
            <w:vAlign w:val="center"/>
          </w:tcPr>
          <w:p w14:paraId="72E2F12F">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启天 M760</w:t>
            </w:r>
          </w:p>
        </w:tc>
        <w:tc>
          <w:tcPr>
            <w:tcW w:w="1470" w:type="dxa"/>
            <w:tcBorders>
              <w:top w:val="nil"/>
              <w:left w:val="nil"/>
              <w:bottom w:val="single" w:color="auto" w:sz="4" w:space="0"/>
              <w:right w:val="single" w:color="auto" w:sz="4" w:space="0"/>
            </w:tcBorders>
            <w:vAlign w:val="center"/>
          </w:tcPr>
          <w:p w14:paraId="074B8C97">
            <w:pPr>
              <w:jc w:val="center"/>
              <w:rPr>
                <w:rFonts w:hint="eastAsia" w:ascii="宋体" w:hAnsi="宋体"/>
                <w:b w:val="0"/>
                <w:bCs w:val="0"/>
                <w:sz w:val="18"/>
                <w:szCs w:val="18"/>
              </w:rPr>
            </w:pPr>
            <w:r>
              <w:rPr>
                <w:rFonts w:hint="eastAsia" w:ascii="宋体" w:hAnsi="宋体" w:cs="宋体"/>
                <w:b w:val="0"/>
                <w:bCs w:val="0"/>
                <w:color w:val="000000"/>
                <w:kern w:val="0"/>
                <w:sz w:val="18"/>
                <w:szCs w:val="18"/>
              </w:rPr>
              <w:t>联想（北京）有限公司</w:t>
            </w:r>
          </w:p>
        </w:tc>
        <w:tc>
          <w:tcPr>
            <w:tcW w:w="748" w:type="dxa"/>
            <w:tcBorders>
              <w:top w:val="nil"/>
              <w:left w:val="nil"/>
              <w:bottom w:val="single" w:color="auto" w:sz="4" w:space="0"/>
              <w:right w:val="single" w:color="auto" w:sz="4" w:space="0"/>
            </w:tcBorders>
            <w:vAlign w:val="center"/>
          </w:tcPr>
          <w:p w14:paraId="785D41B6">
            <w:pPr>
              <w:jc w:val="center"/>
              <w:rPr>
                <w:rFonts w:hint="eastAsia" w:ascii="宋体" w:hAnsi="宋体"/>
                <w:b w:val="0"/>
                <w:bCs w:val="0"/>
                <w:sz w:val="18"/>
                <w:szCs w:val="18"/>
              </w:rPr>
            </w:pPr>
            <w:r>
              <w:rPr>
                <w:rFonts w:hint="eastAsia" w:ascii="宋体" w:hAnsi="宋体" w:cs="宋体"/>
                <w:b w:val="0"/>
                <w:bCs w:val="0"/>
                <w:color w:val="000000"/>
                <w:kern w:val="0"/>
                <w:sz w:val="18"/>
                <w:szCs w:val="18"/>
              </w:rPr>
              <w:t>深圳</w:t>
            </w:r>
          </w:p>
        </w:tc>
        <w:tc>
          <w:tcPr>
            <w:tcW w:w="689" w:type="dxa"/>
            <w:tcBorders>
              <w:top w:val="single" w:color="auto" w:sz="4" w:space="0"/>
              <w:left w:val="single" w:color="auto" w:sz="4" w:space="0"/>
              <w:bottom w:val="single" w:color="auto" w:sz="4" w:space="0"/>
              <w:right w:val="single" w:color="auto" w:sz="4" w:space="0"/>
            </w:tcBorders>
            <w:vAlign w:val="center"/>
          </w:tcPr>
          <w:p w14:paraId="2CAEE08C">
            <w:pPr>
              <w:jc w:val="center"/>
              <w:rPr>
                <w:rFonts w:hint="eastAsia" w:ascii="宋体" w:hAnsi="宋体"/>
                <w:b w:val="0"/>
                <w:bCs w:val="0"/>
                <w:sz w:val="18"/>
                <w:szCs w:val="18"/>
              </w:rPr>
            </w:pPr>
            <w:r>
              <w:rPr>
                <w:rFonts w:hint="eastAsia" w:ascii="宋体" w:hAnsi="宋体"/>
                <w:b w:val="0"/>
                <w:bCs w:val="0"/>
                <w:sz w:val="18"/>
                <w:szCs w:val="18"/>
              </w:rPr>
              <w:t>台</w:t>
            </w:r>
          </w:p>
        </w:tc>
        <w:tc>
          <w:tcPr>
            <w:tcW w:w="615" w:type="dxa"/>
            <w:tcBorders>
              <w:top w:val="nil"/>
              <w:left w:val="nil"/>
              <w:bottom w:val="single" w:color="auto" w:sz="4" w:space="0"/>
              <w:right w:val="single" w:color="auto" w:sz="4" w:space="0"/>
            </w:tcBorders>
            <w:vAlign w:val="center"/>
          </w:tcPr>
          <w:p w14:paraId="4BE93765">
            <w:pPr>
              <w:jc w:val="center"/>
              <w:rPr>
                <w:rFonts w:hint="eastAsia" w:ascii="宋体" w:hAnsi="宋体"/>
                <w:b w:val="0"/>
                <w:bCs w:val="0"/>
                <w:sz w:val="18"/>
                <w:szCs w:val="18"/>
              </w:rPr>
            </w:pPr>
            <w:r>
              <w:rPr>
                <w:rFonts w:hint="eastAsia" w:ascii="宋体" w:hAnsi="宋体" w:cs="宋体"/>
                <w:b w:val="0"/>
                <w:bCs w:val="0"/>
                <w:color w:val="000000"/>
                <w:kern w:val="0"/>
                <w:sz w:val="18"/>
                <w:szCs w:val="18"/>
              </w:rPr>
              <w:t>2</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CFF040B">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4938</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6E4AF87A">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9876</w:t>
            </w:r>
          </w:p>
        </w:tc>
        <w:tc>
          <w:tcPr>
            <w:tcW w:w="748" w:type="dxa"/>
            <w:tcBorders>
              <w:top w:val="single" w:color="auto" w:sz="4" w:space="0"/>
              <w:left w:val="single" w:color="auto" w:sz="4" w:space="0"/>
              <w:bottom w:val="single" w:color="auto" w:sz="4" w:space="0"/>
              <w:right w:val="single" w:color="auto" w:sz="4" w:space="0"/>
            </w:tcBorders>
            <w:vAlign w:val="center"/>
          </w:tcPr>
          <w:p w14:paraId="4D2B6265">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146AA31F">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A009B5A">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7B10B242">
            <w:pPr>
              <w:jc w:val="center"/>
              <w:rPr>
                <w:rFonts w:hint="eastAsia" w:ascii="宋体" w:hAnsi="宋体"/>
                <w:b w:val="0"/>
                <w:bCs w:val="0"/>
                <w:sz w:val="18"/>
                <w:szCs w:val="18"/>
              </w:rPr>
            </w:pPr>
            <w:r>
              <w:rPr>
                <w:rFonts w:hint="eastAsia" w:ascii="宋体" w:hAnsi="宋体"/>
                <w:b w:val="0"/>
                <w:bCs w:val="0"/>
                <w:sz w:val="18"/>
                <w:szCs w:val="18"/>
              </w:rPr>
              <w:t>合同签订后</w:t>
            </w:r>
          </w:p>
          <w:p w14:paraId="6454A349">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1E090E53">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5C7741B8">
            <w:pPr>
              <w:jc w:val="center"/>
              <w:rPr>
                <w:rFonts w:hint="eastAsia" w:ascii="宋体" w:hAnsi="宋体"/>
                <w:b w:val="0"/>
                <w:bCs w:val="0"/>
                <w:sz w:val="18"/>
                <w:szCs w:val="18"/>
              </w:rPr>
            </w:pPr>
          </w:p>
        </w:tc>
      </w:tr>
      <w:tr w14:paraId="5EE2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1ED0557A">
            <w:pPr>
              <w:spacing w:line="440" w:lineRule="exact"/>
              <w:jc w:val="center"/>
              <w:rPr>
                <w:rFonts w:hint="eastAsia" w:ascii="宋体" w:hAnsi="宋体"/>
                <w:b w:val="0"/>
                <w:bCs w:val="0"/>
                <w:sz w:val="18"/>
                <w:szCs w:val="18"/>
              </w:rPr>
            </w:pPr>
            <w:r>
              <w:rPr>
                <w:rFonts w:hint="eastAsia" w:ascii="宋体" w:hAnsi="宋体"/>
                <w:b w:val="0"/>
                <w:bCs w:val="0"/>
                <w:sz w:val="18"/>
                <w:szCs w:val="18"/>
              </w:rPr>
              <w:t>24</w:t>
            </w:r>
          </w:p>
        </w:tc>
        <w:tc>
          <w:tcPr>
            <w:tcW w:w="1351" w:type="dxa"/>
            <w:tcBorders>
              <w:top w:val="nil"/>
              <w:left w:val="nil"/>
              <w:bottom w:val="single" w:color="auto" w:sz="4" w:space="0"/>
              <w:right w:val="single" w:color="auto" w:sz="4" w:space="0"/>
            </w:tcBorders>
            <w:vAlign w:val="center"/>
          </w:tcPr>
          <w:p w14:paraId="170DA697">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校园卡</w:t>
            </w:r>
          </w:p>
          <w:p w14:paraId="396BF9A5">
            <w:pPr>
              <w:jc w:val="center"/>
              <w:rPr>
                <w:rFonts w:hint="eastAsia" w:ascii="宋体" w:hAnsi="宋体"/>
                <w:b w:val="0"/>
                <w:bCs w:val="0"/>
                <w:sz w:val="18"/>
                <w:szCs w:val="18"/>
              </w:rPr>
            </w:pPr>
            <w:r>
              <w:rPr>
                <w:rFonts w:hint="eastAsia" w:ascii="宋体" w:hAnsi="宋体" w:cs="宋体"/>
                <w:b w:val="0"/>
                <w:bCs w:val="0"/>
                <w:color w:val="000000"/>
                <w:kern w:val="0"/>
                <w:sz w:val="18"/>
                <w:szCs w:val="18"/>
              </w:rPr>
              <w:t>读写器</w:t>
            </w:r>
          </w:p>
        </w:tc>
        <w:tc>
          <w:tcPr>
            <w:tcW w:w="1641" w:type="dxa"/>
            <w:tcBorders>
              <w:top w:val="nil"/>
              <w:left w:val="nil"/>
              <w:bottom w:val="single" w:color="auto" w:sz="4" w:space="0"/>
              <w:right w:val="single" w:color="auto" w:sz="4" w:space="0"/>
            </w:tcBorders>
            <w:vAlign w:val="center"/>
          </w:tcPr>
          <w:p w14:paraId="7E54FDFD">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E711</w:t>
            </w:r>
          </w:p>
        </w:tc>
        <w:tc>
          <w:tcPr>
            <w:tcW w:w="1470" w:type="dxa"/>
            <w:tcBorders>
              <w:top w:val="nil"/>
              <w:left w:val="nil"/>
              <w:bottom w:val="single" w:color="auto" w:sz="4" w:space="0"/>
              <w:right w:val="single" w:color="auto" w:sz="4" w:space="0"/>
            </w:tcBorders>
            <w:vAlign w:val="center"/>
          </w:tcPr>
          <w:p w14:paraId="1DA0C4F4">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3BB089CD">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7EA34A0C">
            <w:pPr>
              <w:jc w:val="center"/>
              <w:rPr>
                <w:rFonts w:hint="eastAsia" w:ascii="宋体" w:hAnsi="宋体"/>
                <w:b w:val="0"/>
                <w:bCs w:val="0"/>
                <w:sz w:val="18"/>
                <w:szCs w:val="18"/>
              </w:rPr>
            </w:pPr>
            <w:r>
              <w:rPr>
                <w:rFonts w:hint="eastAsia" w:ascii="宋体" w:hAnsi="宋体"/>
                <w:b w:val="0"/>
                <w:bCs w:val="0"/>
                <w:sz w:val="18"/>
                <w:szCs w:val="18"/>
              </w:rPr>
              <w:t>台</w:t>
            </w:r>
          </w:p>
        </w:tc>
        <w:tc>
          <w:tcPr>
            <w:tcW w:w="615" w:type="dxa"/>
            <w:tcBorders>
              <w:top w:val="nil"/>
              <w:left w:val="nil"/>
              <w:bottom w:val="single" w:color="auto" w:sz="4" w:space="0"/>
              <w:right w:val="single" w:color="auto" w:sz="4" w:space="0"/>
            </w:tcBorders>
            <w:vAlign w:val="center"/>
          </w:tcPr>
          <w:p w14:paraId="595CA0A0">
            <w:pPr>
              <w:jc w:val="center"/>
              <w:rPr>
                <w:rFonts w:hint="eastAsia" w:ascii="宋体" w:hAnsi="宋体"/>
                <w:b w:val="0"/>
                <w:bCs w:val="0"/>
                <w:sz w:val="18"/>
                <w:szCs w:val="18"/>
              </w:rPr>
            </w:pPr>
            <w:r>
              <w:rPr>
                <w:rFonts w:hint="eastAsia" w:ascii="宋体" w:hAnsi="宋体" w:cs="宋体"/>
                <w:b w:val="0"/>
                <w:bCs w:val="0"/>
                <w:color w:val="000000"/>
                <w:kern w:val="0"/>
                <w:sz w:val="18"/>
                <w:szCs w:val="18"/>
              </w:rPr>
              <w:t>10</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518AF41D">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8</w:t>
            </w:r>
            <w:r>
              <w:rPr>
                <w:rFonts w:hint="eastAsia" w:ascii="微软雅黑" w:hAnsi="微软雅黑" w:eastAsia="微软雅黑"/>
                <w:b w:val="0"/>
                <w:bCs w:val="0"/>
                <w:color w:val="000000"/>
                <w:sz w:val="18"/>
                <w:szCs w:val="18"/>
                <w:lang w:val="en-US" w:eastAsia="zh-CN"/>
              </w:rPr>
              <w:t>8</w:t>
            </w:r>
            <w:r>
              <w:rPr>
                <w:rFonts w:hint="eastAsia" w:ascii="微软雅黑" w:hAnsi="微软雅黑" w:eastAsia="微软雅黑"/>
                <w:b w:val="0"/>
                <w:bCs w:val="0"/>
                <w:color w:val="000000"/>
                <w:sz w:val="18"/>
                <w:szCs w:val="18"/>
              </w:rPr>
              <w:t>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5AC3DC24">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8870</w:t>
            </w:r>
          </w:p>
        </w:tc>
        <w:tc>
          <w:tcPr>
            <w:tcW w:w="748" w:type="dxa"/>
            <w:tcBorders>
              <w:top w:val="single" w:color="auto" w:sz="4" w:space="0"/>
              <w:left w:val="single" w:color="auto" w:sz="4" w:space="0"/>
              <w:bottom w:val="single" w:color="auto" w:sz="4" w:space="0"/>
              <w:right w:val="single" w:color="auto" w:sz="4" w:space="0"/>
            </w:tcBorders>
            <w:vAlign w:val="center"/>
          </w:tcPr>
          <w:p w14:paraId="26E14897">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2BAA97D5">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4A8F8B16">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36B9DFF1">
            <w:pPr>
              <w:jc w:val="center"/>
              <w:rPr>
                <w:rFonts w:hint="eastAsia" w:ascii="宋体" w:hAnsi="宋体"/>
                <w:b w:val="0"/>
                <w:bCs w:val="0"/>
                <w:sz w:val="18"/>
                <w:szCs w:val="18"/>
              </w:rPr>
            </w:pPr>
            <w:r>
              <w:rPr>
                <w:rFonts w:hint="eastAsia" w:ascii="宋体" w:hAnsi="宋体"/>
                <w:b w:val="0"/>
                <w:bCs w:val="0"/>
                <w:sz w:val="18"/>
                <w:szCs w:val="18"/>
              </w:rPr>
              <w:t>合同签订后</w:t>
            </w:r>
          </w:p>
          <w:p w14:paraId="7FD7BA7B">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121A0BAE">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0C3EC398">
            <w:pPr>
              <w:jc w:val="center"/>
              <w:rPr>
                <w:rFonts w:hint="eastAsia" w:ascii="宋体" w:hAnsi="宋体"/>
                <w:b w:val="0"/>
                <w:bCs w:val="0"/>
                <w:sz w:val="18"/>
                <w:szCs w:val="18"/>
              </w:rPr>
            </w:pPr>
          </w:p>
        </w:tc>
      </w:tr>
      <w:tr w14:paraId="5583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68C998F8">
            <w:pPr>
              <w:spacing w:line="440" w:lineRule="exact"/>
              <w:jc w:val="center"/>
              <w:rPr>
                <w:rFonts w:hint="eastAsia" w:ascii="宋体" w:hAnsi="宋体"/>
                <w:b w:val="0"/>
                <w:bCs w:val="0"/>
                <w:sz w:val="18"/>
                <w:szCs w:val="18"/>
              </w:rPr>
            </w:pPr>
            <w:r>
              <w:rPr>
                <w:rFonts w:hint="eastAsia" w:ascii="宋体" w:hAnsi="宋体"/>
                <w:b w:val="0"/>
                <w:bCs w:val="0"/>
                <w:sz w:val="18"/>
                <w:szCs w:val="18"/>
              </w:rPr>
              <w:t>25</w:t>
            </w:r>
          </w:p>
        </w:tc>
        <w:tc>
          <w:tcPr>
            <w:tcW w:w="1351" w:type="dxa"/>
            <w:tcBorders>
              <w:top w:val="nil"/>
              <w:left w:val="nil"/>
              <w:bottom w:val="single" w:color="auto" w:sz="4" w:space="0"/>
              <w:right w:val="single" w:color="auto" w:sz="4" w:space="0"/>
            </w:tcBorders>
            <w:vAlign w:val="center"/>
          </w:tcPr>
          <w:p w14:paraId="18FE49F2">
            <w:pPr>
              <w:jc w:val="center"/>
              <w:rPr>
                <w:rFonts w:hint="eastAsia" w:ascii="宋体" w:hAnsi="宋体"/>
                <w:b w:val="0"/>
                <w:bCs w:val="0"/>
                <w:sz w:val="18"/>
                <w:szCs w:val="18"/>
              </w:rPr>
            </w:pPr>
            <w:r>
              <w:rPr>
                <w:rFonts w:hint="eastAsia" w:ascii="宋体" w:hAnsi="宋体" w:cs="宋体"/>
                <w:b w:val="0"/>
                <w:bCs w:val="0"/>
                <w:color w:val="000000"/>
                <w:kern w:val="0"/>
                <w:sz w:val="18"/>
                <w:szCs w:val="18"/>
              </w:rPr>
              <w:t>多功能POS机（台式）</w:t>
            </w:r>
          </w:p>
        </w:tc>
        <w:tc>
          <w:tcPr>
            <w:tcW w:w="1641" w:type="dxa"/>
            <w:tcBorders>
              <w:top w:val="nil"/>
              <w:left w:val="nil"/>
              <w:bottom w:val="single" w:color="auto" w:sz="4" w:space="0"/>
              <w:right w:val="single" w:color="auto" w:sz="4" w:space="0"/>
            </w:tcBorders>
            <w:vAlign w:val="center"/>
          </w:tcPr>
          <w:p w14:paraId="6E67994F">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A732</w:t>
            </w:r>
          </w:p>
        </w:tc>
        <w:tc>
          <w:tcPr>
            <w:tcW w:w="1470" w:type="dxa"/>
            <w:tcBorders>
              <w:top w:val="nil"/>
              <w:left w:val="nil"/>
              <w:bottom w:val="single" w:color="auto" w:sz="4" w:space="0"/>
              <w:right w:val="single" w:color="auto" w:sz="4" w:space="0"/>
            </w:tcBorders>
            <w:vAlign w:val="center"/>
          </w:tcPr>
          <w:p w14:paraId="17716815">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74B2B52F">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06DDB7D3">
            <w:pPr>
              <w:jc w:val="center"/>
              <w:rPr>
                <w:rFonts w:hint="eastAsia" w:ascii="宋体" w:hAnsi="宋体"/>
                <w:b w:val="0"/>
                <w:bCs w:val="0"/>
                <w:sz w:val="18"/>
                <w:szCs w:val="18"/>
              </w:rPr>
            </w:pPr>
            <w:r>
              <w:rPr>
                <w:rFonts w:hint="eastAsia" w:ascii="宋体" w:hAnsi="宋体"/>
                <w:b w:val="0"/>
                <w:bCs w:val="0"/>
                <w:sz w:val="18"/>
                <w:szCs w:val="18"/>
              </w:rPr>
              <w:t>台</w:t>
            </w:r>
          </w:p>
        </w:tc>
        <w:tc>
          <w:tcPr>
            <w:tcW w:w="615" w:type="dxa"/>
            <w:tcBorders>
              <w:top w:val="nil"/>
              <w:left w:val="nil"/>
              <w:bottom w:val="single" w:color="auto" w:sz="4" w:space="0"/>
              <w:right w:val="single" w:color="auto" w:sz="4" w:space="0"/>
            </w:tcBorders>
            <w:vAlign w:val="center"/>
          </w:tcPr>
          <w:p w14:paraId="02E1D4ED">
            <w:pPr>
              <w:jc w:val="center"/>
              <w:rPr>
                <w:rFonts w:hint="eastAsia" w:ascii="宋体" w:hAnsi="宋体"/>
                <w:b w:val="0"/>
                <w:bCs w:val="0"/>
                <w:sz w:val="18"/>
                <w:szCs w:val="18"/>
              </w:rPr>
            </w:pPr>
            <w:r>
              <w:rPr>
                <w:rFonts w:hint="eastAsia" w:ascii="宋体" w:hAnsi="宋体" w:cs="宋体"/>
                <w:b w:val="0"/>
                <w:bCs w:val="0"/>
                <w:color w:val="000000"/>
                <w:kern w:val="0"/>
                <w:sz w:val="18"/>
                <w:szCs w:val="18"/>
              </w:rPr>
              <w:t>248</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2CB22F36">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2963</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4AC9FD6A">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734824</w:t>
            </w:r>
          </w:p>
        </w:tc>
        <w:tc>
          <w:tcPr>
            <w:tcW w:w="748" w:type="dxa"/>
            <w:tcBorders>
              <w:top w:val="single" w:color="auto" w:sz="4" w:space="0"/>
              <w:left w:val="single" w:color="auto" w:sz="4" w:space="0"/>
              <w:bottom w:val="single" w:color="auto" w:sz="4" w:space="0"/>
              <w:right w:val="single" w:color="auto" w:sz="4" w:space="0"/>
            </w:tcBorders>
            <w:vAlign w:val="center"/>
          </w:tcPr>
          <w:p w14:paraId="420BB156">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559F0450">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0754342">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2AECF496">
            <w:pPr>
              <w:jc w:val="center"/>
              <w:rPr>
                <w:rFonts w:hint="eastAsia" w:ascii="宋体" w:hAnsi="宋体"/>
                <w:b w:val="0"/>
                <w:bCs w:val="0"/>
                <w:sz w:val="18"/>
                <w:szCs w:val="18"/>
              </w:rPr>
            </w:pPr>
            <w:r>
              <w:rPr>
                <w:rFonts w:hint="eastAsia" w:ascii="宋体" w:hAnsi="宋体"/>
                <w:b w:val="0"/>
                <w:bCs w:val="0"/>
                <w:sz w:val="18"/>
                <w:szCs w:val="18"/>
              </w:rPr>
              <w:t>合同签订后</w:t>
            </w:r>
          </w:p>
          <w:p w14:paraId="3DA21EC8">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0F83B667">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4AF9356E">
            <w:pPr>
              <w:jc w:val="center"/>
              <w:rPr>
                <w:rFonts w:hint="eastAsia" w:ascii="宋体" w:hAnsi="宋体"/>
                <w:b w:val="0"/>
                <w:bCs w:val="0"/>
                <w:sz w:val="18"/>
                <w:szCs w:val="18"/>
              </w:rPr>
            </w:pPr>
          </w:p>
        </w:tc>
      </w:tr>
      <w:tr w14:paraId="7A11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29AD1F20">
            <w:pPr>
              <w:spacing w:line="440" w:lineRule="exact"/>
              <w:jc w:val="center"/>
              <w:rPr>
                <w:rFonts w:hint="eastAsia" w:ascii="宋体" w:hAnsi="宋体"/>
                <w:b w:val="0"/>
                <w:bCs w:val="0"/>
                <w:sz w:val="18"/>
                <w:szCs w:val="18"/>
              </w:rPr>
            </w:pPr>
            <w:r>
              <w:rPr>
                <w:rFonts w:hint="eastAsia" w:ascii="宋体" w:hAnsi="宋体"/>
                <w:b w:val="0"/>
                <w:bCs w:val="0"/>
                <w:sz w:val="18"/>
                <w:szCs w:val="18"/>
              </w:rPr>
              <w:t>26</w:t>
            </w:r>
          </w:p>
        </w:tc>
        <w:tc>
          <w:tcPr>
            <w:tcW w:w="1351" w:type="dxa"/>
            <w:tcBorders>
              <w:top w:val="nil"/>
              <w:left w:val="nil"/>
              <w:bottom w:val="single" w:color="auto" w:sz="4" w:space="0"/>
              <w:right w:val="single" w:color="auto" w:sz="4" w:space="0"/>
            </w:tcBorders>
            <w:vAlign w:val="center"/>
          </w:tcPr>
          <w:p w14:paraId="718FD25C">
            <w:pPr>
              <w:jc w:val="center"/>
              <w:rPr>
                <w:rFonts w:hint="eastAsia" w:ascii="宋体" w:hAnsi="宋体"/>
                <w:b w:val="0"/>
                <w:bCs w:val="0"/>
                <w:sz w:val="18"/>
                <w:szCs w:val="18"/>
              </w:rPr>
            </w:pPr>
            <w:r>
              <w:rPr>
                <w:rFonts w:hint="eastAsia" w:ascii="宋体" w:hAnsi="宋体" w:cs="宋体"/>
                <w:b w:val="0"/>
                <w:bCs w:val="0"/>
                <w:color w:val="000000"/>
                <w:kern w:val="0"/>
                <w:sz w:val="18"/>
                <w:szCs w:val="18"/>
              </w:rPr>
              <w:t>光模块</w:t>
            </w:r>
          </w:p>
        </w:tc>
        <w:tc>
          <w:tcPr>
            <w:tcW w:w="1641" w:type="dxa"/>
            <w:tcBorders>
              <w:top w:val="nil"/>
              <w:left w:val="nil"/>
              <w:bottom w:val="single" w:color="auto" w:sz="4" w:space="0"/>
              <w:right w:val="single" w:color="auto" w:sz="4" w:space="0"/>
            </w:tcBorders>
            <w:vAlign w:val="center"/>
          </w:tcPr>
          <w:p w14:paraId="3585F50E">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单模</w:t>
            </w:r>
          </w:p>
        </w:tc>
        <w:tc>
          <w:tcPr>
            <w:tcW w:w="1470" w:type="dxa"/>
            <w:tcBorders>
              <w:top w:val="nil"/>
              <w:left w:val="nil"/>
              <w:bottom w:val="single" w:color="auto" w:sz="4" w:space="0"/>
              <w:right w:val="single" w:color="auto" w:sz="4" w:space="0"/>
            </w:tcBorders>
            <w:vAlign w:val="center"/>
          </w:tcPr>
          <w:p w14:paraId="6F16E7A2">
            <w:pPr>
              <w:jc w:val="center"/>
              <w:rPr>
                <w:rFonts w:hint="eastAsia" w:ascii="宋体" w:hAnsi="宋体"/>
                <w:b w:val="0"/>
                <w:bCs w:val="0"/>
                <w:sz w:val="18"/>
                <w:szCs w:val="18"/>
              </w:rPr>
            </w:pPr>
            <w:r>
              <w:rPr>
                <w:rFonts w:hint="eastAsia" w:ascii="宋体" w:hAnsi="宋体" w:cs="宋体"/>
                <w:b w:val="0"/>
                <w:bCs w:val="0"/>
                <w:color w:val="000000"/>
                <w:kern w:val="0"/>
                <w:sz w:val="18"/>
                <w:szCs w:val="18"/>
              </w:rPr>
              <w:t>新华三技术有限公司</w:t>
            </w:r>
          </w:p>
        </w:tc>
        <w:tc>
          <w:tcPr>
            <w:tcW w:w="748" w:type="dxa"/>
            <w:tcBorders>
              <w:top w:val="nil"/>
              <w:left w:val="nil"/>
              <w:bottom w:val="single" w:color="auto" w:sz="4" w:space="0"/>
              <w:right w:val="single" w:color="auto" w:sz="4" w:space="0"/>
            </w:tcBorders>
            <w:vAlign w:val="center"/>
          </w:tcPr>
          <w:p w14:paraId="5CC131FA">
            <w:pPr>
              <w:jc w:val="center"/>
              <w:rPr>
                <w:rFonts w:hint="eastAsia" w:ascii="宋体" w:hAnsi="宋体"/>
                <w:b w:val="0"/>
                <w:bCs w:val="0"/>
                <w:sz w:val="18"/>
                <w:szCs w:val="18"/>
              </w:rPr>
            </w:pPr>
            <w:r>
              <w:rPr>
                <w:rFonts w:hint="eastAsia" w:ascii="宋体" w:hAnsi="宋体" w:cs="宋体"/>
                <w:b w:val="0"/>
                <w:bCs w:val="0"/>
                <w:color w:val="000000"/>
                <w:kern w:val="0"/>
                <w:sz w:val="18"/>
                <w:szCs w:val="18"/>
              </w:rPr>
              <w:t>杭州</w:t>
            </w:r>
          </w:p>
        </w:tc>
        <w:tc>
          <w:tcPr>
            <w:tcW w:w="689" w:type="dxa"/>
            <w:tcBorders>
              <w:top w:val="single" w:color="auto" w:sz="4" w:space="0"/>
              <w:left w:val="single" w:color="auto" w:sz="4" w:space="0"/>
              <w:bottom w:val="single" w:color="auto" w:sz="4" w:space="0"/>
              <w:right w:val="single" w:color="auto" w:sz="4" w:space="0"/>
            </w:tcBorders>
            <w:vAlign w:val="center"/>
          </w:tcPr>
          <w:p w14:paraId="7AA73509">
            <w:pPr>
              <w:jc w:val="center"/>
              <w:rPr>
                <w:rFonts w:hint="eastAsia" w:ascii="宋体" w:hAnsi="宋体"/>
                <w:b w:val="0"/>
                <w:bCs w:val="0"/>
                <w:sz w:val="18"/>
                <w:szCs w:val="18"/>
              </w:rPr>
            </w:pPr>
            <w:r>
              <w:rPr>
                <w:rFonts w:hint="eastAsia" w:ascii="宋体" w:hAnsi="宋体"/>
                <w:b w:val="0"/>
                <w:bCs w:val="0"/>
                <w:sz w:val="18"/>
                <w:szCs w:val="18"/>
              </w:rPr>
              <w:t>个</w:t>
            </w:r>
          </w:p>
        </w:tc>
        <w:tc>
          <w:tcPr>
            <w:tcW w:w="615" w:type="dxa"/>
            <w:tcBorders>
              <w:top w:val="nil"/>
              <w:left w:val="nil"/>
              <w:bottom w:val="single" w:color="auto" w:sz="4" w:space="0"/>
              <w:right w:val="single" w:color="auto" w:sz="4" w:space="0"/>
            </w:tcBorders>
            <w:vAlign w:val="center"/>
          </w:tcPr>
          <w:p w14:paraId="7BAA85B7">
            <w:pPr>
              <w:jc w:val="center"/>
              <w:rPr>
                <w:rFonts w:hint="eastAsia" w:ascii="宋体" w:hAnsi="宋体"/>
                <w:b w:val="0"/>
                <w:bCs w:val="0"/>
                <w:sz w:val="18"/>
                <w:szCs w:val="18"/>
              </w:rPr>
            </w:pPr>
            <w:r>
              <w:rPr>
                <w:rFonts w:hint="eastAsia" w:ascii="宋体" w:hAnsi="宋体" w:cs="宋体"/>
                <w:b w:val="0"/>
                <w:bCs w:val="0"/>
                <w:color w:val="000000"/>
                <w:kern w:val="0"/>
                <w:sz w:val="18"/>
                <w:szCs w:val="18"/>
              </w:rPr>
              <w:t>30</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57D8A99A">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457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2DEF56FB">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13710</w:t>
            </w:r>
          </w:p>
        </w:tc>
        <w:tc>
          <w:tcPr>
            <w:tcW w:w="748" w:type="dxa"/>
            <w:tcBorders>
              <w:top w:val="single" w:color="auto" w:sz="4" w:space="0"/>
              <w:left w:val="single" w:color="auto" w:sz="4" w:space="0"/>
              <w:bottom w:val="single" w:color="auto" w:sz="4" w:space="0"/>
              <w:right w:val="single" w:color="auto" w:sz="4" w:space="0"/>
            </w:tcBorders>
            <w:vAlign w:val="center"/>
          </w:tcPr>
          <w:p w14:paraId="51E8B373">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67391B91">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14E36CE2">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3E51E96C">
            <w:pPr>
              <w:jc w:val="center"/>
              <w:rPr>
                <w:rFonts w:hint="eastAsia" w:ascii="宋体" w:hAnsi="宋体"/>
                <w:b w:val="0"/>
                <w:bCs w:val="0"/>
                <w:sz w:val="18"/>
                <w:szCs w:val="18"/>
              </w:rPr>
            </w:pPr>
            <w:r>
              <w:rPr>
                <w:rFonts w:hint="eastAsia" w:ascii="宋体" w:hAnsi="宋体"/>
                <w:b w:val="0"/>
                <w:bCs w:val="0"/>
                <w:sz w:val="18"/>
                <w:szCs w:val="18"/>
              </w:rPr>
              <w:t>合同签订后</w:t>
            </w:r>
          </w:p>
          <w:p w14:paraId="73D4E075">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48B3D7D9">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366C76AD">
            <w:pPr>
              <w:jc w:val="center"/>
              <w:rPr>
                <w:rFonts w:hint="eastAsia" w:ascii="宋体" w:hAnsi="宋体"/>
                <w:b w:val="0"/>
                <w:bCs w:val="0"/>
                <w:sz w:val="18"/>
                <w:szCs w:val="18"/>
              </w:rPr>
            </w:pPr>
          </w:p>
        </w:tc>
      </w:tr>
      <w:tr w14:paraId="131D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0A8E39A7">
            <w:pPr>
              <w:spacing w:line="440" w:lineRule="exact"/>
              <w:jc w:val="center"/>
              <w:rPr>
                <w:rFonts w:hint="eastAsia" w:ascii="宋体" w:hAnsi="宋体"/>
                <w:b w:val="0"/>
                <w:bCs w:val="0"/>
                <w:sz w:val="18"/>
                <w:szCs w:val="18"/>
              </w:rPr>
            </w:pPr>
            <w:r>
              <w:rPr>
                <w:rFonts w:hint="eastAsia" w:ascii="宋体" w:hAnsi="宋体"/>
                <w:b w:val="0"/>
                <w:bCs w:val="0"/>
                <w:sz w:val="18"/>
                <w:szCs w:val="18"/>
              </w:rPr>
              <w:t>27</w:t>
            </w:r>
          </w:p>
        </w:tc>
        <w:tc>
          <w:tcPr>
            <w:tcW w:w="1351" w:type="dxa"/>
            <w:tcBorders>
              <w:top w:val="nil"/>
              <w:left w:val="nil"/>
              <w:bottom w:val="single" w:color="auto" w:sz="4" w:space="0"/>
              <w:right w:val="single" w:color="auto" w:sz="4" w:space="0"/>
            </w:tcBorders>
            <w:vAlign w:val="center"/>
          </w:tcPr>
          <w:p w14:paraId="0D46760A">
            <w:pPr>
              <w:jc w:val="center"/>
              <w:rPr>
                <w:rFonts w:hint="eastAsia" w:ascii="宋体" w:hAnsi="宋体"/>
                <w:b w:val="0"/>
                <w:bCs w:val="0"/>
                <w:sz w:val="18"/>
                <w:szCs w:val="18"/>
              </w:rPr>
            </w:pPr>
            <w:r>
              <w:rPr>
                <w:rFonts w:hint="eastAsia" w:ascii="宋体" w:hAnsi="宋体" w:cs="宋体"/>
                <w:b w:val="0"/>
                <w:bCs w:val="0"/>
                <w:color w:val="000000"/>
                <w:kern w:val="0"/>
                <w:sz w:val="18"/>
                <w:szCs w:val="18"/>
              </w:rPr>
              <w:t>接入交换机</w:t>
            </w:r>
          </w:p>
        </w:tc>
        <w:tc>
          <w:tcPr>
            <w:tcW w:w="1641" w:type="dxa"/>
            <w:tcBorders>
              <w:top w:val="nil"/>
              <w:left w:val="nil"/>
              <w:bottom w:val="single" w:color="auto" w:sz="4" w:space="0"/>
              <w:right w:val="single" w:color="auto" w:sz="4" w:space="0"/>
            </w:tcBorders>
            <w:vAlign w:val="center"/>
          </w:tcPr>
          <w:p w14:paraId="632B2437">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S7503X-G</w:t>
            </w:r>
          </w:p>
        </w:tc>
        <w:tc>
          <w:tcPr>
            <w:tcW w:w="1470" w:type="dxa"/>
            <w:tcBorders>
              <w:top w:val="nil"/>
              <w:left w:val="nil"/>
              <w:bottom w:val="single" w:color="auto" w:sz="4" w:space="0"/>
              <w:right w:val="single" w:color="auto" w:sz="4" w:space="0"/>
            </w:tcBorders>
            <w:vAlign w:val="center"/>
          </w:tcPr>
          <w:p w14:paraId="09192FDF">
            <w:pPr>
              <w:jc w:val="center"/>
              <w:rPr>
                <w:rFonts w:hint="eastAsia" w:ascii="宋体" w:hAnsi="宋体"/>
                <w:b w:val="0"/>
                <w:bCs w:val="0"/>
                <w:sz w:val="18"/>
                <w:szCs w:val="18"/>
              </w:rPr>
            </w:pPr>
            <w:r>
              <w:rPr>
                <w:rFonts w:hint="eastAsia" w:ascii="宋体" w:hAnsi="宋体" w:cs="宋体"/>
                <w:b w:val="0"/>
                <w:bCs w:val="0"/>
                <w:color w:val="000000"/>
                <w:kern w:val="0"/>
                <w:sz w:val="18"/>
                <w:szCs w:val="18"/>
              </w:rPr>
              <w:t>新华三技术有限公司</w:t>
            </w:r>
          </w:p>
        </w:tc>
        <w:tc>
          <w:tcPr>
            <w:tcW w:w="748" w:type="dxa"/>
            <w:tcBorders>
              <w:top w:val="nil"/>
              <w:left w:val="nil"/>
              <w:bottom w:val="single" w:color="auto" w:sz="4" w:space="0"/>
              <w:right w:val="single" w:color="auto" w:sz="4" w:space="0"/>
            </w:tcBorders>
            <w:vAlign w:val="center"/>
          </w:tcPr>
          <w:p w14:paraId="264E21FB">
            <w:pPr>
              <w:jc w:val="center"/>
              <w:rPr>
                <w:rFonts w:hint="eastAsia" w:ascii="宋体" w:hAnsi="宋体"/>
                <w:b w:val="0"/>
                <w:bCs w:val="0"/>
                <w:sz w:val="18"/>
                <w:szCs w:val="18"/>
              </w:rPr>
            </w:pPr>
            <w:r>
              <w:rPr>
                <w:rFonts w:hint="eastAsia" w:ascii="宋体" w:hAnsi="宋体" w:cs="宋体"/>
                <w:b w:val="0"/>
                <w:bCs w:val="0"/>
                <w:color w:val="000000"/>
                <w:kern w:val="0"/>
                <w:sz w:val="18"/>
                <w:szCs w:val="18"/>
              </w:rPr>
              <w:t>杭州</w:t>
            </w:r>
          </w:p>
        </w:tc>
        <w:tc>
          <w:tcPr>
            <w:tcW w:w="689" w:type="dxa"/>
            <w:tcBorders>
              <w:top w:val="single" w:color="auto" w:sz="4" w:space="0"/>
              <w:left w:val="single" w:color="auto" w:sz="4" w:space="0"/>
              <w:bottom w:val="single" w:color="auto" w:sz="4" w:space="0"/>
              <w:right w:val="single" w:color="auto" w:sz="4" w:space="0"/>
            </w:tcBorders>
            <w:vAlign w:val="center"/>
          </w:tcPr>
          <w:p w14:paraId="1E7A54DB">
            <w:pPr>
              <w:jc w:val="center"/>
              <w:rPr>
                <w:rFonts w:hint="eastAsia" w:ascii="宋体" w:hAnsi="宋体"/>
                <w:b w:val="0"/>
                <w:bCs w:val="0"/>
                <w:sz w:val="18"/>
                <w:szCs w:val="18"/>
              </w:rPr>
            </w:pPr>
            <w:r>
              <w:rPr>
                <w:rFonts w:hint="eastAsia" w:ascii="宋体" w:hAnsi="宋体"/>
                <w:b w:val="0"/>
                <w:bCs w:val="0"/>
                <w:sz w:val="18"/>
                <w:szCs w:val="18"/>
              </w:rPr>
              <w:t>台</w:t>
            </w:r>
          </w:p>
        </w:tc>
        <w:tc>
          <w:tcPr>
            <w:tcW w:w="615" w:type="dxa"/>
            <w:tcBorders>
              <w:top w:val="nil"/>
              <w:left w:val="nil"/>
              <w:bottom w:val="single" w:color="auto" w:sz="4" w:space="0"/>
              <w:right w:val="single" w:color="auto" w:sz="4" w:space="0"/>
            </w:tcBorders>
            <w:vAlign w:val="center"/>
          </w:tcPr>
          <w:p w14:paraId="561611A6">
            <w:pPr>
              <w:jc w:val="center"/>
              <w:rPr>
                <w:rFonts w:hint="eastAsia" w:ascii="宋体" w:hAnsi="宋体"/>
                <w:b w:val="0"/>
                <w:bCs w:val="0"/>
                <w:sz w:val="18"/>
                <w:szCs w:val="18"/>
              </w:rPr>
            </w:pPr>
            <w:r>
              <w:rPr>
                <w:rFonts w:hint="eastAsia" w:ascii="宋体" w:hAnsi="宋体" w:cs="宋体"/>
                <w:b w:val="0"/>
                <w:bCs w:val="0"/>
                <w:color w:val="000000"/>
                <w:kern w:val="0"/>
                <w:sz w:val="18"/>
                <w:szCs w:val="18"/>
              </w:rPr>
              <w:t>15</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27B00112">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34562</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2625DB5E">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518430</w:t>
            </w:r>
          </w:p>
        </w:tc>
        <w:tc>
          <w:tcPr>
            <w:tcW w:w="748" w:type="dxa"/>
            <w:tcBorders>
              <w:top w:val="single" w:color="auto" w:sz="4" w:space="0"/>
              <w:left w:val="single" w:color="auto" w:sz="4" w:space="0"/>
              <w:bottom w:val="single" w:color="auto" w:sz="4" w:space="0"/>
              <w:right w:val="single" w:color="auto" w:sz="4" w:space="0"/>
            </w:tcBorders>
            <w:vAlign w:val="center"/>
          </w:tcPr>
          <w:p w14:paraId="155D7819">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3DD50D7B">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3172FC94">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3E1E068F">
            <w:pPr>
              <w:jc w:val="center"/>
              <w:rPr>
                <w:rFonts w:hint="eastAsia" w:ascii="宋体" w:hAnsi="宋体"/>
                <w:b w:val="0"/>
                <w:bCs w:val="0"/>
                <w:sz w:val="18"/>
                <w:szCs w:val="18"/>
              </w:rPr>
            </w:pPr>
            <w:r>
              <w:rPr>
                <w:rFonts w:hint="eastAsia" w:ascii="宋体" w:hAnsi="宋体"/>
                <w:b w:val="0"/>
                <w:bCs w:val="0"/>
                <w:sz w:val="18"/>
                <w:szCs w:val="18"/>
              </w:rPr>
              <w:t>合同签订后</w:t>
            </w:r>
          </w:p>
          <w:p w14:paraId="23508BE4">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6413604D">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566245D5">
            <w:pPr>
              <w:jc w:val="center"/>
              <w:rPr>
                <w:rFonts w:hint="eastAsia" w:ascii="宋体" w:hAnsi="宋体"/>
                <w:b w:val="0"/>
                <w:bCs w:val="0"/>
                <w:sz w:val="18"/>
                <w:szCs w:val="18"/>
              </w:rPr>
            </w:pPr>
          </w:p>
        </w:tc>
      </w:tr>
      <w:tr w14:paraId="5E93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0367C774">
            <w:pPr>
              <w:spacing w:line="440" w:lineRule="exact"/>
              <w:jc w:val="center"/>
              <w:rPr>
                <w:rFonts w:hint="eastAsia" w:ascii="宋体" w:hAnsi="宋体"/>
                <w:b w:val="0"/>
                <w:bCs w:val="0"/>
                <w:sz w:val="18"/>
                <w:szCs w:val="18"/>
              </w:rPr>
            </w:pPr>
            <w:r>
              <w:rPr>
                <w:rFonts w:hint="eastAsia" w:ascii="宋体" w:hAnsi="宋体"/>
                <w:b w:val="0"/>
                <w:bCs w:val="0"/>
                <w:sz w:val="18"/>
                <w:szCs w:val="18"/>
              </w:rPr>
              <w:t>28</w:t>
            </w:r>
          </w:p>
        </w:tc>
        <w:tc>
          <w:tcPr>
            <w:tcW w:w="1351" w:type="dxa"/>
            <w:tcBorders>
              <w:top w:val="nil"/>
              <w:left w:val="nil"/>
              <w:bottom w:val="single" w:color="auto" w:sz="4" w:space="0"/>
              <w:right w:val="single" w:color="auto" w:sz="4" w:space="0"/>
            </w:tcBorders>
            <w:vAlign w:val="center"/>
          </w:tcPr>
          <w:p w14:paraId="559FA57F">
            <w:pPr>
              <w:jc w:val="center"/>
              <w:rPr>
                <w:rFonts w:hint="eastAsia" w:ascii="宋体" w:hAnsi="宋体" w:cs="宋体"/>
                <w:b w:val="0"/>
                <w:bCs w:val="0"/>
                <w:color w:val="000000"/>
                <w:kern w:val="0"/>
                <w:sz w:val="18"/>
                <w:szCs w:val="18"/>
              </w:rPr>
            </w:pPr>
            <w:r>
              <w:rPr>
                <w:rFonts w:hint="eastAsia" w:ascii="宋体" w:hAnsi="宋体" w:cs="宋体"/>
                <w:b w:val="0"/>
                <w:bCs w:val="0"/>
                <w:color w:val="000000"/>
                <w:kern w:val="0"/>
                <w:sz w:val="18"/>
                <w:szCs w:val="18"/>
              </w:rPr>
              <w:t>人脸识别</w:t>
            </w:r>
          </w:p>
          <w:p w14:paraId="3F5B5E5E">
            <w:pPr>
              <w:jc w:val="center"/>
              <w:rPr>
                <w:rFonts w:hint="eastAsia" w:ascii="宋体" w:hAnsi="宋体"/>
                <w:b w:val="0"/>
                <w:bCs w:val="0"/>
                <w:sz w:val="18"/>
                <w:szCs w:val="18"/>
              </w:rPr>
            </w:pPr>
            <w:r>
              <w:rPr>
                <w:rFonts w:hint="eastAsia" w:ascii="宋体" w:hAnsi="宋体" w:cs="宋体"/>
                <w:b w:val="0"/>
                <w:bCs w:val="0"/>
                <w:color w:val="000000"/>
                <w:kern w:val="0"/>
                <w:sz w:val="18"/>
                <w:szCs w:val="18"/>
              </w:rPr>
              <w:t>平板</w:t>
            </w:r>
          </w:p>
        </w:tc>
        <w:tc>
          <w:tcPr>
            <w:tcW w:w="1641" w:type="dxa"/>
            <w:tcBorders>
              <w:top w:val="nil"/>
              <w:left w:val="nil"/>
              <w:bottom w:val="single" w:color="auto" w:sz="4" w:space="0"/>
              <w:right w:val="single" w:color="auto" w:sz="4" w:space="0"/>
            </w:tcBorders>
            <w:vAlign w:val="center"/>
          </w:tcPr>
          <w:p w14:paraId="2F4022F4">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F961</w:t>
            </w:r>
          </w:p>
        </w:tc>
        <w:tc>
          <w:tcPr>
            <w:tcW w:w="1470" w:type="dxa"/>
            <w:tcBorders>
              <w:top w:val="nil"/>
              <w:left w:val="nil"/>
              <w:bottom w:val="single" w:color="auto" w:sz="4" w:space="0"/>
              <w:right w:val="single" w:color="auto" w:sz="4" w:space="0"/>
            </w:tcBorders>
            <w:vAlign w:val="center"/>
          </w:tcPr>
          <w:p w14:paraId="4A89A635">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1DBA289B">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09B484A0">
            <w:pPr>
              <w:jc w:val="center"/>
              <w:rPr>
                <w:rFonts w:hint="eastAsia" w:ascii="宋体" w:hAnsi="宋体"/>
                <w:b w:val="0"/>
                <w:bCs w:val="0"/>
                <w:sz w:val="18"/>
                <w:szCs w:val="18"/>
              </w:rPr>
            </w:pPr>
            <w:r>
              <w:rPr>
                <w:rFonts w:hint="eastAsia" w:ascii="宋体" w:hAnsi="宋体"/>
                <w:b w:val="0"/>
                <w:bCs w:val="0"/>
                <w:sz w:val="18"/>
                <w:szCs w:val="18"/>
              </w:rPr>
              <w:t>台</w:t>
            </w:r>
          </w:p>
        </w:tc>
        <w:tc>
          <w:tcPr>
            <w:tcW w:w="615" w:type="dxa"/>
            <w:tcBorders>
              <w:top w:val="nil"/>
              <w:left w:val="nil"/>
              <w:bottom w:val="single" w:color="auto" w:sz="4" w:space="0"/>
              <w:right w:val="single" w:color="auto" w:sz="4" w:space="0"/>
            </w:tcBorders>
            <w:vAlign w:val="center"/>
          </w:tcPr>
          <w:p w14:paraId="6D509815">
            <w:pPr>
              <w:jc w:val="center"/>
              <w:rPr>
                <w:rFonts w:hint="eastAsia" w:ascii="宋体" w:hAnsi="宋体"/>
                <w:b w:val="0"/>
                <w:bCs w:val="0"/>
                <w:sz w:val="18"/>
                <w:szCs w:val="18"/>
              </w:rPr>
            </w:pPr>
            <w:r>
              <w:rPr>
                <w:rFonts w:hint="eastAsia" w:ascii="宋体" w:hAnsi="宋体" w:cs="宋体"/>
                <w:b w:val="0"/>
                <w:bCs w:val="0"/>
                <w:color w:val="000000"/>
                <w:kern w:val="0"/>
                <w:sz w:val="18"/>
                <w:szCs w:val="18"/>
              </w:rPr>
              <w:t>2</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7E7530B">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2963</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106998C0">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5926</w:t>
            </w:r>
          </w:p>
        </w:tc>
        <w:tc>
          <w:tcPr>
            <w:tcW w:w="748" w:type="dxa"/>
            <w:tcBorders>
              <w:top w:val="single" w:color="auto" w:sz="4" w:space="0"/>
              <w:left w:val="single" w:color="auto" w:sz="4" w:space="0"/>
              <w:bottom w:val="single" w:color="auto" w:sz="4" w:space="0"/>
              <w:right w:val="single" w:color="auto" w:sz="4" w:space="0"/>
            </w:tcBorders>
            <w:vAlign w:val="center"/>
          </w:tcPr>
          <w:p w14:paraId="3E15C9BA">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64E8C573">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50EBC7A9">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1BE613DB">
            <w:pPr>
              <w:jc w:val="center"/>
              <w:rPr>
                <w:rFonts w:hint="eastAsia" w:ascii="宋体" w:hAnsi="宋体"/>
                <w:b w:val="0"/>
                <w:bCs w:val="0"/>
                <w:sz w:val="18"/>
                <w:szCs w:val="18"/>
              </w:rPr>
            </w:pPr>
            <w:r>
              <w:rPr>
                <w:rFonts w:hint="eastAsia" w:ascii="宋体" w:hAnsi="宋体"/>
                <w:b w:val="0"/>
                <w:bCs w:val="0"/>
                <w:sz w:val="18"/>
                <w:szCs w:val="18"/>
              </w:rPr>
              <w:t>合同签订后</w:t>
            </w:r>
          </w:p>
          <w:p w14:paraId="0057740B">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360B6EB6">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6FA3161B">
            <w:pPr>
              <w:jc w:val="center"/>
              <w:rPr>
                <w:rFonts w:hint="eastAsia" w:ascii="宋体" w:hAnsi="宋体"/>
                <w:b w:val="0"/>
                <w:bCs w:val="0"/>
                <w:sz w:val="18"/>
                <w:szCs w:val="18"/>
              </w:rPr>
            </w:pPr>
          </w:p>
        </w:tc>
      </w:tr>
      <w:tr w14:paraId="2EF7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5B115B8D">
            <w:pPr>
              <w:spacing w:line="440" w:lineRule="exact"/>
              <w:jc w:val="center"/>
              <w:rPr>
                <w:rFonts w:hint="eastAsia" w:ascii="宋体" w:hAnsi="宋体"/>
                <w:b w:val="0"/>
                <w:bCs w:val="0"/>
                <w:sz w:val="18"/>
                <w:szCs w:val="18"/>
              </w:rPr>
            </w:pPr>
            <w:r>
              <w:rPr>
                <w:rFonts w:hint="eastAsia" w:ascii="宋体" w:hAnsi="宋体"/>
                <w:b w:val="0"/>
                <w:bCs w:val="0"/>
                <w:sz w:val="18"/>
                <w:szCs w:val="18"/>
              </w:rPr>
              <w:t>29</w:t>
            </w:r>
          </w:p>
        </w:tc>
        <w:tc>
          <w:tcPr>
            <w:tcW w:w="1351" w:type="dxa"/>
            <w:tcBorders>
              <w:top w:val="nil"/>
              <w:left w:val="nil"/>
              <w:bottom w:val="single" w:color="auto" w:sz="4" w:space="0"/>
              <w:right w:val="single" w:color="auto" w:sz="4" w:space="0"/>
            </w:tcBorders>
            <w:vAlign w:val="center"/>
          </w:tcPr>
          <w:p w14:paraId="43F21AFF">
            <w:pPr>
              <w:jc w:val="center"/>
              <w:rPr>
                <w:rFonts w:hint="eastAsia" w:ascii="宋体" w:hAnsi="宋体"/>
                <w:b w:val="0"/>
                <w:bCs w:val="0"/>
                <w:sz w:val="18"/>
                <w:szCs w:val="18"/>
              </w:rPr>
            </w:pPr>
            <w:r>
              <w:rPr>
                <w:rFonts w:hint="eastAsia" w:ascii="宋体" w:hAnsi="宋体" w:cs="宋体"/>
                <w:b w:val="0"/>
                <w:bCs w:val="0"/>
                <w:color w:val="000000"/>
                <w:kern w:val="0"/>
                <w:sz w:val="18"/>
                <w:szCs w:val="18"/>
              </w:rPr>
              <w:t>一卡通门厅控电设备</w:t>
            </w:r>
          </w:p>
        </w:tc>
        <w:tc>
          <w:tcPr>
            <w:tcW w:w="1641" w:type="dxa"/>
            <w:tcBorders>
              <w:top w:val="nil"/>
              <w:left w:val="nil"/>
              <w:bottom w:val="single" w:color="auto" w:sz="4" w:space="0"/>
              <w:right w:val="single" w:color="auto" w:sz="4" w:space="0"/>
            </w:tcBorders>
            <w:vAlign w:val="center"/>
          </w:tcPr>
          <w:p w14:paraId="3A027C42">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DDSU1351</w:t>
            </w:r>
          </w:p>
        </w:tc>
        <w:tc>
          <w:tcPr>
            <w:tcW w:w="1470" w:type="dxa"/>
            <w:tcBorders>
              <w:top w:val="nil"/>
              <w:left w:val="nil"/>
              <w:bottom w:val="single" w:color="auto" w:sz="4" w:space="0"/>
              <w:right w:val="single" w:color="auto" w:sz="4" w:space="0"/>
            </w:tcBorders>
            <w:vAlign w:val="center"/>
          </w:tcPr>
          <w:p w14:paraId="0C65BEBB">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3652BBBD">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1EF91728">
            <w:pPr>
              <w:jc w:val="center"/>
              <w:rPr>
                <w:rFonts w:hint="eastAsia" w:ascii="宋体" w:hAnsi="宋体"/>
                <w:b w:val="0"/>
                <w:bCs w:val="0"/>
                <w:sz w:val="18"/>
                <w:szCs w:val="18"/>
              </w:rPr>
            </w:pPr>
            <w:r>
              <w:rPr>
                <w:rFonts w:hint="eastAsia" w:ascii="宋体" w:hAnsi="宋体"/>
                <w:b w:val="0"/>
                <w:bCs w:val="0"/>
                <w:sz w:val="18"/>
                <w:szCs w:val="18"/>
              </w:rPr>
              <w:t>套</w:t>
            </w:r>
          </w:p>
        </w:tc>
        <w:tc>
          <w:tcPr>
            <w:tcW w:w="615" w:type="dxa"/>
            <w:tcBorders>
              <w:top w:val="nil"/>
              <w:left w:val="nil"/>
              <w:bottom w:val="single" w:color="auto" w:sz="4" w:space="0"/>
              <w:right w:val="single" w:color="auto" w:sz="4" w:space="0"/>
            </w:tcBorders>
            <w:vAlign w:val="center"/>
          </w:tcPr>
          <w:p w14:paraId="54FA16AC">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1944A6B8">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9876</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79BC9956">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9876</w:t>
            </w:r>
          </w:p>
        </w:tc>
        <w:tc>
          <w:tcPr>
            <w:tcW w:w="748" w:type="dxa"/>
            <w:tcBorders>
              <w:top w:val="single" w:color="auto" w:sz="4" w:space="0"/>
              <w:left w:val="single" w:color="auto" w:sz="4" w:space="0"/>
              <w:bottom w:val="single" w:color="auto" w:sz="4" w:space="0"/>
              <w:right w:val="single" w:color="auto" w:sz="4" w:space="0"/>
            </w:tcBorders>
            <w:vAlign w:val="center"/>
          </w:tcPr>
          <w:p w14:paraId="535376CC">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44014202">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7F4E0EA7">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077AFA8C">
            <w:pPr>
              <w:jc w:val="center"/>
              <w:rPr>
                <w:rFonts w:hint="eastAsia" w:ascii="宋体" w:hAnsi="宋体"/>
                <w:b w:val="0"/>
                <w:bCs w:val="0"/>
                <w:sz w:val="18"/>
                <w:szCs w:val="18"/>
              </w:rPr>
            </w:pPr>
            <w:r>
              <w:rPr>
                <w:rFonts w:hint="eastAsia" w:ascii="宋体" w:hAnsi="宋体"/>
                <w:b w:val="0"/>
                <w:bCs w:val="0"/>
                <w:sz w:val="18"/>
                <w:szCs w:val="18"/>
              </w:rPr>
              <w:t>合同签订后</w:t>
            </w:r>
          </w:p>
          <w:p w14:paraId="70952B41">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25A94FEE">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6B6C25EA">
            <w:pPr>
              <w:jc w:val="center"/>
              <w:rPr>
                <w:rFonts w:hint="eastAsia" w:ascii="宋体" w:hAnsi="宋体"/>
                <w:b w:val="0"/>
                <w:bCs w:val="0"/>
                <w:sz w:val="18"/>
                <w:szCs w:val="18"/>
              </w:rPr>
            </w:pPr>
          </w:p>
        </w:tc>
      </w:tr>
      <w:tr w14:paraId="6438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2DD1E837">
            <w:pPr>
              <w:spacing w:line="440" w:lineRule="exact"/>
              <w:jc w:val="center"/>
              <w:rPr>
                <w:rFonts w:hint="eastAsia" w:ascii="宋体" w:hAnsi="宋体"/>
                <w:b w:val="0"/>
                <w:bCs w:val="0"/>
                <w:sz w:val="18"/>
                <w:szCs w:val="18"/>
              </w:rPr>
            </w:pPr>
            <w:r>
              <w:rPr>
                <w:rFonts w:hint="eastAsia" w:ascii="宋体" w:hAnsi="宋体"/>
                <w:b w:val="0"/>
                <w:bCs w:val="0"/>
                <w:sz w:val="18"/>
                <w:szCs w:val="18"/>
              </w:rPr>
              <w:t>30</w:t>
            </w:r>
          </w:p>
        </w:tc>
        <w:tc>
          <w:tcPr>
            <w:tcW w:w="1351" w:type="dxa"/>
            <w:tcBorders>
              <w:top w:val="nil"/>
              <w:left w:val="nil"/>
              <w:bottom w:val="single" w:color="auto" w:sz="4" w:space="0"/>
              <w:right w:val="single" w:color="auto" w:sz="4" w:space="0"/>
            </w:tcBorders>
            <w:vAlign w:val="center"/>
          </w:tcPr>
          <w:p w14:paraId="68C64092">
            <w:pPr>
              <w:jc w:val="center"/>
              <w:rPr>
                <w:rFonts w:hint="eastAsia" w:ascii="宋体" w:hAnsi="宋体"/>
                <w:b w:val="0"/>
                <w:bCs w:val="0"/>
                <w:sz w:val="18"/>
                <w:szCs w:val="18"/>
              </w:rPr>
            </w:pPr>
            <w:r>
              <w:rPr>
                <w:rFonts w:hint="eastAsia" w:ascii="宋体" w:hAnsi="宋体" w:cs="宋体"/>
                <w:b w:val="0"/>
                <w:bCs w:val="0"/>
                <w:color w:val="000000"/>
                <w:kern w:val="0"/>
                <w:sz w:val="18"/>
                <w:szCs w:val="18"/>
              </w:rPr>
              <w:t>集成实施</w:t>
            </w:r>
          </w:p>
        </w:tc>
        <w:tc>
          <w:tcPr>
            <w:tcW w:w="1641" w:type="dxa"/>
            <w:tcBorders>
              <w:top w:val="nil"/>
              <w:left w:val="nil"/>
              <w:bottom w:val="single" w:color="auto" w:sz="4" w:space="0"/>
              <w:right w:val="single" w:color="auto" w:sz="4" w:space="0"/>
            </w:tcBorders>
            <w:vAlign w:val="center"/>
          </w:tcPr>
          <w:p w14:paraId="18A822E4">
            <w:pPr>
              <w:widowControl/>
              <w:jc w:val="center"/>
              <w:rPr>
                <w:rFonts w:hint="eastAsia" w:ascii="宋体" w:hAnsi="宋体"/>
                <w:b w:val="0"/>
                <w:bCs w:val="0"/>
                <w:sz w:val="18"/>
                <w:szCs w:val="18"/>
              </w:rPr>
            </w:pPr>
            <w:r>
              <w:rPr>
                <w:rFonts w:hint="eastAsia" w:ascii="宋体" w:hAnsi="宋体" w:cs="宋体"/>
                <w:b w:val="0"/>
                <w:bCs w:val="0"/>
                <w:color w:val="000000"/>
                <w:kern w:val="0"/>
                <w:sz w:val="18"/>
                <w:szCs w:val="18"/>
              </w:rPr>
              <w:t>定制</w:t>
            </w:r>
          </w:p>
        </w:tc>
        <w:tc>
          <w:tcPr>
            <w:tcW w:w="1470" w:type="dxa"/>
            <w:tcBorders>
              <w:top w:val="nil"/>
              <w:left w:val="nil"/>
              <w:bottom w:val="single" w:color="auto" w:sz="4" w:space="0"/>
              <w:right w:val="single" w:color="auto" w:sz="4" w:space="0"/>
            </w:tcBorders>
            <w:vAlign w:val="center"/>
          </w:tcPr>
          <w:p w14:paraId="054F565B">
            <w:pPr>
              <w:jc w:val="center"/>
              <w:rPr>
                <w:rFonts w:hint="eastAsia" w:ascii="宋体" w:hAnsi="宋体"/>
                <w:b w:val="0"/>
                <w:bCs w:val="0"/>
                <w:sz w:val="18"/>
                <w:szCs w:val="18"/>
              </w:rPr>
            </w:pPr>
            <w:r>
              <w:rPr>
                <w:rFonts w:hint="eastAsia" w:ascii="宋体" w:hAnsi="宋体" w:cs="宋体"/>
                <w:b w:val="0"/>
                <w:bCs w:val="0"/>
                <w:color w:val="000000"/>
                <w:kern w:val="0"/>
                <w:sz w:val="18"/>
                <w:szCs w:val="18"/>
              </w:rPr>
              <w:t>新开普电子股份有限公司</w:t>
            </w:r>
          </w:p>
        </w:tc>
        <w:tc>
          <w:tcPr>
            <w:tcW w:w="748" w:type="dxa"/>
            <w:tcBorders>
              <w:top w:val="nil"/>
              <w:left w:val="nil"/>
              <w:bottom w:val="single" w:color="auto" w:sz="4" w:space="0"/>
              <w:right w:val="single" w:color="auto" w:sz="4" w:space="0"/>
            </w:tcBorders>
            <w:vAlign w:val="center"/>
          </w:tcPr>
          <w:p w14:paraId="4FB08626">
            <w:pPr>
              <w:jc w:val="center"/>
              <w:rPr>
                <w:rFonts w:hint="eastAsia" w:ascii="宋体" w:hAnsi="宋体"/>
                <w:b w:val="0"/>
                <w:bCs w:val="0"/>
                <w:sz w:val="18"/>
                <w:szCs w:val="18"/>
              </w:rPr>
            </w:pPr>
            <w:r>
              <w:rPr>
                <w:rFonts w:hint="eastAsia" w:ascii="宋体" w:hAnsi="宋体" w:cs="宋体"/>
                <w:b w:val="0"/>
                <w:bCs w:val="0"/>
                <w:color w:val="000000"/>
                <w:kern w:val="0"/>
                <w:sz w:val="18"/>
                <w:szCs w:val="18"/>
              </w:rPr>
              <w:t>郑州</w:t>
            </w:r>
          </w:p>
        </w:tc>
        <w:tc>
          <w:tcPr>
            <w:tcW w:w="689" w:type="dxa"/>
            <w:tcBorders>
              <w:top w:val="single" w:color="auto" w:sz="4" w:space="0"/>
              <w:left w:val="single" w:color="auto" w:sz="4" w:space="0"/>
              <w:bottom w:val="single" w:color="auto" w:sz="4" w:space="0"/>
              <w:right w:val="single" w:color="auto" w:sz="4" w:space="0"/>
            </w:tcBorders>
            <w:vAlign w:val="center"/>
          </w:tcPr>
          <w:p w14:paraId="42173646">
            <w:pPr>
              <w:jc w:val="center"/>
              <w:rPr>
                <w:rFonts w:hint="eastAsia" w:ascii="宋体" w:hAnsi="宋体"/>
                <w:b w:val="0"/>
                <w:bCs w:val="0"/>
                <w:sz w:val="18"/>
                <w:szCs w:val="18"/>
              </w:rPr>
            </w:pPr>
            <w:r>
              <w:rPr>
                <w:rFonts w:hint="eastAsia" w:ascii="宋体" w:hAnsi="宋体"/>
                <w:b w:val="0"/>
                <w:bCs w:val="0"/>
                <w:sz w:val="18"/>
                <w:szCs w:val="18"/>
              </w:rPr>
              <w:t>批</w:t>
            </w:r>
          </w:p>
        </w:tc>
        <w:tc>
          <w:tcPr>
            <w:tcW w:w="615" w:type="dxa"/>
            <w:tcBorders>
              <w:top w:val="nil"/>
              <w:left w:val="nil"/>
              <w:bottom w:val="single" w:color="auto" w:sz="4" w:space="0"/>
              <w:right w:val="single" w:color="auto" w:sz="4" w:space="0"/>
            </w:tcBorders>
            <w:vAlign w:val="center"/>
          </w:tcPr>
          <w:p w14:paraId="0F89E670">
            <w:pPr>
              <w:jc w:val="center"/>
              <w:rPr>
                <w:rFonts w:hint="eastAsia" w:ascii="宋体" w:hAnsi="宋体"/>
                <w:b w:val="0"/>
                <w:bCs w:val="0"/>
                <w:sz w:val="18"/>
                <w:szCs w:val="18"/>
              </w:rPr>
            </w:pPr>
            <w:r>
              <w:rPr>
                <w:rFonts w:hint="eastAsia" w:ascii="宋体" w:hAnsi="宋体" w:cs="宋体"/>
                <w:b w:val="0"/>
                <w:bCs w:val="0"/>
                <w:color w:val="000000"/>
                <w:kern w:val="0"/>
                <w:sz w:val="18"/>
                <w:szCs w:val="18"/>
              </w:rPr>
              <w:t>1</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385A0358">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2963</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703F2AB2">
            <w:pPr>
              <w:widowControl/>
              <w:jc w:val="center"/>
              <w:rPr>
                <w:rFonts w:hint="eastAsia" w:ascii="微软雅黑" w:hAnsi="微软雅黑" w:eastAsia="微软雅黑" w:cs="宋体"/>
                <w:b w:val="0"/>
                <w:bCs w:val="0"/>
                <w:color w:val="000000"/>
                <w:kern w:val="0"/>
                <w:sz w:val="18"/>
                <w:szCs w:val="18"/>
                <w:lang w:val="en-US" w:eastAsia="zh-CN" w:bidi="ar-SA"/>
              </w:rPr>
            </w:pPr>
            <w:r>
              <w:rPr>
                <w:rFonts w:hint="eastAsia" w:ascii="微软雅黑" w:hAnsi="微软雅黑" w:eastAsia="微软雅黑"/>
                <w:b w:val="0"/>
                <w:bCs w:val="0"/>
                <w:color w:val="000000"/>
                <w:sz w:val="18"/>
                <w:szCs w:val="18"/>
              </w:rPr>
              <w:t>2963</w:t>
            </w:r>
          </w:p>
        </w:tc>
        <w:tc>
          <w:tcPr>
            <w:tcW w:w="748" w:type="dxa"/>
            <w:tcBorders>
              <w:top w:val="single" w:color="auto" w:sz="4" w:space="0"/>
              <w:left w:val="single" w:color="auto" w:sz="4" w:space="0"/>
              <w:bottom w:val="single" w:color="auto" w:sz="4" w:space="0"/>
              <w:right w:val="single" w:color="auto" w:sz="4" w:space="0"/>
            </w:tcBorders>
            <w:vAlign w:val="center"/>
          </w:tcPr>
          <w:p w14:paraId="4255E5CD">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676" w:type="dxa"/>
            <w:tcBorders>
              <w:top w:val="single" w:color="auto" w:sz="4" w:space="0"/>
              <w:left w:val="single" w:color="auto" w:sz="4" w:space="0"/>
              <w:bottom w:val="single" w:color="auto" w:sz="4" w:space="0"/>
              <w:right w:val="single" w:color="auto" w:sz="4" w:space="0"/>
            </w:tcBorders>
            <w:vAlign w:val="center"/>
          </w:tcPr>
          <w:p w14:paraId="745DBC1E">
            <w:pPr>
              <w:ind w:right="-107" w:rightChars="-51"/>
              <w:jc w:val="center"/>
              <w:rPr>
                <w:rFonts w:hint="eastAsia" w:ascii="宋体" w:hAnsi="宋体"/>
                <w:b w:val="0"/>
                <w:bCs w:val="0"/>
                <w:sz w:val="18"/>
                <w:szCs w:val="18"/>
              </w:rPr>
            </w:pPr>
            <w:r>
              <w:rPr>
                <w:rFonts w:hint="eastAsia" w:ascii="宋体" w:hAnsi="宋体"/>
                <w:b w:val="0"/>
                <w:bCs w:val="0"/>
                <w:sz w:val="18"/>
                <w:szCs w:val="18"/>
              </w:rPr>
              <w:t>已含</w:t>
            </w:r>
          </w:p>
        </w:tc>
        <w:tc>
          <w:tcPr>
            <w:tcW w:w="0" w:type="auto"/>
            <w:tcBorders>
              <w:top w:val="single" w:color="auto" w:sz="4" w:space="0"/>
              <w:left w:val="single" w:color="auto" w:sz="4" w:space="0"/>
              <w:bottom w:val="single" w:color="auto" w:sz="4" w:space="0"/>
              <w:right w:val="single" w:color="auto" w:sz="4" w:space="0"/>
            </w:tcBorders>
            <w:vAlign w:val="center"/>
          </w:tcPr>
          <w:p w14:paraId="4B06B226">
            <w:pPr>
              <w:jc w:val="center"/>
              <w:rPr>
                <w:rFonts w:hint="eastAsia" w:ascii="宋体" w:hAnsi="宋体"/>
                <w:b w:val="0"/>
                <w:bCs w:val="0"/>
                <w:sz w:val="18"/>
                <w:szCs w:val="18"/>
              </w:rPr>
            </w:pPr>
            <w:r>
              <w:rPr>
                <w:rFonts w:hint="eastAsia"/>
                <w:b w:val="0"/>
                <w:bCs w:val="0"/>
                <w:sz w:val="18"/>
                <w:szCs w:val="18"/>
              </w:rPr>
              <w:t>13%</w:t>
            </w:r>
          </w:p>
        </w:tc>
        <w:tc>
          <w:tcPr>
            <w:tcW w:w="1222" w:type="dxa"/>
            <w:tcBorders>
              <w:top w:val="single" w:color="auto" w:sz="4" w:space="0"/>
              <w:left w:val="single" w:color="auto" w:sz="4" w:space="0"/>
              <w:bottom w:val="single" w:color="auto" w:sz="4" w:space="0"/>
              <w:right w:val="single" w:color="auto" w:sz="4" w:space="0"/>
            </w:tcBorders>
            <w:vAlign w:val="center"/>
          </w:tcPr>
          <w:p w14:paraId="4B3FC25D">
            <w:pPr>
              <w:jc w:val="center"/>
              <w:rPr>
                <w:rFonts w:hint="eastAsia" w:ascii="宋体" w:hAnsi="宋体"/>
                <w:b w:val="0"/>
                <w:bCs w:val="0"/>
                <w:sz w:val="18"/>
                <w:szCs w:val="18"/>
              </w:rPr>
            </w:pPr>
            <w:r>
              <w:rPr>
                <w:rFonts w:hint="eastAsia" w:ascii="宋体" w:hAnsi="宋体"/>
                <w:b w:val="0"/>
                <w:bCs w:val="0"/>
                <w:sz w:val="18"/>
                <w:szCs w:val="18"/>
              </w:rPr>
              <w:t>合同签订后</w:t>
            </w:r>
          </w:p>
          <w:p w14:paraId="5AED4155">
            <w:pPr>
              <w:jc w:val="center"/>
              <w:rPr>
                <w:rFonts w:hint="eastAsia" w:ascii="宋体" w:hAnsi="宋体"/>
                <w:b w:val="0"/>
                <w:bCs w:val="0"/>
                <w:sz w:val="18"/>
                <w:szCs w:val="18"/>
              </w:rPr>
            </w:pPr>
            <w:r>
              <w:rPr>
                <w:rFonts w:hint="eastAsia" w:ascii="宋体" w:hAnsi="宋体"/>
                <w:b w:val="0"/>
                <w:bCs w:val="0"/>
                <w:sz w:val="18"/>
                <w:szCs w:val="18"/>
                <w:lang w:val="en-US" w:eastAsia="zh-CN"/>
              </w:rPr>
              <w:t>30</w:t>
            </w:r>
            <w:r>
              <w:rPr>
                <w:rFonts w:hint="eastAsia" w:ascii="宋体" w:hAnsi="宋体"/>
                <w:b w:val="0"/>
                <w:bCs w:val="0"/>
                <w:sz w:val="18"/>
                <w:szCs w:val="18"/>
              </w:rPr>
              <w:t>日内</w:t>
            </w:r>
          </w:p>
        </w:tc>
        <w:tc>
          <w:tcPr>
            <w:tcW w:w="1688" w:type="dxa"/>
            <w:tcBorders>
              <w:top w:val="single" w:color="auto" w:sz="4" w:space="0"/>
              <w:left w:val="single" w:color="auto" w:sz="4" w:space="0"/>
              <w:bottom w:val="single" w:color="auto" w:sz="4" w:space="0"/>
              <w:right w:val="single" w:color="auto" w:sz="4" w:space="0"/>
            </w:tcBorders>
            <w:vAlign w:val="center"/>
          </w:tcPr>
          <w:p w14:paraId="5AF03870">
            <w:pPr>
              <w:jc w:val="both"/>
              <w:rPr>
                <w:rFonts w:hint="eastAsia" w:ascii="宋体" w:hAnsi="宋体"/>
                <w:b w:val="0"/>
                <w:bCs w:val="0"/>
                <w:sz w:val="18"/>
                <w:szCs w:val="18"/>
              </w:rPr>
            </w:pPr>
            <w:r>
              <w:rPr>
                <w:rFonts w:hint="eastAsia" w:ascii="宋体" w:hAnsi="宋体"/>
                <w:b w:val="0"/>
                <w:bCs w:val="0"/>
                <w:sz w:val="18"/>
                <w:szCs w:val="18"/>
              </w:rPr>
              <w:t>河南中医药大学</w:t>
            </w:r>
          </w:p>
        </w:tc>
        <w:tc>
          <w:tcPr>
            <w:tcW w:w="0" w:type="auto"/>
            <w:tcBorders>
              <w:top w:val="single" w:color="auto" w:sz="4" w:space="0"/>
              <w:left w:val="single" w:color="auto" w:sz="4" w:space="0"/>
              <w:bottom w:val="single" w:color="auto" w:sz="4" w:space="0"/>
              <w:right w:val="single" w:color="auto" w:sz="4" w:space="0"/>
            </w:tcBorders>
            <w:vAlign w:val="center"/>
          </w:tcPr>
          <w:p w14:paraId="4CB2035E">
            <w:pPr>
              <w:jc w:val="center"/>
              <w:rPr>
                <w:rFonts w:hint="eastAsia" w:ascii="宋体" w:hAnsi="宋体"/>
                <w:b w:val="0"/>
                <w:bCs w:val="0"/>
                <w:sz w:val="18"/>
                <w:szCs w:val="18"/>
              </w:rPr>
            </w:pPr>
          </w:p>
        </w:tc>
      </w:tr>
      <w:tr w14:paraId="3E7A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68782651">
            <w:pPr>
              <w:jc w:val="center"/>
              <w:rPr>
                <w:rFonts w:hint="eastAsia" w:ascii="宋体" w:hAnsi="宋体"/>
                <w:b w:val="0"/>
                <w:bCs w:val="0"/>
                <w:sz w:val="18"/>
                <w:szCs w:val="18"/>
              </w:rPr>
            </w:pPr>
          </w:p>
        </w:tc>
        <w:tc>
          <w:tcPr>
            <w:tcW w:w="1351" w:type="dxa"/>
            <w:tcBorders>
              <w:top w:val="single" w:color="auto" w:sz="4" w:space="0"/>
              <w:left w:val="single" w:color="auto" w:sz="4" w:space="0"/>
              <w:bottom w:val="single" w:color="auto" w:sz="4" w:space="0"/>
              <w:right w:val="single" w:color="auto" w:sz="4" w:space="0"/>
            </w:tcBorders>
            <w:vAlign w:val="center"/>
          </w:tcPr>
          <w:p w14:paraId="6462DBD2">
            <w:pPr>
              <w:jc w:val="center"/>
              <w:rPr>
                <w:rFonts w:hint="eastAsia" w:ascii="宋体" w:hAnsi="宋体"/>
                <w:b w:val="0"/>
                <w:bCs w:val="0"/>
                <w:sz w:val="18"/>
                <w:szCs w:val="18"/>
              </w:rPr>
            </w:pPr>
            <w:r>
              <w:rPr>
                <w:rFonts w:hint="eastAsia" w:ascii="宋体" w:hAnsi="宋体"/>
                <w:b w:val="0"/>
                <w:bCs w:val="0"/>
                <w:sz w:val="18"/>
                <w:szCs w:val="18"/>
              </w:rPr>
              <w:t>合计</w:t>
            </w:r>
          </w:p>
        </w:tc>
        <w:tc>
          <w:tcPr>
            <w:tcW w:w="3111" w:type="dxa"/>
            <w:gridSpan w:val="2"/>
            <w:tcBorders>
              <w:top w:val="single" w:color="auto" w:sz="4" w:space="0"/>
              <w:left w:val="single" w:color="auto" w:sz="4" w:space="0"/>
              <w:bottom w:val="single" w:color="auto" w:sz="4" w:space="0"/>
              <w:right w:val="single" w:color="auto" w:sz="4" w:space="0"/>
            </w:tcBorders>
            <w:vAlign w:val="center"/>
          </w:tcPr>
          <w:p w14:paraId="3F9804CB">
            <w:pPr>
              <w:jc w:val="center"/>
              <w:rPr>
                <w:rFonts w:hint="eastAsia" w:ascii="宋体" w:hAnsi="宋体"/>
                <w:b w:val="0"/>
                <w:bCs w:val="0"/>
                <w:kern w:val="0"/>
                <w:sz w:val="18"/>
                <w:szCs w:val="18"/>
              </w:rPr>
            </w:pPr>
          </w:p>
        </w:tc>
        <w:tc>
          <w:tcPr>
            <w:tcW w:w="748" w:type="dxa"/>
            <w:tcBorders>
              <w:top w:val="single" w:color="auto" w:sz="4" w:space="0"/>
              <w:left w:val="single" w:color="auto" w:sz="4" w:space="0"/>
              <w:bottom w:val="single" w:color="auto" w:sz="4" w:space="0"/>
              <w:right w:val="single" w:color="auto" w:sz="4" w:space="0"/>
            </w:tcBorders>
            <w:vAlign w:val="center"/>
          </w:tcPr>
          <w:p w14:paraId="45FCC31A">
            <w:pPr>
              <w:jc w:val="center"/>
              <w:rPr>
                <w:rFonts w:hint="eastAsia" w:ascii="宋体" w:hAnsi="宋体"/>
                <w:b w:val="0"/>
                <w:bCs w:val="0"/>
                <w:sz w:val="18"/>
                <w:szCs w:val="18"/>
              </w:rPr>
            </w:pPr>
          </w:p>
        </w:tc>
        <w:tc>
          <w:tcPr>
            <w:tcW w:w="689" w:type="dxa"/>
            <w:tcBorders>
              <w:top w:val="single" w:color="auto" w:sz="4" w:space="0"/>
              <w:left w:val="single" w:color="auto" w:sz="4" w:space="0"/>
              <w:bottom w:val="single" w:color="auto" w:sz="4" w:space="0"/>
              <w:right w:val="single" w:color="auto" w:sz="4" w:space="0"/>
            </w:tcBorders>
            <w:vAlign w:val="center"/>
          </w:tcPr>
          <w:p w14:paraId="0CD590BE">
            <w:pPr>
              <w:jc w:val="center"/>
              <w:rPr>
                <w:rFonts w:hint="eastAsia" w:ascii="宋体" w:hAnsi="宋体"/>
                <w:b w:val="0"/>
                <w:bCs w:val="0"/>
                <w:sz w:val="18"/>
                <w:szCs w:val="18"/>
              </w:rPr>
            </w:pPr>
          </w:p>
        </w:tc>
        <w:tc>
          <w:tcPr>
            <w:tcW w:w="615" w:type="dxa"/>
            <w:tcBorders>
              <w:top w:val="single" w:color="auto" w:sz="4" w:space="0"/>
              <w:left w:val="single" w:color="auto" w:sz="4" w:space="0"/>
              <w:bottom w:val="single" w:color="auto" w:sz="4" w:space="0"/>
              <w:right w:val="single" w:color="auto" w:sz="4" w:space="0"/>
            </w:tcBorders>
            <w:vAlign w:val="center"/>
          </w:tcPr>
          <w:p w14:paraId="781E89C2">
            <w:pPr>
              <w:jc w:val="center"/>
              <w:rPr>
                <w:rFonts w:hint="eastAsia" w:ascii="宋体" w:hAnsi="宋体"/>
                <w:b w:val="0"/>
                <w:bCs w:val="0"/>
                <w:sz w:val="18"/>
                <w:szCs w:val="18"/>
              </w:rPr>
            </w:pPr>
          </w:p>
        </w:tc>
        <w:tc>
          <w:tcPr>
            <w:tcW w:w="915" w:type="dxa"/>
            <w:tcBorders>
              <w:top w:val="single" w:color="auto" w:sz="4" w:space="0"/>
              <w:left w:val="single" w:color="auto" w:sz="4" w:space="0"/>
              <w:bottom w:val="single" w:color="auto" w:sz="4" w:space="0"/>
              <w:right w:val="single" w:color="auto" w:sz="4" w:space="0"/>
            </w:tcBorders>
            <w:vAlign w:val="center"/>
          </w:tcPr>
          <w:p w14:paraId="4697D548">
            <w:pPr>
              <w:widowControl/>
              <w:jc w:val="center"/>
              <w:rPr>
                <w:rFonts w:hint="eastAsia" w:ascii="宋体" w:hAnsi="宋体"/>
                <w:b w:val="0"/>
                <w:bCs w:val="0"/>
                <w:sz w:val="18"/>
                <w:szCs w:val="18"/>
              </w:rPr>
            </w:pPr>
          </w:p>
        </w:tc>
        <w:tc>
          <w:tcPr>
            <w:tcW w:w="955" w:type="dxa"/>
            <w:tcBorders>
              <w:top w:val="single" w:color="auto" w:sz="4" w:space="0"/>
              <w:left w:val="single" w:color="auto" w:sz="4" w:space="0"/>
              <w:bottom w:val="single" w:color="auto" w:sz="4" w:space="0"/>
              <w:right w:val="single" w:color="auto" w:sz="4" w:space="0"/>
            </w:tcBorders>
            <w:vAlign w:val="center"/>
          </w:tcPr>
          <w:p w14:paraId="49DE0419">
            <w:pPr>
              <w:widowControl/>
              <w:jc w:val="center"/>
              <w:rPr>
                <w:rFonts w:hint="eastAsia" w:ascii="宋体" w:hAnsi="宋体"/>
                <w:b w:val="0"/>
                <w:bCs w:val="0"/>
                <w:sz w:val="18"/>
                <w:szCs w:val="18"/>
              </w:rPr>
            </w:pPr>
            <w:r>
              <w:rPr>
                <w:rFonts w:hint="eastAsia" w:ascii="微软雅黑" w:hAnsi="微软雅黑" w:eastAsia="微软雅黑"/>
                <w:b w:val="0"/>
                <w:bCs w:val="0"/>
                <w:color w:val="000000"/>
                <w:sz w:val="18"/>
                <w:szCs w:val="18"/>
              </w:rPr>
              <w:t>2011340</w:t>
            </w:r>
          </w:p>
        </w:tc>
        <w:tc>
          <w:tcPr>
            <w:tcW w:w="748" w:type="dxa"/>
            <w:tcBorders>
              <w:top w:val="single" w:color="auto" w:sz="4" w:space="0"/>
              <w:left w:val="single" w:color="auto" w:sz="4" w:space="0"/>
              <w:bottom w:val="single" w:color="auto" w:sz="4" w:space="0"/>
              <w:right w:val="single" w:color="auto" w:sz="4" w:space="0"/>
            </w:tcBorders>
            <w:vAlign w:val="center"/>
          </w:tcPr>
          <w:p w14:paraId="654FFDDC">
            <w:pPr>
              <w:ind w:right="-107" w:rightChars="-51"/>
              <w:jc w:val="center"/>
              <w:rPr>
                <w:rFonts w:hint="eastAsia" w:ascii="宋体" w:hAnsi="宋体"/>
                <w:b w:val="0"/>
                <w:bCs w:val="0"/>
                <w:sz w:val="18"/>
                <w:szCs w:val="18"/>
              </w:rPr>
            </w:pPr>
          </w:p>
        </w:tc>
        <w:tc>
          <w:tcPr>
            <w:tcW w:w="676" w:type="dxa"/>
            <w:tcBorders>
              <w:top w:val="single" w:color="auto" w:sz="4" w:space="0"/>
              <w:left w:val="single" w:color="auto" w:sz="4" w:space="0"/>
              <w:bottom w:val="single" w:color="auto" w:sz="4" w:space="0"/>
              <w:right w:val="single" w:color="auto" w:sz="4" w:space="0"/>
            </w:tcBorders>
            <w:vAlign w:val="center"/>
          </w:tcPr>
          <w:p w14:paraId="48CAC567">
            <w:pPr>
              <w:ind w:right="-107" w:rightChars="-51"/>
              <w:jc w:val="center"/>
              <w:rPr>
                <w:rFonts w:hint="eastAsia" w:ascii="宋体" w:hAnsi="宋体"/>
                <w:b w:val="0"/>
                <w:bCs w:val="0"/>
                <w:sz w:val="18"/>
                <w:szCs w:val="18"/>
              </w:rPr>
            </w:pPr>
          </w:p>
        </w:tc>
        <w:tc>
          <w:tcPr>
            <w:tcW w:w="0" w:type="auto"/>
            <w:tcBorders>
              <w:top w:val="single" w:color="auto" w:sz="4" w:space="0"/>
              <w:left w:val="single" w:color="auto" w:sz="4" w:space="0"/>
              <w:bottom w:val="single" w:color="auto" w:sz="4" w:space="0"/>
              <w:right w:val="single" w:color="auto" w:sz="4" w:space="0"/>
            </w:tcBorders>
            <w:vAlign w:val="center"/>
          </w:tcPr>
          <w:p w14:paraId="2603CA26">
            <w:pPr>
              <w:jc w:val="center"/>
              <w:rPr>
                <w:rFonts w:hint="eastAsia" w:ascii="宋体" w:hAnsi="宋体"/>
                <w:b w:val="0"/>
                <w:bCs w:val="0"/>
                <w:sz w:val="18"/>
                <w:szCs w:val="18"/>
              </w:rPr>
            </w:pPr>
          </w:p>
        </w:tc>
        <w:tc>
          <w:tcPr>
            <w:tcW w:w="1222" w:type="dxa"/>
            <w:tcBorders>
              <w:top w:val="single" w:color="auto" w:sz="4" w:space="0"/>
              <w:left w:val="single" w:color="auto" w:sz="4" w:space="0"/>
              <w:bottom w:val="single" w:color="auto" w:sz="4" w:space="0"/>
              <w:right w:val="single" w:color="auto" w:sz="4" w:space="0"/>
            </w:tcBorders>
            <w:vAlign w:val="center"/>
          </w:tcPr>
          <w:p w14:paraId="7A6EE373">
            <w:pPr>
              <w:jc w:val="center"/>
              <w:rPr>
                <w:rFonts w:hint="eastAsia" w:ascii="宋体" w:hAnsi="宋体"/>
                <w:b w:val="0"/>
                <w:bCs w:val="0"/>
                <w:sz w:val="18"/>
                <w:szCs w:val="18"/>
              </w:rPr>
            </w:pPr>
          </w:p>
        </w:tc>
        <w:tc>
          <w:tcPr>
            <w:tcW w:w="1688" w:type="dxa"/>
            <w:tcBorders>
              <w:top w:val="single" w:color="auto" w:sz="4" w:space="0"/>
              <w:left w:val="single" w:color="auto" w:sz="4" w:space="0"/>
              <w:bottom w:val="single" w:color="auto" w:sz="4" w:space="0"/>
              <w:right w:val="single" w:color="auto" w:sz="4" w:space="0"/>
            </w:tcBorders>
            <w:vAlign w:val="center"/>
          </w:tcPr>
          <w:p w14:paraId="0B18B635">
            <w:pPr>
              <w:jc w:val="center"/>
              <w:rPr>
                <w:rFonts w:hint="eastAsia" w:ascii="宋体" w:hAnsi="宋体"/>
                <w:b w:val="0"/>
                <w:bCs w:val="0"/>
                <w:sz w:val="18"/>
                <w:szCs w:val="18"/>
              </w:rPr>
            </w:pPr>
          </w:p>
        </w:tc>
        <w:tc>
          <w:tcPr>
            <w:tcW w:w="0" w:type="auto"/>
            <w:tcBorders>
              <w:top w:val="single" w:color="auto" w:sz="4" w:space="0"/>
              <w:left w:val="single" w:color="auto" w:sz="4" w:space="0"/>
              <w:bottom w:val="single" w:color="auto" w:sz="4" w:space="0"/>
              <w:right w:val="single" w:color="auto" w:sz="4" w:space="0"/>
            </w:tcBorders>
            <w:vAlign w:val="center"/>
          </w:tcPr>
          <w:p w14:paraId="4E12B372">
            <w:pPr>
              <w:jc w:val="center"/>
              <w:rPr>
                <w:rFonts w:hint="eastAsia" w:ascii="宋体" w:hAnsi="宋体"/>
                <w:b w:val="0"/>
                <w:bCs w:val="0"/>
                <w:sz w:val="18"/>
                <w:szCs w:val="18"/>
              </w:rPr>
            </w:pPr>
          </w:p>
        </w:tc>
      </w:tr>
      <w:tr w14:paraId="5EB2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0CBC1F02">
            <w:pPr>
              <w:jc w:val="center"/>
              <w:rPr>
                <w:rFonts w:hint="eastAsia" w:ascii="宋体" w:hAnsi="宋体"/>
                <w:b w:val="0"/>
                <w:bCs w:val="0"/>
                <w:sz w:val="18"/>
                <w:szCs w:val="18"/>
              </w:rPr>
            </w:pPr>
            <w:r>
              <w:rPr>
                <w:rFonts w:hint="eastAsia" w:ascii="宋体" w:hAnsi="宋体"/>
                <w:b w:val="0"/>
                <w:bCs w:val="0"/>
                <w:sz w:val="18"/>
                <w:szCs w:val="18"/>
              </w:rPr>
              <w:t>人民币总价</w:t>
            </w:r>
          </w:p>
        </w:tc>
        <w:tc>
          <w:tcPr>
            <w:tcW w:w="0" w:type="auto"/>
            <w:gridSpan w:val="13"/>
            <w:tcBorders>
              <w:top w:val="single" w:color="auto" w:sz="4" w:space="0"/>
              <w:left w:val="single" w:color="auto" w:sz="4" w:space="0"/>
              <w:bottom w:val="single" w:color="auto" w:sz="4" w:space="0"/>
              <w:right w:val="single" w:color="auto" w:sz="4" w:space="0"/>
            </w:tcBorders>
            <w:vAlign w:val="center"/>
          </w:tcPr>
          <w:p w14:paraId="27FE37E4">
            <w:pPr>
              <w:jc w:val="center"/>
              <w:rPr>
                <w:rFonts w:hint="eastAsia" w:ascii="宋体" w:hAnsi="宋体"/>
                <w:b w:val="0"/>
                <w:bCs w:val="0"/>
                <w:sz w:val="18"/>
                <w:szCs w:val="18"/>
              </w:rPr>
            </w:pPr>
            <w:r>
              <w:rPr>
                <w:rFonts w:hint="eastAsia" w:ascii="宋体" w:hAnsi="宋体"/>
                <w:b w:val="0"/>
                <w:bCs w:val="0"/>
                <w:sz w:val="18"/>
                <w:szCs w:val="18"/>
              </w:rPr>
              <w:t>2011340（￥：贰佰零壹万壹仟叁佰肆拾</w:t>
            </w:r>
            <w:r>
              <w:rPr>
                <w:rFonts w:hint="eastAsia" w:ascii="宋体" w:hAnsi="宋体"/>
                <w:b w:val="0"/>
                <w:bCs w:val="0"/>
                <w:sz w:val="18"/>
                <w:szCs w:val="18"/>
                <w:lang w:val="en-US" w:eastAsia="zh-CN"/>
              </w:rPr>
              <w:t>元整</w:t>
            </w:r>
            <w:r>
              <w:rPr>
                <w:rFonts w:hint="eastAsia" w:ascii="宋体" w:hAnsi="宋体"/>
                <w:b w:val="0"/>
                <w:bCs w:val="0"/>
                <w:sz w:val="18"/>
                <w:szCs w:val="18"/>
              </w:rPr>
              <w:t>）</w:t>
            </w:r>
          </w:p>
        </w:tc>
      </w:tr>
    </w:tbl>
    <w:p w14:paraId="4A20E546">
      <w:pPr>
        <w:rPr>
          <w:rFonts w:hint="eastAsia" w:ascii="宋体" w:hAnsi="宋体"/>
          <w:b/>
          <w:sz w:val="24"/>
        </w:rPr>
      </w:pPr>
      <w:r>
        <w:rPr>
          <w:rFonts w:hint="eastAsia" w:ascii="宋体" w:hAnsi="宋体"/>
          <w:b/>
          <w:sz w:val="24"/>
        </w:rPr>
        <w:t xml:space="preserve"> </w:t>
      </w:r>
    </w:p>
    <w:p w14:paraId="6B088100">
      <w:pPr>
        <w:rPr>
          <w:rFonts w:hint="eastAsia" w:ascii="宋体" w:hAnsi="宋体"/>
          <w:b/>
          <w:szCs w:val="21"/>
        </w:rPr>
      </w:pPr>
      <w:r>
        <w:rPr>
          <w:rFonts w:hint="eastAsia" w:ascii="宋体" w:hAnsi="宋体"/>
          <w:b/>
          <w:szCs w:val="21"/>
        </w:rPr>
        <w:t xml:space="preserve">甲方货物负责人签字： </w:t>
      </w:r>
    </w:p>
    <w:p w14:paraId="50C1E0B2">
      <w:pPr>
        <w:spacing w:line="360" w:lineRule="auto"/>
        <w:rPr>
          <w:rFonts w:hint="eastAsia" w:ascii="宋体" w:hAnsi="宋体" w:cs="宋体"/>
          <w:szCs w:val="21"/>
        </w:rPr>
        <w:sectPr>
          <w:pgSz w:w="16838" w:h="11906" w:orient="landscape"/>
          <w:pgMar w:top="1797" w:right="1440" w:bottom="1797" w:left="1440" w:header="283" w:footer="992" w:gutter="0"/>
          <w:pgNumType w:fmt="decimal"/>
          <w:cols w:space="425" w:num="1"/>
          <w:docGrid w:type="lines" w:linePitch="312" w:charSpace="0"/>
        </w:sectPr>
      </w:pPr>
    </w:p>
    <w:p w14:paraId="224525ED">
      <w:pPr>
        <w:pStyle w:val="3"/>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rPr>
        <w:t>附件</w:t>
      </w:r>
      <w:r>
        <w:rPr>
          <w:rFonts w:hint="eastAsia" w:ascii="黑体" w:hAnsi="黑体" w:eastAsia="黑体" w:cs="黑体"/>
          <w:color w:val="auto"/>
          <w:sz w:val="24"/>
          <w:szCs w:val="24"/>
          <w:lang w:val="en-US" w:eastAsia="zh-CN"/>
        </w:rPr>
        <w:t>3</w:t>
      </w:r>
    </w:p>
    <w:p w14:paraId="3451B766">
      <w:pPr>
        <w:pStyle w:val="3"/>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中标货物技术参数及配置表</w:t>
      </w:r>
    </w:p>
    <w:tbl>
      <w:tblPr>
        <w:tblStyle w:val="39"/>
        <w:tblpPr w:leftFromText="181" w:rightFromText="181" w:vertAnchor="text" w:horzAnchor="margin" w:tblpXSpec="center" w:tblpY="1"/>
        <w:tblOverlap w:val="never"/>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04"/>
        <w:gridCol w:w="809"/>
        <w:gridCol w:w="601"/>
        <w:gridCol w:w="6043"/>
        <w:gridCol w:w="540"/>
      </w:tblGrid>
      <w:tr w14:paraId="4BC1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noWrap w:val="0"/>
            <w:vAlign w:val="center"/>
          </w:tcPr>
          <w:p w14:paraId="1A07A08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黑体" w:hAnsi="黑体" w:eastAsia="黑体" w:cs="黑体"/>
                <w:b w:val="0"/>
                <w:bCs w:val="0"/>
                <w:color w:val="auto"/>
                <w:kern w:val="0"/>
                <w:sz w:val="18"/>
                <w:szCs w:val="18"/>
              </w:rPr>
            </w:pPr>
            <w:r>
              <w:rPr>
                <w:rFonts w:hint="eastAsia" w:ascii="黑体" w:hAnsi="黑体" w:eastAsia="黑体" w:cs="黑体"/>
                <w:b w:val="0"/>
                <w:bCs w:val="0"/>
                <w:color w:val="auto"/>
                <w:kern w:val="0"/>
                <w:sz w:val="18"/>
                <w:szCs w:val="18"/>
              </w:rPr>
              <w:t>序</w:t>
            </w:r>
          </w:p>
          <w:p w14:paraId="03A5B2C6">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黑体" w:hAnsi="黑体" w:eastAsia="黑体" w:cs="黑体"/>
                <w:b w:val="0"/>
                <w:bCs w:val="0"/>
                <w:color w:val="auto"/>
                <w:kern w:val="0"/>
                <w:sz w:val="18"/>
                <w:szCs w:val="18"/>
              </w:rPr>
            </w:pPr>
            <w:r>
              <w:rPr>
                <w:rFonts w:hint="eastAsia" w:ascii="黑体" w:hAnsi="黑体" w:eastAsia="黑体" w:cs="黑体"/>
                <w:b w:val="0"/>
                <w:bCs w:val="0"/>
                <w:color w:val="auto"/>
                <w:kern w:val="0"/>
                <w:sz w:val="18"/>
                <w:szCs w:val="18"/>
              </w:rPr>
              <w:t>号</w:t>
            </w:r>
          </w:p>
        </w:tc>
        <w:tc>
          <w:tcPr>
            <w:tcW w:w="809" w:type="dxa"/>
            <w:tcBorders>
              <w:tl2br w:val="nil"/>
              <w:tr2bl w:val="nil"/>
            </w:tcBorders>
            <w:noWrap w:val="0"/>
            <w:vAlign w:val="center"/>
          </w:tcPr>
          <w:p w14:paraId="4C4229F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黑体" w:hAnsi="黑体" w:eastAsia="黑体" w:cs="黑体"/>
                <w:b w:val="0"/>
                <w:bCs w:val="0"/>
                <w:color w:val="auto"/>
                <w:kern w:val="0"/>
                <w:sz w:val="18"/>
                <w:szCs w:val="18"/>
              </w:rPr>
            </w:pPr>
            <w:r>
              <w:rPr>
                <w:rFonts w:hint="eastAsia" w:ascii="黑体" w:hAnsi="黑体" w:eastAsia="黑体" w:cs="黑体"/>
                <w:b w:val="0"/>
                <w:bCs w:val="0"/>
                <w:color w:val="auto"/>
                <w:kern w:val="0"/>
                <w:sz w:val="18"/>
                <w:szCs w:val="18"/>
                <w:lang w:val="en-US" w:eastAsia="zh-CN"/>
              </w:rPr>
              <w:t>货物</w:t>
            </w:r>
          </w:p>
        </w:tc>
        <w:tc>
          <w:tcPr>
            <w:tcW w:w="601" w:type="dxa"/>
            <w:tcBorders>
              <w:tl2br w:val="nil"/>
              <w:tr2bl w:val="nil"/>
            </w:tcBorders>
            <w:noWrap w:val="0"/>
            <w:vAlign w:val="center"/>
          </w:tcPr>
          <w:p w14:paraId="5006791D">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黑体" w:hAnsi="黑体" w:eastAsia="黑体" w:cs="黑体"/>
                <w:b w:val="0"/>
                <w:bCs w:val="0"/>
                <w:color w:val="auto"/>
                <w:kern w:val="0"/>
                <w:sz w:val="18"/>
                <w:szCs w:val="18"/>
                <w:lang w:val="en-US" w:eastAsia="zh-CN"/>
              </w:rPr>
            </w:pPr>
            <w:r>
              <w:rPr>
                <w:rFonts w:hint="eastAsia" w:ascii="黑体" w:hAnsi="黑体" w:eastAsia="黑体" w:cs="黑体"/>
                <w:b w:val="0"/>
                <w:bCs w:val="0"/>
                <w:color w:val="auto"/>
                <w:kern w:val="0"/>
                <w:sz w:val="18"/>
                <w:szCs w:val="18"/>
                <w:lang w:val="en-US" w:eastAsia="zh-CN"/>
              </w:rPr>
              <w:t>型号</w:t>
            </w:r>
          </w:p>
        </w:tc>
        <w:tc>
          <w:tcPr>
            <w:tcW w:w="6043" w:type="dxa"/>
            <w:tcBorders>
              <w:tl2br w:val="nil"/>
              <w:tr2bl w:val="nil"/>
            </w:tcBorders>
            <w:noWrap w:val="0"/>
            <w:vAlign w:val="center"/>
          </w:tcPr>
          <w:p w14:paraId="0944CE5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黑体" w:hAnsi="黑体" w:eastAsia="黑体" w:cs="黑体"/>
                <w:b w:val="0"/>
                <w:bCs w:val="0"/>
                <w:color w:val="auto"/>
                <w:kern w:val="0"/>
                <w:sz w:val="18"/>
                <w:szCs w:val="18"/>
                <w:lang w:val="en-US" w:eastAsia="zh-CN"/>
              </w:rPr>
            </w:pPr>
            <w:r>
              <w:rPr>
                <w:rFonts w:hint="eastAsia" w:ascii="黑体" w:hAnsi="黑体" w:eastAsia="黑体" w:cs="黑体"/>
                <w:b w:val="0"/>
                <w:bCs w:val="0"/>
                <w:color w:val="auto"/>
                <w:kern w:val="0"/>
                <w:sz w:val="18"/>
                <w:szCs w:val="18"/>
                <w:lang w:val="en-US" w:eastAsia="zh-CN"/>
              </w:rPr>
              <w:t>规格参数</w:t>
            </w:r>
          </w:p>
        </w:tc>
        <w:tc>
          <w:tcPr>
            <w:tcW w:w="540" w:type="dxa"/>
            <w:tcBorders>
              <w:tl2br w:val="nil"/>
              <w:tr2bl w:val="nil"/>
            </w:tcBorders>
            <w:noWrap w:val="0"/>
            <w:vAlign w:val="center"/>
          </w:tcPr>
          <w:p w14:paraId="7B0E3116">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黑体" w:hAnsi="黑体" w:eastAsia="黑体" w:cs="黑体"/>
                <w:b w:val="0"/>
                <w:bCs w:val="0"/>
                <w:color w:val="auto"/>
                <w:kern w:val="0"/>
                <w:sz w:val="18"/>
                <w:szCs w:val="18"/>
                <w:lang w:val="en-US" w:eastAsia="zh-CN"/>
              </w:rPr>
            </w:pPr>
            <w:r>
              <w:rPr>
                <w:rFonts w:hint="eastAsia" w:ascii="黑体" w:hAnsi="黑体" w:eastAsia="黑体" w:cs="黑体"/>
                <w:b w:val="0"/>
                <w:bCs w:val="0"/>
                <w:color w:val="auto"/>
                <w:kern w:val="0"/>
                <w:sz w:val="18"/>
                <w:szCs w:val="18"/>
                <w:lang w:val="en-US" w:eastAsia="zh-CN"/>
              </w:rPr>
              <w:t>备注</w:t>
            </w:r>
          </w:p>
        </w:tc>
      </w:tr>
      <w:tr w14:paraId="02BA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000000" w:fill="FFFFFF"/>
            <w:noWrap w:val="0"/>
            <w:vAlign w:val="center"/>
          </w:tcPr>
          <w:p w14:paraId="1215FE36">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809" w:type="dxa"/>
            <w:tcBorders>
              <w:tl2br w:val="nil"/>
              <w:tr2bl w:val="nil"/>
            </w:tcBorders>
            <w:shd w:val="clear" w:color="000000" w:fill="FFFFFF"/>
            <w:noWrap w:val="0"/>
            <w:vAlign w:val="center"/>
          </w:tcPr>
          <w:p w14:paraId="3AEC0C4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w:t>
            </w:r>
            <w:r>
              <w:rPr>
                <w:rFonts w:hint="eastAsia" w:ascii="宋体" w:hAnsi="宋体" w:eastAsia="宋体" w:cs="宋体"/>
                <w:color w:val="auto"/>
                <w:kern w:val="0"/>
                <w:sz w:val="18"/>
                <w:szCs w:val="18"/>
                <w:lang w:val="en-US" w:eastAsia="zh-CN"/>
              </w:rPr>
              <w:t>卡</w:t>
            </w:r>
            <w:r>
              <w:rPr>
                <w:rFonts w:hint="eastAsia" w:ascii="宋体" w:hAnsi="宋体" w:eastAsia="宋体" w:cs="宋体"/>
                <w:color w:val="auto"/>
                <w:kern w:val="0"/>
                <w:sz w:val="18"/>
                <w:szCs w:val="18"/>
              </w:rPr>
              <w:t>通管理平台</w:t>
            </w:r>
          </w:p>
        </w:tc>
        <w:tc>
          <w:tcPr>
            <w:tcW w:w="601" w:type="dxa"/>
            <w:tcBorders>
              <w:tl2br w:val="nil"/>
              <w:tr2bl w:val="nil"/>
            </w:tcBorders>
            <w:shd w:val="clear" w:color="000000" w:fill="FFFFFF"/>
            <w:noWrap w:val="0"/>
            <w:vAlign w:val="center"/>
          </w:tcPr>
          <w:p w14:paraId="4E6A4664">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新开普一校通平台V1.0</w:t>
            </w:r>
          </w:p>
        </w:tc>
        <w:tc>
          <w:tcPr>
            <w:tcW w:w="6043" w:type="dxa"/>
            <w:tcBorders>
              <w:tl2br w:val="nil"/>
              <w:tr2bl w:val="nil"/>
            </w:tcBorders>
            <w:shd w:val="clear" w:color="000000" w:fill="FFFFFF"/>
            <w:noWrap w:val="0"/>
            <w:vAlign w:val="center"/>
          </w:tcPr>
          <w:p w14:paraId="4B844D45">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平台包括用户中心、认证授权管理、介质管理、商户管理及账目结算等核心功能，支持为业务系统提供环境参数设置、运行规则管理、身份核验、授权管理、交易结算等服务。采用微服务架构，采用纯联机交易机制，详细功能响应如下：</w:t>
            </w:r>
          </w:p>
          <w:p w14:paraId="00110593">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档案管理：</w:t>
            </w:r>
          </w:p>
          <w:p w14:paraId="2162178D">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具有组织机构、用户管理能力，平台内用户数据源从学校现有一卡通系统数据中心内获取/同步。</w:t>
            </w:r>
          </w:p>
          <w:p w14:paraId="13080F8C">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平台内全校师生每人唯一账户，一个账户对应唯一钱包，可对应关联多类介质，包含实体介质（CPU卡）、二维码、人脸特征。</w:t>
            </w:r>
          </w:p>
          <w:p w14:paraId="3D9C961B">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支持档案信息修改，包含有卡修改、无卡修改功能。</w:t>
            </w:r>
          </w:p>
          <w:p w14:paraId="6142DA3E">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支持档案信息查询，可查询全部用户的档案，档案信息包含姓名、证件号、身份证号、部门、国籍、银行卡、手机号等信息。系统具有未开户档案信息修改功能，支持对未开户用户的当前信息进行修改。</w:t>
            </w:r>
          </w:p>
          <w:p w14:paraId="2EBFC6A8">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后台配置管理中支持对人员信息进行脱敏设置，包括人员编号、姓名、证件号码、银行卡号、手机号码、账户地址、邮箱等字段。</w:t>
            </w:r>
          </w:p>
          <w:p w14:paraId="7D791EE6">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商户日常管理：</w:t>
            </w:r>
          </w:p>
          <w:p w14:paraId="2790BC9A">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支持商户综合管理功能，可为学校财务部门和商户提供商户账户开立与撤销、支付终端配置、账户管理、口令重置、交易查询、结算对账、生成导出静态收款二维码等功能。</w:t>
            </w:r>
          </w:p>
          <w:p w14:paraId="34E97343">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设备管理：</w:t>
            </w:r>
          </w:p>
          <w:p w14:paraId="056EB41B">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对设备的基础信息及隶属关系进行管理，支持设备绑定身份、商户、产品规则等。界面简单、操作便捷，支持按模板导入，支持批量添加、修改设备参数。支持终端标签的管理，系统推送消息时，可根据不同的终端标签分批推送消息。</w:t>
            </w:r>
          </w:p>
          <w:p w14:paraId="1AD45FAF">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虚拟卡管理：</w:t>
            </w:r>
          </w:p>
          <w:p w14:paraId="6301AB5B">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内置虚拟卡服务功能，可承担业务平台认证过程中的动态码生成、纸码生成、解析识别工作。</w:t>
            </w:r>
          </w:p>
          <w:p w14:paraId="7D7E7842">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内置虚拟卡信息管理功能，包含付款码开通、付款码信息查询、人脸应用注册、人脸应用信息查询等主要功能。</w:t>
            </w:r>
          </w:p>
          <w:p w14:paraId="4803372F">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付款码开通：</w:t>
            </w:r>
            <w:r>
              <w:rPr>
                <w:rFonts w:hint="eastAsia" w:ascii="宋体" w:hAnsi="宋体" w:eastAsia="宋体" w:cs="宋体"/>
                <w:color w:val="auto"/>
                <w:kern w:val="2"/>
                <w:sz w:val="18"/>
                <w:szCs w:val="18"/>
                <w:lang w:val="en-US" w:eastAsia="zh-CN" w:bidi="ar-SA"/>
              </w:rPr>
              <w:t>操作员可按照部门、证件号等批量为用户开通虚拟卡功能。支持主刷账户、消费限额、是否允许消费、身份识别能力、默认密码等功能。系统支持按图查询条件进行批量开通，可保障开学迎新阶段大批量开通需求。</w:t>
            </w:r>
          </w:p>
          <w:p w14:paraId="2662FEAA">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付款码信息查询：</w:t>
            </w:r>
            <w:r>
              <w:rPr>
                <w:rFonts w:hint="eastAsia" w:ascii="宋体" w:hAnsi="宋体" w:eastAsia="宋体" w:cs="宋体"/>
                <w:color w:val="auto"/>
                <w:kern w:val="2"/>
                <w:sz w:val="18"/>
                <w:szCs w:val="18"/>
                <w:lang w:val="en-US" w:eastAsia="zh-CN" w:bidi="ar-SA"/>
              </w:rPr>
              <w:t>支持通过身份、证件号、学工号等查询已经开通的付款码信息。支持修改限额、开通/关闭身份识别能力、重置付款码密码、销户、冻结、解冻等功能。</w:t>
            </w:r>
            <w:r>
              <w:rPr>
                <w:rFonts w:hint="eastAsia" w:ascii="宋体" w:hAnsi="宋体" w:cs="宋体"/>
                <w:color w:val="auto"/>
                <w:kern w:val="2"/>
                <w:sz w:val="18"/>
                <w:szCs w:val="18"/>
                <w:lang w:val="en-US" w:eastAsia="zh-CN" w:bidi="ar-SA"/>
              </w:rPr>
              <w:t xml:space="preserve"> </w:t>
            </w:r>
          </w:p>
          <w:p w14:paraId="4148351E">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付款码交易：</w:t>
            </w:r>
            <w:r>
              <w:rPr>
                <w:rFonts w:hint="eastAsia" w:ascii="宋体" w:hAnsi="宋体" w:eastAsia="宋体" w:cs="宋体"/>
                <w:color w:val="auto"/>
                <w:kern w:val="2"/>
                <w:sz w:val="18"/>
                <w:szCs w:val="18"/>
                <w:lang w:val="en-US" w:eastAsia="zh-CN" w:bidi="ar-SA"/>
              </w:rPr>
              <w:t>付款码可在联机工作的消费终端设备上完成交易，实时扣除校园卡账户余额；付款码也可在联机工作的消费终端设备上完成交易，支持该设备自动加密可信方式本地存储交易流水，待终端恢复联机后上传至后台系统，可保证交易数据的安全性和完整性。</w:t>
            </w:r>
          </w:p>
          <w:p w14:paraId="3C63FF01">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人脸应用注册：</w:t>
            </w:r>
            <w:r>
              <w:rPr>
                <w:rFonts w:hint="eastAsia" w:ascii="宋体" w:hAnsi="宋体" w:eastAsia="宋体" w:cs="宋体"/>
                <w:color w:val="auto"/>
                <w:kern w:val="2"/>
                <w:sz w:val="18"/>
                <w:szCs w:val="18"/>
                <w:lang w:val="en-US" w:eastAsia="zh-CN" w:bidi="ar-SA"/>
              </w:rPr>
              <w:t>操作员可按照部门、证件号等批量为用户开通人脸识别功能，用于支付和认证业务。</w:t>
            </w:r>
          </w:p>
          <w:p w14:paraId="1782C1F6">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人脸应用信息查询：</w:t>
            </w:r>
            <w:r>
              <w:rPr>
                <w:rFonts w:hint="eastAsia" w:ascii="宋体" w:hAnsi="宋体" w:eastAsia="宋体" w:cs="宋体"/>
                <w:color w:val="auto"/>
                <w:kern w:val="2"/>
                <w:sz w:val="18"/>
                <w:szCs w:val="18"/>
                <w:lang w:val="en-US" w:eastAsia="zh-CN" w:bidi="ar-SA"/>
              </w:rPr>
              <w:t>支持通过身份、证件号、学工号等查询已经开通的人脸应用信息。</w:t>
            </w:r>
          </w:p>
          <w:p w14:paraId="4A859F57">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人脸识别交易：</w:t>
            </w:r>
            <w:r>
              <w:rPr>
                <w:rFonts w:hint="eastAsia" w:ascii="宋体" w:hAnsi="宋体" w:eastAsia="宋体" w:cs="宋体"/>
                <w:color w:val="auto"/>
                <w:kern w:val="2"/>
                <w:sz w:val="18"/>
                <w:szCs w:val="18"/>
                <w:lang w:val="en-US" w:eastAsia="zh-CN" w:bidi="ar-SA"/>
              </w:rPr>
              <w:t>用户可使用人脸识别方式在联机工作的消费终端设备完成交易，实时扣除校园卡账户余额；在校方授权开通的前提下，也可在脱机工作的消费终端设备完成交易，支持脱机人脸识别用户身份后以加密可信方式本地存储交易流水，待终端恢复联机后上传至后台系统，可保证交易数据的安全性和完整性。</w:t>
            </w:r>
          </w:p>
          <w:p w14:paraId="79EDEF85">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多介质信息查询：</w:t>
            </w:r>
            <w:r>
              <w:rPr>
                <w:rFonts w:hint="eastAsia" w:ascii="宋体" w:hAnsi="宋体" w:eastAsia="宋体" w:cs="宋体"/>
                <w:color w:val="auto"/>
                <w:kern w:val="2"/>
                <w:sz w:val="18"/>
                <w:szCs w:val="18"/>
                <w:lang w:val="en-US" w:eastAsia="zh-CN" w:bidi="ar-SA"/>
              </w:rPr>
              <w:t>支持展示全校师生的基本信息及其所有使用中的介质，支持打开用户详情展示用户的详细信息及每个介质的详细信息（包括介质有效期、介质消费限额等），介质类型包括用户实体卡、虚拟卡、人脸信息等。</w:t>
            </w:r>
          </w:p>
          <w:p w14:paraId="2ACAAD01">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卡务管理：</w:t>
            </w:r>
          </w:p>
          <w:p w14:paraId="7DFB1A7C">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内置卡务管理，可实现对校园卡账户和各种介质（包括实体卡和虚拟卡）的全生命周期管理，支持卡务中心和相关单位/部门的校园卡业务处理，并支持通过各类自助服务终端向持卡用户提供本人的校园卡管理功能。主要内容包括：</w:t>
            </w:r>
          </w:p>
          <w:p w14:paraId="03A022E2">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支持卡务日常业务管理功能，包含开户、现金存款、挂失解挂、有卡换卡、无卡换卡、有卡销户、无卡销户、有卡重置密码等功能。</w:t>
            </w:r>
          </w:p>
          <w:p w14:paraId="742A2D96">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支持校园卡账户的开户、冻结、解冻、销户等操作。</w:t>
            </w:r>
          </w:p>
          <w:p w14:paraId="4195C245">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支持校园卡二维码和其他介质的启用、停用、支付功能开通和禁用等操作。</w:t>
            </w:r>
          </w:p>
          <w:p w14:paraId="6CA17829">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支持和人员身份与权限管理功能配合，可根据不同类型人员的校园身份状态同步批量进行相应的卡务管理操作。</w:t>
            </w:r>
          </w:p>
          <w:p w14:paraId="4980A20B">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支持根据学生注册情况对注册有效期的管理功能，支持根据注册有效期相关规则对学生校园卡账户的管理功能。</w:t>
            </w:r>
          </w:p>
          <w:p w14:paraId="133582C7">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支持根据对校园卡账户的多种条件组合查询结果批量执行卡务管理操作。</w:t>
            </w:r>
          </w:p>
          <w:p w14:paraId="5BC5DB28">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支持对校园卡用户身份、人员类型、账户信息和不同介质状态等卡务管理数据进行综合查询。</w:t>
            </w:r>
          </w:p>
          <w:p w14:paraId="2F3C173E">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支持集成正卡打印机、批量发卡机等制卡设备，实现零散和批量卡片个人化和卡面打印，支持人工操作和自助设备操作。</w:t>
            </w:r>
          </w:p>
          <w:p w14:paraId="13B2CF15">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支持通过智能读卡器进行卡面信息识别（OCR）获取人员信息，无须界面输入个人信息，即可自动完成人员发卡。</w:t>
            </w:r>
          </w:p>
          <w:p w14:paraId="6FE58908">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支持通用的校园卡账户状态的自动化查询接口，封装API通过开放平台向外暴露。</w:t>
            </w:r>
          </w:p>
          <w:p w14:paraId="12746713">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支持以BS/CS方式访问系统进行用户卡片的制作，可保障系统管理及维护的便捷性和访问时效性。</w:t>
            </w:r>
          </w:p>
          <w:p w14:paraId="0E657B23">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支持用户丢卡、换卡时无需手动挂失，管理员可一键完成用户卡挂失、补卡、卡片打印等业务流程。</w:t>
            </w:r>
          </w:p>
          <w:p w14:paraId="3BACA4B3">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财务清算：</w:t>
            </w:r>
          </w:p>
          <w:p w14:paraId="7898E5CD">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支持财务清算报表相关功能，满足系统交易结算所需，可根据清算业务模式的需要，支持卡务报表、商户报表、操作报表、自助存款报表、系统报表、会计科目报表等报表功能。</w:t>
            </w:r>
          </w:p>
          <w:p w14:paraId="39748906">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支付结算：</w:t>
            </w:r>
          </w:p>
          <w:p w14:paraId="40BE5D53">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支持支付结算功能，可实现通过各类介质和支付终端进行校园卡账户的消费支付业务，支持对校园卡账户和商户之间的资金往来进行结算管理。主要内容包括：</w:t>
            </w:r>
          </w:p>
          <w:p w14:paraId="2B880B9B">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a. 通过扫码刷卡POS机等支付终端设备支持校园卡实体卡刷卡支付、校园卡二维码扫码支付等消费支付功能；生物识别扫码刷卡三合一POS还支持扫除消费支付功能；</w:t>
            </w:r>
          </w:p>
          <w:p w14:paraId="2B933402">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b. 消费终端设备正常工况下采用联机工作模式，交易数据实时上传至系统；网络故障时支持联机工作模式，恢复联机后交易数据及时上传至系统。系统针对联机和联机工作模式具有保障数据完整性和一致性的有效机制；</w:t>
            </w:r>
          </w:p>
          <w:p w14:paraId="05B2AC6F">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c. 适配消费终端设备的多种联网方式，包括以太网、移动互联网和无线局域网（Wifi）。支持以太网和移动互联网自动切换模式的功能，优先使用以太网，检测到以太网连接中断即自动切换至移动互联网连接；</w:t>
            </w:r>
          </w:p>
          <w:p w14:paraId="1228D1FD">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d. 校园二维码扫码支付支持持卡人在消费终端设备上扫码的方式（持卡人被扫），支持密码（口令）验证等额外的身份验证，支持用户自行设置一定额度范围内的免密支付；</w:t>
            </w:r>
          </w:p>
          <w:p w14:paraId="2C4BA94D">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e. 支持对单个支付终端的可消费人员身份类型进行限制，支持对单个校园卡账户的单次、单日支付额度进行限制，支持按额度设置小额免密支付、验证交易密码支付和禁止支付等模式。</w:t>
            </w:r>
          </w:p>
          <w:p w14:paraId="3A814802">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f. 校园卡账户正常情况下采取在线（联机）交易模式，支持账户唯一且余额和交易信息均以信息系统数据库记录为准（绝不采用卡、库多钱包余额同步机制的过渡模式），脱机交易时采取支付终端或实体卡内辅助记录措施用于对账；</w:t>
            </w:r>
          </w:p>
          <w:p w14:paraId="757575F0">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g. 当网络故障时，支持自动切换脱机工作模式，脱机状态下的交易支持信用额度方式保障用户可正常消费，超出信用额度时禁止交易，信用额度支持通过后台设置；</w:t>
            </w:r>
          </w:p>
          <w:p w14:paraId="5F326330">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h. 终端脱机时，支持选择商户下载收款码，师生可通过主扫的方式进行交易，该商户收款码可自定义设备为固定金额收款模式、自由金额收款模式，用户支付方式与消费机支付方式一致，且支持独立对账。</w:t>
            </w:r>
          </w:p>
          <w:p w14:paraId="61437263">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i. 支持二维码扫码的消费POS机可支持银联码、微信/支付宝原生码的通用聚合支付；</w:t>
            </w:r>
          </w:p>
          <w:p w14:paraId="5AC25F60">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cs="宋体"/>
                <w:b/>
                <w:bCs/>
                <w:color w:val="auto"/>
                <w:kern w:val="2"/>
                <w:sz w:val="18"/>
                <w:szCs w:val="18"/>
                <w:lang w:val="en-US" w:eastAsia="zh-CN" w:bidi="ar-SA"/>
              </w:rPr>
              <w:t xml:space="preserve">8. </w:t>
            </w:r>
            <w:r>
              <w:rPr>
                <w:rFonts w:hint="eastAsia" w:ascii="宋体" w:hAnsi="宋体" w:eastAsia="宋体" w:cs="宋体"/>
                <w:b/>
                <w:bCs/>
                <w:color w:val="auto"/>
                <w:kern w:val="2"/>
                <w:sz w:val="18"/>
                <w:szCs w:val="18"/>
                <w:lang w:val="en-US" w:eastAsia="zh-CN" w:bidi="ar-SA"/>
              </w:rPr>
              <w:t>后台管理：</w:t>
            </w:r>
          </w:p>
          <w:p w14:paraId="230853C4">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系统支持权限管理、部门管理、操作员身份绑定、系统定时任务管理、数据字典设置、信息查询、参数设置等功能。</w:t>
            </w:r>
          </w:p>
          <w:p w14:paraId="4827A4D1">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支持后台用户个人隐私数据脱敏。</w:t>
            </w:r>
          </w:p>
          <w:p w14:paraId="1B03A9D9">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支持后台角色权限分配细化到菜单和数据级别。</w:t>
            </w:r>
          </w:p>
          <w:p w14:paraId="6E8293EB">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left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cs="宋体"/>
                <w:b/>
                <w:bCs/>
                <w:color w:val="auto"/>
                <w:kern w:val="2"/>
                <w:sz w:val="18"/>
                <w:szCs w:val="18"/>
                <w:lang w:val="en-US" w:eastAsia="zh-CN" w:bidi="ar-SA"/>
              </w:rPr>
              <w:t xml:space="preserve">9. </w:t>
            </w:r>
            <w:r>
              <w:rPr>
                <w:rFonts w:hint="eastAsia" w:ascii="宋体" w:hAnsi="宋体" w:eastAsia="宋体" w:cs="宋体"/>
                <w:b/>
                <w:bCs/>
                <w:color w:val="auto"/>
                <w:kern w:val="2"/>
                <w:sz w:val="18"/>
                <w:szCs w:val="18"/>
                <w:lang w:val="en-US" w:eastAsia="zh-CN" w:bidi="ar-SA"/>
              </w:rPr>
              <w:t>信用管理：</w:t>
            </w:r>
          </w:p>
          <w:p w14:paraId="6F74F271">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支持对系统脱机交易时使用的信用服务（即信用支付机制）进行管理，包含信用额度设置、信用额度调整、风险预警、信用额度恢复模式等功能。</w:t>
            </w:r>
          </w:p>
          <w:p w14:paraId="451FF40F">
            <w:pPr>
              <w:keepNext w:val="0"/>
              <w:keepLines w:val="0"/>
              <w:pageBreakBefore w:val="0"/>
              <w:widowControl w:val="0"/>
              <w:numPr>
                <w:ilvl w:val="0"/>
                <w:numId w:val="2"/>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交易规则管理：</w:t>
            </w:r>
          </w:p>
          <w:p w14:paraId="7DC8BE8F">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支持配置对应产品规则的功能，包括打折优惠、管理费、补贴、消费规则、专款专用等业务模式，满足学校特殊餐饮或支付服务的需求。</w:t>
            </w:r>
          </w:p>
          <w:p w14:paraId="0D68DC1A">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支持产品规则创建后，自动下发到应用系统或终端内。</w:t>
            </w:r>
          </w:p>
          <w:p w14:paraId="12AB4348">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支持专款专用包绑定用户，可根据用户的属性进行绑定，包括用户所属校区、用户身份类别、用户学号、用户所在部门、用户所属民族、用户标签等属性，支持批量绑定。</w:t>
            </w:r>
            <w:r>
              <w:rPr>
                <w:rFonts w:hint="eastAsia" w:ascii="宋体" w:hAnsi="宋体" w:cs="宋体"/>
                <w:color w:val="auto"/>
                <w:kern w:val="2"/>
                <w:sz w:val="18"/>
                <w:szCs w:val="18"/>
                <w:lang w:val="en-US" w:eastAsia="zh-CN" w:bidi="ar-SA"/>
              </w:rPr>
              <w:t xml:space="preserve"> </w:t>
            </w:r>
          </w:p>
          <w:p w14:paraId="395F167B">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支持专款专用包绑定校园商户，可设置指定用户在指定商户、指定终端上使用该钱包消费。</w:t>
            </w:r>
          </w:p>
          <w:p w14:paraId="37DC28FA">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系统支持将交易规则定义为不同的“产品”，包含产品管理、用户绑定产品、绑定商户、添加明细等功能。</w:t>
            </w:r>
          </w:p>
        </w:tc>
        <w:tc>
          <w:tcPr>
            <w:tcW w:w="540" w:type="dxa"/>
            <w:tcBorders>
              <w:tl2br w:val="nil"/>
              <w:tr2bl w:val="nil"/>
            </w:tcBorders>
            <w:shd w:val="clear" w:color="000000" w:fill="FFFFFF"/>
            <w:noWrap w:val="0"/>
            <w:vAlign w:val="center"/>
          </w:tcPr>
          <w:p w14:paraId="6264F9AE">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096C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1AB9A2ED">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809" w:type="dxa"/>
            <w:tcBorders>
              <w:tl2br w:val="nil"/>
              <w:tr2bl w:val="nil"/>
            </w:tcBorders>
            <w:shd w:val="clear" w:color="000000" w:fill="FFFFFF"/>
            <w:noWrap w:val="0"/>
            <w:vAlign w:val="center"/>
          </w:tcPr>
          <w:p w14:paraId="399166D3">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开放</w:t>
            </w:r>
          </w:p>
          <w:p w14:paraId="6F1BAF1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平台</w:t>
            </w:r>
          </w:p>
        </w:tc>
        <w:tc>
          <w:tcPr>
            <w:tcW w:w="601" w:type="dxa"/>
            <w:tcBorders>
              <w:tl2br w:val="nil"/>
              <w:tr2bl w:val="nil"/>
            </w:tcBorders>
            <w:shd w:val="clear" w:color="000000" w:fill="FFFFFF"/>
            <w:noWrap w:val="0"/>
            <w:vAlign w:val="center"/>
          </w:tcPr>
          <w:p w14:paraId="7C8EE98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新开普一校通平台V1.0</w:t>
            </w:r>
          </w:p>
        </w:tc>
        <w:tc>
          <w:tcPr>
            <w:tcW w:w="6043" w:type="dxa"/>
            <w:tcBorders>
              <w:tl2br w:val="nil"/>
              <w:tr2bl w:val="nil"/>
            </w:tcBorders>
            <w:shd w:val="clear" w:color="000000" w:fill="FFFFFF"/>
            <w:noWrap w:val="0"/>
            <w:vAlign w:val="center"/>
          </w:tcPr>
          <w:p w14:paraId="61C8673D">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将平台层的身份认证、介质能力、交易流水、用户数据、商户数据等业务能力抽象为各类接口，提供给三方接入者（三方业务系统）。支持为第三方系统开放入口、用户、数据等接口资源，分配平台中提供的各类接口，接口分配与管理可视化管理，权限可控、三方调用可审计，构建起多方深度协作、资源共同分享的服务平台，满足未来智慧校园建设的对接服务。</w:t>
            </w:r>
          </w:p>
          <w:p w14:paraId="652367DA">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系统支持完善的角色、操作员管理功能，包含角色管理、操作员绑定角色、权限管理、日志管理等。</w:t>
            </w:r>
          </w:p>
          <w:p w14:paraId="546246F2">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接入系统管理</w:t>
            </w:r>
          </w:p>
          <w:p w14:paraId="52219B2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支持接入系统管理功能，包括接入者账号权限、配置不同加密方式（支持国密 SM4）、配置签名方式（支持 MD5 和国密算法 SM3）、IP 白名单地址（支持多 IP 绑定）等。</w:t>
            </w:r>
          </w:p>
          <w:p w14:paraId="69A03E86">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接口管理</w:t>
            </w:r>
          </w:p>
          <w:p w14:paraId="2DC85C6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支持管理开放平台内封装的接口，包含查询接口列表、添加接口、接口编辑等，为了提高操作便利性，接口列表显示接口名称、接口简介、接口 URL、接口入参示例等信息。</w:t>
            </w:r>
          </w:p>
          <w:p w14:paraId="19221F5F">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接口分配</w:t>
            </w:r>
          </w:p>
          <w:p w14:paraId="67E7BEF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第三方接入系统分配接口，包含查询接口、添加接口分配、批量分配、设置有效期等，支持从接口菜单中选择对应的联动接口，可视化完成接口分配操作，让三方系统的开发者（合作者）拥有调用接口的能力。</w:t>
            </w:r>
          </w:p>
          <w:p w14:paraId="7126A496">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开发者服务入口</w:t>
            </w:r>
          </w:p>
          <w:p w14:paraId="0CFAA6A6">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支持开发者（合作者）自行申请注册账户，学校审核通过后完成账户创建，开发者（合作者）按照对接需求，选择需要的接口提出申请，管理员审批后，可查看开发文档，辅助开发者（合作者）完成业务对接。</w:t>
            </w:r>
          </w:p>
          <w:p w14:paraId="4102A1D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开发者（合作者）可以在平台查看系统对外开放申请的服务接口及接口描述、申请调用后的审核状态。经审核后，开发者（合作者）可查看已申请服务接口的相关信息，包含服务接口简介、接入示例以及相关实例。</w:t>
            </w:r>
          </w:p>
          <w:p w14:paraId="529BF2C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支持管理员在管理员面前直接为开发者（合作者）分配接口及权限授权/授禁，可视化操作、所见即所得。</w:t>
            </w:r>
          </w:p>
          <w:p w14:paraId="112D763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系统可提供合作者和管理者两种视图模式，管理者视图首页可使展示已注册合作者、合作者调用数据（包括今日使用最多接口、今日最活跃接口、接口耗时、异常接口调用等），支持可视化便捷管理。</w:t>
            </w:r>
          </w:p>
          <w:p w14:paraId="38AD2DE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管理者视图中，支持运行日志图形化展示功能。</w:t>
            </w:r>
          </w:p>
          <w:p w14:paraId="4ADC759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支持接口</w:t>
            </w:r>
            <w:r>
              <w:rPr>
                <w:rFonts w:hint="eastAsia" w:ascii="宋体" w:hAnsi="宋体" w:cs="宋体"/>
                <w:color w:val="auto"/>
                <w:kern w:val="2"/>
                <w:sz w:val="18"/>
                <w:szCs w:val="18"/>
                <w:lang w:val="en-US" w:eastAsia="zh-CN" w:bidi="ar-SA"/>
              </w:rPr>
              <w:t>克隆</w:t>
            </w:r>
            <w:r>
              <w:rPr>
                <w:rFonts w:hint="eastAsia" w:ascii="宋体" w:hAnsi="宋体" w:eastAsia="宋体" w:cs="宋体"/>
                <w:color w:val="auto"/>
                <w:kern w:val="2"/>
                <w:sz w:val="18"/>
                <w:szCs w:val="18"/>
                <w:lang w:val="en-US" w:eastAsia="zh-CN" w:bidi="ar-SA"/>
              </w:rPr>
              <w:t>，管理者可使用原有服务接口快速创建同类接口，可控制同样业务接口的入参与出参的字段不同。</w:t>
            </w:r>
          </w:p>
          <w:p w14:paraId="4EF150A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免费实现与学校网上办事大厅等平台的对接。</w:t>
            </w:r>
          </w:p>
        </w:tc>
        <w:tc>
          <w:tcPr>
            <w:tcW w:w="540" w:type="dxa"/>
            <w:tcBorders>
              <w:tl2br w:val="nil"/>
              <w:tr2bl w:val="nil"/>
            </w:tcBorders>
            <w:shd w:val="clear" w:color="000000" w:fill="FFFFFF"/>
            <w:noWrap w:val="0"/>
            <w:vAlign w:val="center"/>
          </w:tcPr>
          <w:p w14:paraId="37B983A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7D32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358D3D8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809" w:type="dxa"/>
            <w:tcBorders>
              <w:tl2br w:val="nil"/>
              <w:tr2bl w:val="nil"/>
            </w:tcBorders>
            <w:shd w:val="clear" w:color="000000" w:fill="FFFFFF"/>
            <w:noWrap w:val="0"/>
            <w:vAlign w:val="center"/>
          </w:tcPr>
          <w:p w14:paraId="18C0A48D">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移动</w:t>
            </w:r>
          </w:p>
          <w:p w14:paraId="49B276D5">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服务</w:t>
            </w:r>
          </w:p>
          <w:p w14:paraId="759EF8E4">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平台</w:t>
            </w:r>
          </w:p>
        </w:tc>
        <w:tc>
          <w:tcPr>
            <w:tcW w:w="601" w:type="dxa"/>
            <w:tcBorders>
              <w:tl2br w:val="nil"/>
              <w:tr2bl w:val="nil"/>
            </w:tcBorders>
            <w:shd w:val="clear" w:color="000000" w:fill="FFFFFF"/>
            <w:noWrap w:val="0"/>
            <w:vAlign w:val="center"/>
          </w:tcPr>
          <w:p w14:paraId="42A54B33">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新开普一校通平台V1.0</w:t>
            </w:r>
          </w:p>
        </w:tc>
        <w:tc>
          <w:tcPr>
            <w:tcW w:w="6043" w:type="dxa"/>
            <w:tcBorders>
              <w:tl2br w:val="nil"/>
              <w:tr2bl w:val="nil"/>
            </w:tcBorders>
            <w:noWrap w:val="0"/>
            <w:vAlign w:val="center"/>
          </w:tcPr>
          <w:p w14:paraId="763CBCE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面向校园卡用户、商户提供综合服务系统中适用于移动终端界面的常用功能。</w:t>
            </w:r>
          </w:p>
          <w:p w14:paraId="5FEAA35B">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移动服务平台包括移动应用（用户端）、移动应用（商户端）和后台管理。</w:t>
            </w:r>
          </w:p>
          <w:p w14:paraId="66D2906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本项目免费提供APP载体，集成以下各类移动应用，同时，也支持移动应用集成在学校微信公众号/小程序、企业微信APP、钉钉APP、今日校园APP等各类宿主中，提供承诺函。</w:t>
            </w:r>
          </w:p>
          <w:p w14:paraId="42841A01">
            <w:pPr>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移动应用（用户端）：</w:t>
            </w:r>
          </w:p>
          <w:p w14:paraId="7B194D46">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移动应用服务包括校园卡绑定/解绑、电子校园卡（虚拟卡）信息展示、扫一扫/校园网展示、充值、抢卡登记/丢卡查询、校园卡挂失、交易记录、限额/密码修改、手机用水、门禁应用、证件照采集、自助购水/购电、自助缴费、课堂考勤应用等。</w:t>
            </w:r>
          </w:p>
          <w:p w14:paraId="3E6B7D1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（2）首页个人信息区支持脱敏显示，包括学工号、姓名、余额等信息。</w:t>
            </w:r>
          </w:p>
          <w:p w14:paraId="7157364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（3）首页支持展示高频应用（扫一扫和校园码）快捷图标和常用应用图标矩阵。</w:t>
            </w:r>
          </w:p>
          <w:p w14:paraId="233AE28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（4）首页常用应用：支持个人自定义首页展示的日常应用。</w:t>
            </w:r>
          </w:p>
          <w:p w14:paraId="14D78A5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（5）校园码支持离线码模式，可在后台启用/停用，离线码可在消费终端断网时正常使用。</w:t>
            </w:r>
          </w:p>
          <w:p w14:paraId="361AE54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（6）交易记录：支持以订单视角展示消费过程数据，可以按照月份查询交易记录，按照产生的时间倒序排列，记录类型包括充值、消费、补助和转账等。支持查看交易订单的明细信息。</w:t>
            </w:r>
          </w:p>
          <w:p w14:paraId="518CF0F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（7）余额明细查询：支持以余额视角展示消费过程数据，可以查看每笔交易后的余额。</w:t>
            </w:r>
          </w:p>
          <w:p w14:paraId="4357AD9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（8）为他人充值：支持手机端为他人一卡通账户充值。</w:t>
            </w:r>
          </w:p>
          <w:p w14:paraId="01FBD3A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（9）余额明细中可展示脱机情况下的交易记录。由于此类交易记录是终端恢复联网后上传，记录中支持展示“交易发生时间”和“记录创建时间”。</w:t>
            </w:r>
          </w:p>
          <w:p w14:paraId="7FF160C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（10）消息提醒：支持欠费提醒、充值提醒和余额提醒等消息通知。</w:t>
            </w:r>
          </w:p>
          <w:p w14:paraId="6D8B2EF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（11）透支提醒：用户账户余额为负值时，系统将发送余额不足提醒。</w:t>
            </w:r>
          </w:p>
          <w:p w14:paraId="06EF22B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（12）清欠提醒：用户账户欠费后充值，系统将发送充值到账提醒和延时扣款（即欠费补扣）记录提醒。</w:t>
            </w:r>
          </w:p>
          <w:p w14:paraId="1765463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（13）支持用户查阅“常见问题”，进行“问题反馈”。</w:t>
            </w:r>
          </w:p>
          <w:p w14:paraId="3E8B80A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cs="宋体"/>
                <w:b/>
                <w:bCs/>
                <w:color w:val="auto"/>
                <w:kern w:val="2"/>
                <w:sz w:val="18"/>
                <w:szCs w:val="18"/>
                <w:lang w:val="en-US" w:eastAsia="zh-CN" w:bidi="ar-SA"/>
              </w:rPr>
              <w:t xml:space="preserve">2. </w:t>
            </w:r>
            <w:r>
              <w:rPr>
                <w:rFonts w:hint="eastAsia" w:ascii="宋体" w:hAnsi="宋体" w:eastAsia="宋体" w:cs="宋体"/>
                <w:b/>
                <w:bCs/>
                <w:color w:val="auto"/>
                <w:kern w:val="2"/>
                <w:sz w:val="18"/>
                <w:szCs w:val="18"/>
                <w:lang w:val="en-US" w:eastAsia="zh-CN" w:bidi="ar-SA"/>
              </w:rPr>
              <w:t>移动商户端：</w:t>
            </w:r>
          </w:p>
          <w:p w14:paraId="0CAF43F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（1）商户使用后台管理软件内设置的商户账户完成身份认证。由商户自助输入商户号和商户密码完成移动应用内的身份绑定。</w:t>
            </w:r>
          </w:p>
          <w:p w14:paraId="06A39CB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（2）移动应用服务包括商户账户绑定/解绑、首页概览、商户中心、修改密码、终端交易记录、商户报表、子商户报表等。</w:t>
            </w:r>
          </w:p>
          <w:p w14:paraId="3C270B8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（3）首页概览可展示当日营收、昨日营收和近七日营收统计的交易金额和交易笔数，支持按照交易金额和交易笔数两个维度通过折线图来展示近七日的营收趋势。</w:t>
            </w:r>
          </w:p>
          <w:p w14:paraId="00BDE67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（4）支持商户手机端查询餐次日/月报和餐次自定义汇总报表查询。</w:t>
            </w:r>
          </w:p>
          <w:p w14:paraId="38FA437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（5）支持终端交易记录默认显示当天商户所辖终端的所有交易记录。支持按自然日或自定义时间段进行筛选；支持按全部终端或指定终端进行筛选。</w:t>
            </w:r>
          </w:p>
          <w:p w14:paraId="3E0C832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（6）商户报表默认展示近6个月的每月交易笔数与交易金额汇总数据，支持展开显示每个月的每日汇总数据，支持按自然月或自定义时间段查询每日汇总数据。</w:t>
            </w:r>
          </w:p>
          <w:p w14:paraId="412C990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（7）支持查询展示子商户的月汇总统计、日汇总统计和自定义时间段的日汇总统计。</w:t>
            </w:r>
          </w:p>
          <w:p w14:paraId="14BAD5C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cs="宋体"/>
                <w:b/>
                <w:bCs/>
                <w:color w:val="auto"/>
                <w:kern w:val="2"/>
                <w:sz w:val="18"/>
                <w:szCs w:val="18"/>
                <w:lang w:val="en-US" w:eastAsia="zh-CN" w:bidi="ar-SA"/>
              </w:rPr>
              <w:t xml:space="preserve">3. </w:t>
            </w:r>
            <w:r>
              <w:rPr>
                <w:rFonts w:hint="eastAsia" w:ascii="宋体" w:hAnsi="宋体" w:eastAsia="宋体" w:cs="宋体"/>
                <w:b/>
                <w:bCs/>
                <w:color w:val="auto"/>
                <w:kern w:val="2"/>
                <w:sz w:val="18"/>
                <w:szCs w:val="18"/>
                <w:lang w:val="en-US" w:eastAsia="zh-CN" w:bidi="ar-SA"/>
              </w:rPr>
              <w:t>后台管理：</w:t>
            </w:r>
          </w:p>
          <w:p w14:paraId="4242EF4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包含支撑前端功能实现的基础配置和参数管理功能，包括应用菜单管理、页面提示管理、宿主管理、充值设置、皮肤设置、校园卡绑定设置、用户协议管理、虚拟卡卡样设置、水电网缴费设置、用户认证管理、消息发布等。</w:t>
            </w:r>
          </w:p>
          <w:p w14:paraId="49E7419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（2）应用菜单管理，支持后台配置前台可见的应用功能。</w:t>
            </w:r>
          </w:p>
          <w:p w14:paraId="5CE80B2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（3）支持页面信息提示功能。支持在不同宿主中，对不同应用功能添加页面信息提示，提示内容可由管理人员自定义编辑。</w:t>
            </w:r>
          </w:p>
          <w:p w14:paraId="201C56D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（4）管理员可在后台设置宿主接入地址等配置参数。</w:t>
            </w:r>
          </w:p>
          <w:p w14:paraId="62D5697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（5）充值设置：支持设置三方充值方式和预设充值金额。</w:t>
            </w:r>
          </w:p>
          <w:p w14:paraId="7F1269D6">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（6）在校园卡绑定功能中，针对在校师生、商户、商户管理员不同身份人群提供认证方式的设置与管理。</w:t>
            </w:r>
          </w:p>
          <w:p w14:paraId="053DE37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（7）可根据实际需求设计虚拟校园卡版面样式，支持为不同身份的用户绑定不同样式的虚拟卡版面。卡样中可设置卡面背景、学校logo、学校名称、照片、身份信息等内容。</w:t>
            </w:r>
          </w:p>
          <w:p w14:paraId="1F7E4C0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（8）管理员可在后台对《用户协议》内容进行管理。支持针对不同角色展示不同的用户协议内容。</w:t>
            </w:r>
          </w:p>
        </w:tc>
        <w:tc>
          <w:tcPr>
            <w:tcW w:w="540" w:type="dxa"/>
            <w:tcBorders>
              <w:tl2br w:val="nil"/>
              <w:tr2bl w:val="nil"/>
            </w:tcBorders>
            <w:noWrap w:val="0"/>
            <w:vAlign w:val="center"/>
          </w:tcPr>
          <w:p w14:paraId="5B6F29F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47CE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3D1B102D">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809" w:type="dxa"/>
            <w:tcBorders>
              <w:tl2br w:val="nil"/>
              <w:tr2bl w:val="nil"/>
            </w:tcBorders>
            <w:shd w:val="clear" w:color="000000" w:fill="FFFFFF"/>
            <w:noWrap w:val="0"/>
            <w:vAlign w:val="center"/>
          </w:tcPr>
          <w:p w14:paraId="686D65D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支付</w:t>
            </w:r>
          </w:p>
          <w:p w14:paraId="54A6A43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服务</w:t>
            </w:r>
          </w:p>
          <w:p w14:paraId="474FF14F">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平台</w:t>
            </w:r>
          </w:p>
        </w:tc>
        <w:tc>
          <w:tcPr>
            <w:tcW w:w="601" w:type="dxa"/>
            <w:tcBorders>
              <w:tl2br w:val="nil"/>
              <w:tr2bl w:val="nil"/>
            </w:tcBorders>
            <w:shd w:val="clear" w:color="000000" w:fill="FFFFFF"/>
            <w:noWrap w:val="0"/>
            <w:vAlign w:val="center"/>
          </w:tcPr>
          <w:p w14:paraId="3BC7DE2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新开普一校通平台V1.0</w:t>
            </w:r>
          </w:p>
        </w:tc>
        <w:tc>
          <w:tcPr>
            <w:tcW w:w="6043" w:type="dxa"/>
            <w:tcBorders>
              <w:tl2br w:val="nil"/>
              <w:tr2bl w:val="nil"/>
            </w:tcBorders>
            <w:shd w:val="clear" w:color="000000" w:fill="FFFFFF"/>
            <w:noWrap w:val="0"/>
            <w:vAlign w:val="center"/>
          </w:tcPr>
          <w:p w14:paraId="1B26A36D">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支付平台支持收单机构管理、支付方式管理、支付渠道管理、支付参数设置、支付路由设置、订单管理、自动对账、报表管理等功能，负责承载线上线下支付业务。</w:t>
            </w:r>
          </w:p>
          <w:p w14:paraId="194D00FA">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支持各类角色管理的登录菜单及按钮菜单的管理功能，支持自定义各角色的权限。</w:t>
            </w:r>
          </w:p>
          <w:p w14:paraId="59483C3B">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支持开通三方支付后定义不同的收单机构。线上支付，可定义不同的支付项目设置不同的收单机构：线下支付，可定义不同的终端归属不同的收单机构，可实现支付业务自动清算。</w:t>
            </w:r>
          </w:p>
          <w:p w14:paraId="44A99652">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支持配置开通不同的支付方式，支持注册并管理各类三方支付接口信息，包括微信、支付宝、银联云闪付等。</w:t>
            </w:r>
          </w:p>
          <w:p w14:paraId="1DB3B8E1">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支持支付渠道管理功能，支持将若干支付方式组合为一种支付渠道，支持定义多种支付渠道后灵活配置给不同的支付业务。</w:t>
            </w:r>
          </w:p>
          <w:p w14:paraId="533D512C">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支持订单管理，可通过订单号、支付方式、开始时间、结束时间等组合条件查询支付的交易明细情况。</w:t>
            </w:r>
          </w:p>
          <w:p w14:paraId="6826B4DD">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支持自动对账，可查询对账结果，可分别查看对账成功和对账异常的明细数据，支持导出为文件。</w:t>
            </w:r>
          </w:p>
          <w:p w14:paraId="148E1B2F">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平台在交易机制方面，遵照金融行业交易标准，采用“金融在线、联机交易”模式，以数据库中账户金额作为唯一交易基准，卡内芯片不存储用户的账户余额，只用作身份验证，可保证账务平衡，彻底解决卡库不平问题。</w:t>
            </w:r>
          </w:p>
          <w:p w14:paraId="4227A2A4">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系统具备服务器宕机和终端断网等极端情况下的业务不中断设计，在一卡通平台网络异常服务中断情况下，消费POS设备可显示聚合支付二维码，师生可用微信、支付宝扫码完成校园消费。</w:t>
            </w:r>
          </w:p>
        </w:tc>
        <w:tc>
          <w:tcPr>
            <w:tcW w:w="540" w:type="dxa"/>
            <w:tcBorders>
              <w:tl2br w:val="nil"/>
              <w:tr2bl w:val="nil"/>
            </w:tcBorders>
            <w:shd w:val="clear" w:color="000000" w:fill="FFFFFF"/>
            <w:noWrap w:val="0"/>
            <w:vAlign w:val="center"/>
          </w:tcPr>
          <w:p w14:paraId="7BC2F8D6">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Lines="0" w:after="0" w:afterLines="0" w:line="300" w:lineRule="exact"/>
              <w:jc w:val="both"/>
              <w:textAlignment w:val="auto"/>
              <w:rPr>
                <w:rFonts w:hint="eastAsia" w:ascii="宋体" w:hAnsi="宋体" w:eastAsia="宋体" w:cs="宋体"/>
                <w:color w:val="auto"/>
                <w:kern w:val="2"/>
                <w:sz w:val="18"/>
                <w:szCs w:val="18"/>
                <w:lang w:val="en-US" w:eastAsia="zh-CN" w:bidi="ar-SA"/>
              </w:rPr>
            </w:pPr>
          </w:p>
        </w:tc>
      </w:tr>
      <w:tr w14:paraId="0E99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2FA9A91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809" w:type="dxa"/>
            <w:tcBorders>
              <w:tl2br w:val="nil"/>
              <w:tr2bl w:val="nil"/>
            </w:tcBorders>
            <w:shd w:val="clear" w:color="000000" w:fill="FFFFFF"/>
            <w:noWrap w:val="0"/>
            <w:vAlign w:val="center"/>
          </w:tcPr>
          <w:p w14:paraId="025E509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运维</w:t>
            </w:r>
          </w:p>
          <w:p w14:paraId="2F08134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监控</w:t>
            </w:r>
          </w:p>
          <w:p w14:paraId="76D2538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平台</w:t>
            </w:r>
          </w:p>
        </w:tc>
        <w:tc>
          <w:tcPr>
            <w:tcW w:w="601" w:type="dxa"/>
            <w:tcBorders>
              <w:tl2br w:val="nil"/>
              <w:tr2bl w:val="nil"/>
            </w:tcBorders>
            <w:shd w:val="clear" w:color="000000" w:fill="FFFFFF"/>
            <w:noWrap w:val="0"/>
            <w:vAlign w:val="center"/>
          </w:tcPr>
          <w:p w14:paraId="741864E3">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新开普一校通平台V1.0</w:t>
            </w:r>
          </w:p>
        </w:tc>
        <w:tc>
          <w:tcPr>
            <w:tcW w:w="6043" w:type="dxa"/>
            <w:tcBorders>
              <w:tl2br w:val="nil"/>
              <w:tr2bl w:val="nil"/>
            </w:tcBorders>
            <w:shd w:val="clear" w:color="000000" w:fill="FFFFFF"/>
            <w:noWrap w:val="0"/>
            <w:vAlign w:val="center"/>
          </w:tcPr>
          <w:p w14:paraId="6FC3E43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针对各类服务平台及智能终端、通用设备，构建一套专业的业务监控服务平台，实现本项目全校统一的运维风控管理，从数据、业务、设备、性能等多个维度为学校提供综合运维监控服务，对所有接口的运行状态进行存储和审计，内置自主运维、自动运维、可视化运维的服务运行机制，用以降低未来运维过程中人力与时间等资源的投入。</w:t>
            </w:r>
          </w:p>
          <w:p w14:paraId="1687A577">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监控设置：</w:t>
            </w:r>
          </w:p>
          <w:p w14:paraId="37F3F3F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对“一卡通”各类（消费类、身份识别类）终端机具、各类服务器（数据库服务器、业务服务器）、网络信息点、部署的软件服务进行有效的状态监控及预警。支持将这些运行状态集中投放在大屏设备上，管理人员可以直观获悉“一卡通”业务运行状况。</w:t>
            </w:r>
          </w:p>
          <w:p w14:paraId="70840373">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大屏展示：</w:t>
            </w:r>
          </w:p>
          <w:p w14:paraId="3F5D3B3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支持自定义大屏显示内容，支持按照时间段查询和统计设备运行情况，支持数据回溯，支持同比（即历史同期对比），支持图表化展示，支持单独分屏显示，协助管理员快速定位故障。</w:t>
            </w:r>
          </w:p>
          <w:p w14:paraId="3760A718">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运维可视化：</w:t>
            </w:r>
          </w:p>
          <w:p w14:paraId="604EC35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系统支持为运维业务提供运维监控大屏，大屏展示服务业务相关信息，展示内容可根据学校运维需要后台自行设置，支持以图表展示，如表盘模式、曲线图、图表、饼状图、柱状图等。</w:t>
            </w:r>
          </w:p>
          <w:p w14:paraId="6F70F0C0">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消息推送：</w:t>
            </w:r>
          </w:p>
          <w:p w14:paraId="367E8D1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支持设定推送至管理员或管理员组，支持短信、邮件或根据要求与三方消息系统对接，及时发送消息提醒来保障运维工作的时效性；支持对维修事项进行登记，系统中所产生的各类运维记录可作为对维护人员的考核依据。</w:t>
            </w:r>
          </w:p>
        </w:tc>
        <w:tc>
          <w:tcPr>
            <w:tcW w:w="540" w:type="dxa"/>
            <w:tcBorders>
              <w:tl2br w:val="nil"/>
              <w:tr2bl w:val="nil"/>
            </w:tcBorders>
            <w:shd w:val="clear" w:color="000000" w:fill="FFFFFF"/>
            <w:noWrap w:val="0"/>
            <w:vAlign w:val="center"/>
          </w:tcPr>
          <w:p w14:paraId="6623EA8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12BA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4BFF2F37">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809" w:type="dxa"/>
            <w:tcBorders>
              <w:tl2br w:val="nil"/>
              <w:tr2bl w:val="nil"/>
            </w:tcBorders>
            <w:shd w:val="clear" w:color="000000" w:fill="FFFFFF"/>
            <w:noWrap w:val="0"/>
            <w:vAlign w:val="center"/>
          </w:tcPr>
          <w:p w14:paraId="25E6860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密钥</w:t>
            </w:r>
          </w:p>
          <w:p w14:paraId="35C88006">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管理</w:t>
            </w:r>
          </w:p>
          <w:p w14:paraId="5DFC3DD3">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系统</w:t>
            </w:r>
          </w:p>
        </w:tc>
        <w:tc>
          <w:tcPr>
            <w:tcW w:w="601" w:type="dxa"/>
            <w:tcBorders>
              <w:tl2br w:val="nil"/>
              <w:tr2bl w:val="nil"/>
            </w:tcBorders>
            <w:shd w:val="clear" w:color="000000" w:fill="FFFFFF"/>
            <w:noWrap w:val="0"/>
            <w:vAlign w:val="center"/>
          </w:tcPr>
          <w:p w14:paraId="56B8956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新开普智能卡密钥管理系统V1.0</w:t>
            </w:r>
          </w:p>
        </w:tc>
        <w:tc>
          <w:tcPr>
            <w:tcW w:w="6043" w:type="dxa"/>
            <w:tcBorders>
              <w:tl2br w:val="nil"/>
              <w:tr2bl w:val="nil"/>
            </w:tcBorders>
            <w:shd w:val="clear" w:color="000000" w:fill="FFFFFF"/>
            <w:noWrap w:val="0"/>
            <w:vAlign w:val="center"/>
          </w:tcPr>
          <w:p w14:paraId="374DA19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支持国密算法（支持 SM2/SM3/SM4 算法），其主要功能是在保证密钥安全的基础上，实现密钥的生成、注入、备份、恢复、更新、导出、服务和销毁等功能。同时，密钥受到严格的权限控制，不同机构或人员对不同 密钥的生成、更新、使用等操作拥有不同的权限。密钥管理釆用金融加密机硬件加密认证，符合金融行业加密体系标准。 </w:t>
            </w:r>
          </w:p>
          <w:p w14:paraId="0B064EC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1.采用硬件加/解密技术，适配硬件加密机； </w:t>
            </w:r>
          </w:p>
          <w:p w14:paraId="5A88795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2.支持发行 PSAM 卡、发行 CPU 用户卡； </w:t>
            </w:r>
          </w:p>
          <w:p w14:paraId="293DE4E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3.支持各类卡片回收管理； </w:t>
            </w:r>
          </w:p>
          <w:p w14:paraId="53DCA6F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4.支持运行日志和操作日志； </w:t>
            </w:r>
          </w:p>
          <w:p w14:paraId="6CC8CD9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5.该系统与一卡通管理平台为同一品牌（软著主体均为“新开普电 子股份有限公司”），拥有该产品的独立自主的知识产权且加/解密所用商密产品符合国家标准。</w:t>
            </w:r>
          </w:p>
        </w:tc>
        <w:tc>
          <w:tcPr>
            <w:tcW w:w="540" w:type="dxa"/>
            <w:tcBorders>
              <w:tl2br w:val="nil"/>
              <w:tr2bl w:val="nil"/>
            </w:tcBorders>
            <w:shd w:val="clear" w:color="000000" w:fill="FFFFFF"/>
            <w:noWrap w:val="0"/>
            <w:vAlign w:val="center"/>
          </w:tcPr>
          <w:p w14:paraId="7766099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1573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43EFF746">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w:t>
            </w:r>
          </w:p>
        </w:tc>
        <w:tc>
          <w:tcPr>
            <w:tcW w:w="809" w:type="dxa"/>
            <w:tcBorders>
              <w:tl2br w:val="nil"/>
              <w:tr2bl w:val="nil"/>
            </w:tcBorders>
            <w:shd w:val="clear" w:color="000000" w:fill="FFFFFF"/>
            <w:noWrap w:val="0"/>
            <w:vAlign w:val="center"/>
          </w:tcPr>
          <w:p w14:paraId="43E1437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人脸</w:t>
            </w:r>
          </w:p>
          <w:p w14:paraId="33CD1F6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认证</w:t>
            </w:r>
          </w:p>
          <w:p w14:paraId="4F68538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服务</w:t>
            </w:r>
          </w:p>
          <w:p w14:paraId="05EADE6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平台</w:t>
            </w:r>
          </w:p>
        </w:tc>
        <w:tc>
          <w:tcPr>
            <w:tcW w:w="601" w:type="dxa"/>
            <w:tcBorders>
              <w:tl2br w:val="nil"/>
              <w:tr2bl w:val="nil"/>
            </w:tcBorders>
            <w:shd w:val="clear" w:color="000000" w:fill="FFFFFF"/>
            <w:noWrap w:val="0"/>
            <w:vAlign w:val="center"/>
          </w:tcPr>
          <w:p w14:paraId="06386C47">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新开普人脸认证服务平台V1.0</w:t>
            </w:r>
          </w:p>
        </w:tc>
        <w:tc>
          <w:tcPr>
            <w:tcW w:w="6043" w:type="dxa"/>
            <w:tcBorders>
              <w:tl2br w:val="nil"/>
              <w:tr2bl w:val="nil"/>
            </w:tcBorders>
            <w:noWrap w:val="0"/>
            <w:vAlign w:val="center"/>
          </w:tcPr>
          <w:p w14:paraId="1E1AD6AD">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支持面向各业务系统综合提供人脸认证服务能力，根据业务场景算法需要，输出算法所需的人脸特征值，满足未来智慧校园下各类人脸识别业务，将人脸认证服务平台建设成学校智慧校园“能力中台”，通过能力共享模式辅助学校未来人脸认证服务场景需要。 </w:t>
            </w:r>
          </w:p>
          <w:p w14:paraId="77B52D56">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1.组织机构信息维护：支持查询、编辑、删除信息； </w:t>
            </w:r>
          </w:p>
          <w:p w14:paraId="1C2091B9">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2.支持同时接入多种人脸识别算法，内置旷视和亿智，可扩展接入阅面、商汤等； </w:t>
            </w:r>
          </w:p>
          <w:p w14:paraId="3D1A74A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3.支持按算法设置不同的参数组； </w:t>
            </w:r>
          </w:p>
          <w:p w14:paraId="55AD83FD">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4.支持为应用系统接入提供规范接口，应用系统接入支持授权管控； </w:t>
            </w:r>
          </w:p>
          <w:p w14:paraId="2D92D21D">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5.支持经授权（包括识别分组和访问接口）接入不同的应用系统，向各应用系统提供人脸识别能力； </w:t>
            </w:r>
          </w:p>
          <w:p w14:paraId="063AB729">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6.支持接入多种类型的人脸识别终端，包含离线识别类设备、联机识别类、三方设备类； </w:t>
            </w:r>
          </w:p>
          <w:p w14:paraId="35EBE391">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7.支持从三方系统同步用户照片；支持 H5 应用自助上传照片；支持通过平台批量导入照片和特征； </w:t>
            </w:r>
          </w:p>
          <w:p w14:paraId="376C4113">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8.支持用户照片采集后根据不同算法提取人脸特征； </w:t>
            </w:r>
          </w:p>
          <w:p w14:paraId="681CE018">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9.支持根据业务系统设置自动更新下发人员特征； </w:t>
            </w:r>
          </w:p>
          <w:p w14:paraId="5DA48A92">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10.支持向各业务系统推送人脸识别记录； </w:t>
            </w:r>
          </w:p>
          <w:p w14:paraId="47BD9139">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11.支持活体检测，可有效防御纸质照片、电子照片、视频、面具等作弊方式； </w:t>
            </w:r>
          </w:p>
          <w:p w14:paraId="25CCBACE">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12.支持以图搜索，可上传人脸照片由系统自动比对搜索，筛选并显示出与其相似度较高的记录照片，支持以相似度排序展示并关联通行记录； </w:t>
            </w:r>
          </w:p>
          <w:p w14:paraId="27AA1849">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13.支持认证记录明细和汇总查询；</w:t>
            </w:r>
          </w:p>
        </w:tc>
        <w:tc>
          <w:tcPr>
            <w:tcW w:w="540" w:type="dxa"/>
            <w:tcBorders>
              <w:tl2br w:val="nil"/>
              <w:tr2bl w:val="nil"/>
            </w:tcBorders>
            <w:noWrap w:val="0"/>
            <w:vAlign w:val="center"/>
          </w:tcPr>
          <w:p w14:paraId="5559550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p>
        </w:tc>
      </w:tr>
      <w:tr w14:paraId="2A22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70B31BC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w:t>
            </w:r>
          </w:p>
        </w:tc>
        <w:tc>
          <w:tcPr>
            <w:tcW w:w="809" w:type="dxa"/>
            <w:tcBorders>
              <w:tl2br w:val="nil"/>
              <w:tr2bl w:val="nil"/>
            </w:tcBorders>
            <w:shd w:val="clear" w:color="000000" w:fill="FFFFFF"/>
            <w:noWrap w:val="0"/>
            <w:vAlign w:val="center"/>
          </w:tcPr>
          <w:p w14:paraId="45058DE3">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物联网</w:t>
            </w:r>
          </w:p>
          <w:p w14:paraId="5A55004D">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平台</w:t>
            </w:r>
          </w:p>
        </w:tc>
        <w:tc>
          <w:tcPr>
            <w:tcW w:w="601" w:type="dxa"/>
            <w:tcBorders>
              <w:tl2br w:val="nil"/>
              <w:tr2bl w:val="nil"/>
            </w:tcBorders>
            <w:shd w:val="clear" w:color="000000" w:fill="FFFFFF"/>
            <w:noWrap w:val="0"/>
            <w:vAlign w:val="center"/>
          </w:tcPr>
          <w:p w14:paraId="35022005">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新开普物联网平台V1.0</w:t>
            </w:r>
          </w:p>
        </w:tc>
        <w:tc>
          <w:tcPr>
            <w:tcW w:w="6043" w:type="dxa"/>
            <w:tcBorders>
              <w:tl2br w:val="nil"/>
              <w:tr2bl w:val="nil"/>
            </w:tcBorders>
            <w:noWrap w:val="0"/>
            <w:vAlign w:val="center"/>
          </w:tcPr>
          <w:p w14:paraId="0132CA77">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所供平台开放标准硬件公共接入协议，辅助学校建立标准的管理规范，为设备供应商提供快速接入学校业务系统的能力，进而实现学校对现有的及未来建设的所有硬件终端统一管理、统一运维、统一服务的管理目标，屏蔽硬件差异化，彻底解决系统对硬件厂家依赖的问题。 </w:t>
            </w:r>
          </w:p>
          <w:p w14:paraId="3CDF42DA">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1.设备安全接入：支持设备直接接入、设备通过协议网关接入。支持会话保持、双向通信、设备的注册与认证管理。 </w:t>
            </w:r>
          </w:p>
          <w:p w14:paraId="50908311">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2.设备权限管理：支持基于权限定义，完成对设备资源与消息收发的访问控制。 </w:t>
            </w:r>
          </w:p>
          <w:p w14:paraId="545B82C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3.设备影子：支持实时收集、实时更新设备状态。 </w:t>
            </w:r>
          </w:p>
          <w:p w14:paraId="621ADAEA">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4.规则引擎：支持根据设定的规则，转发指定消息到指定目标。 </w:t>
            </w:r>
          </w:p>
          <w:p w14:paraId="0DF6848B">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5.租户管理：支持多租户管理，以隔离设备集合，满足云端场景。 </w:t>
            </w:r>
          </w:p>
          <w:p w14:paraId="16147F66">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6.设备标签：支持自定义设备标签属性，支持标签查询。 </w:t>
            </w:r>
          </w:p>
          <w:p w14:paraId="366E241D">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7.设备升级：支持自动、批量触发终端设备的应用程序和固件程序的自动升级； </w:t>
            </w:r>
          </w:p>
          <w:p w14:paraId="156DB7EF">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8.设备日志：支持设备运行日志和环境日志的自动收集、存储和分析。</w:t>
            </w:r>
          </w:p>
          <w:p w14:paraId="3AA03E19">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9.消息插件：支持标准的 REST API 接口 </w:t>
            </w:r>
          </w:p>
          <w:p w14:paraId="793904F7">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10.集群：支持集群部署和负载均衡；采用分布式系统设计，接入设备数量可扩展，可避免单点故障。 </w:t>
            </w:r>
          </w:p>
          <w:p w14:paraId="609560AF">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11.容器化：支持 Docker 容器化环境部署。 </w:t>
            </w:r>
          </w:p>
          <w:p w14:paraId="1778A95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12.设备规范：支持定义产品的属性及能力描述。 </w:t>
            </w:r>
          </w:p>
          <w:p w14:paraId="7F59E90B">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13.设备协议：兼容 Zigbee 设备、RS485 设备、CAN 设备、以太网、 Wifi、4G/5G 等主流的终端组网方式，兼容标准通信协议，包括 MQTT、HTTP、WebSocket </w:t>
            </w:r>
          </w:p>
          <w:p w14:paraId="2F5F063F">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14.可提供三方硬件接入前的沙箱调试服务； </w:t>
            </w:r>
          </w:p>
          <w:p w14:paraId="4FC5C586">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15.支持管理各类型设备，屏蔽不同设备与业务系统间数据交互的差异化，包括通信方式、协议类型、报文格式等； </w:t>
            </w:r>
          </w:p>
          <w:p w14:paraId="73D15C80">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16.支持实时监控设备的各类状态，包括联机/脱机、业务属性、设备日志； </w:t>
            </w:r>
          </w:p>
          <w:p w14:paraId="12AB2575">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17.软件产品安全稳定，</w:t>
            </w:r>
            <w:r>
              <w:rPr>
                <w:rFonts w:hint="eastAsia" w:ascii="宋体" w:hAnsi="宋体" w:cs="宋体"/>
                <w:color w:val="auto"/>
                <w:kern w:val="2"/>
                <w:sz w:val="18"/>
                <w:szCs w:val="18"/>
                <w:lang w:val="en-US" w:eastAsia="zh-CN" w:bidi="ar-SA"/>
              </w:rPr>
              <w:t>有</w:t>
            </w:r>
            <w:r>
              <w:rPr>
                <w:rFonts w:hint="eastAsia" w:ascii="宋体" w:hAnsi="宋体" w:eastAsia="宋体" w:cs="宋体"/>
                <w:color w:val="auto"/>
                <w:kern w:val="2"/>
                <w:sz w:val="18"/>
                <w:szCs w:val="18"/>
                <w:lang w:val="en-US" w:eastAsia="zh-CN" w:bidi="ar-SA"/>
              </w:rPr>
              <w:t>信息安全测评中心出具的信息系统安全测试报告</w:t>
            </w:r>
            <w:r>
              <w:rPr>
                <w:rFonts w:hint="eastAsia" w:ascii="宋体" w:hAnsi="宋体" w:cs="宋体"/>
                <w:color w:val="auto"/>
                <w:kern w:val="2"/>
                <w:sz w:val="18"/>
                <w:szCs w:val="18"/>
                <w:lang w:val="en-US" w:eastAsia="zh-CN" w:bidi="ar-SA"/>
              </w:rPr>
              <w:t>。</w:t>
            </w:r>
          </w:p>
        </w:tc>
        <w:tc>
          <w:tcPr>
            <w:tcW w:w="540" w:type="dxa"/>
            <w:tcBorders>
              <w:tl2br w:val="nil"/>
              <w:tr2bl w:val="nil"/>
            </w:tcBorders>
            <w:noWrap w:val="0"/>
            <w:vAlign w:val="center"/>
          </w:tcPr>
          <w:p w14:paraId="0A5C5CBB">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p>
        </w:tc>
      </w:tr>
      <w:tr w14:paraId="709C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1530D99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w:t>
            </w:r>
          </w:p>
        </w:tc>
        <w:tc>
          <w:tcPr>
            <w:tcW w:w="809" w:type="dxa"/>
            <w:tcBorders>
              <w:tl2br w:val="nil"/>
              <w:tr2bl w:val="nil"/>
            </w:tcBorders>
            <w:shd w:val="clear" w:color="000000" w:fill="FFFFFF"/>
            <w:noWrap w:val="0"/>
            <w:vAlign w:val="center"/>
          </w:tcPr>
          <w:p w14:paraId="75B88435">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终端</w:t>
            </w:r>
          </w:p>
          <w:p w14:paraId="60C9BE7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权鉴</w:t>
            </w:r>
          </w:p>
          <w:p w14:paraId="551FB31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平台</w:t>
            </w:r>
          </w:p>
        </w:tc>
        <w:tc>
          <w:tcPr>
            <w:tcW w:w="601" w:type="dxa"/>
            <w:tcBorders>
              <w:tl2br w:val="nil"/>
              <w:tr2bl w:val="nil"/>
            </w:tcBorders>
            <w:shd w:val="clear" w:color="000000" w:fill="FFFFFF"/>
            <w:noWrap w:val="0"/>
            <w:vAlign w:val="center"/>
          </w:tcPr>
          <w:p w14:paraId="03B76F8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新开普智能出入管控系统V1.0</w:t>
            </w:r>
          </w:p>
        </w:tc>
        <w:tc>
          <w:tcPr>
            <w:tcW w:w="6043" w:type="dxa"/>
            <w:tcBorders>
              <w:tl2br w:val="nil"/>
              <w:tr2bl w:val="nil"/>
            </w:tcBorders>
            <w:shd w:val="clear" w:color="000000" w:fill="FFFFFF"/>
            <w:noWrap w:val="0"/>
            <w:vAlign w:val="center"/>
          </w:tcPr>
          <w:p w14:paraId="7237CBB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1.支持集中授权、统一管控，包括门禁终端、人脸识别终端、电子门锁等。 </w:t>
            </w:r>
          </w:p>
          <w:p w14:paraId="0E9E40C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2.针对门禁终端支持校园卡、二维码、人脸、密码等多种身份验证方式；针对门锁终端支持校园卡、二维码、密码、指纹等多种身份验证方式；针对移动手持终端支持校园卡、二维码等多种身份验证方式。 </w:t>
            </w:r>
          </w:p>
          <w:p w14:paraId="712BF4C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3.支持身份规则设置，支持根据不同条件为人员设置不同的身份，方便人员管理。当人员新增和人员信息变化时，可自动变更身份类型，同时支持手动修改身份。 </w:t>
            </w:r>
          </w:p>
          <w:p w14:paraId="4F50BBA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4.支持为其他系统提供人员信息、部门、标签等基础数据和人员通行权限，封装 API 通过开放平台对外暴露，包含：人员和终端、区域、场景的权限绑定关系；支持按终端、区域、场景来提供相关授权信息；支持为其他系统提供人员通行记录。 </w:t>
            </w:r>
          </w:p>
          <w:p w14:paraId="7285E90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5.支持通过设置角色为不同登录用户分配不同的管理权限，可在新增用户时直接将对应的角色分配给用户，实现登录用户的分级管理和权限可控性。 </w:t>
            </w:r>
          </w:p>
          <w:p w14:paraId="30AB9C0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6.支持为场景、设备和人员添加自定义标签，支持查看和编辑标签下的人员和设备信息，批量授权时可以通过标签筛选批量操作； </w:t>
            </w:r>
          </w:p>
          <w:p w14:paraId="28EA56D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7.支持为人员进行批量设置标签，可设置多种组合条件进行筛选，以精准定位到具体人员群体，然后批量对此群体设置某个标签。 </w:t>
            </w:r>
          </w:p>
          <w:p w14:paraId="2375AC9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8.支持终端设备归属到“区域”，以便进行统一授权管理，区域设置支持园区、楼栋、单元、楼层、房间等多种类型。 </w:t>
            </w:r>
          </w:p>
          <w:p w14:paraId="5F75816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9.支持进行单独授权和批量授权；授权时先选择场景，再选择场景下的区域和设备，最后选择人员（或部门），以上操作支持按标签（设备标签或人员标签）筛选进行批量操作。 </w:t>
            </w:r>
          </w:p>
          <w:p w14:paraId="557F01E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10.支持授权有效时间段，到期自动生效，过期自动失效，支持按周期授权。 </w:t>
            </w:r>
          </w:p>
          <w:p w14:paraId="4DE78EC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11.支持自动授权，支持设置指定部门或人员组与区域或设备组的权限绑定，则人员或设备信息变化后自动授权/授禁。 </w:t>
            </w:r>
          </w:p>
          <w:p w14:paraId="1E1ECFB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12.支持设置人员开放时间组和设备开放时间组。设备开放时间组用于控制各设备在不同时段的运行模式，包括常闭、敞开、刷卡开门等。人员开放时间组用于控制授权人员在不同时段内的通行权限，包括可用、禁用等。 </w:t>
            </w:r>
          </w:p>
          <w:p w14:paraId="236199A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13.支持对接入的各种终端设备进行统一监控，支持设备实时监控、实时报警、记录监控等功能。</w:t>
            </w:r>
          </w:p>
        </w:tc>
        <w:tc>
          <w:tcPr>
            <w:tcW w:w="540" w:type="dxa"/>
            <w:tcBorders>
              <w:tl2br w:val="nil"/>
              <w:tr2bl w:val="nil"/>
            </w:tcBorders>
            <w:shd w:val="clear" w:color="000000" w:fill="FFFFFF"/>
            <w:noWrap w:val="0"/>
            <w:vAlign w:val="center"/>
          </w:tcPr>
          <w:p w14:paraId="555350C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643A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753EE49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809" w:type="dxa"/>
            <w:tcBorders>
              <w:tl2br w:val="nil"/>
              <w:tr2bl w:val="nil"/>
            </w:tcBorders>
            <w:shd w:val="clear" w:color="000000" w:fill="FFFFFF"/>
            <w:noWrap w:val="0"/>
            <w:vAlign w:val="center"/>
          </w:tcPr>
          <w:p w14:paraId="2EE41FE8">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电子券</w:t>
            </w:r>
          </w:p>
          <w:p w14:paraId="2B08C04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平台</w:t>
            </w:r>
          </w:p>
        </w:tc>
        <w:tc>
          <w:tcPr>
            <w:tcW w:w="601" w:type="dxa"/>
            <w:tcBorders>
              <w:tl2br w:val="nil"/>
              <w:tr2bl w:val="nil"/>
            </w:tcBorders>
            <w:shd w:val="clear" w:color="000000" w:fill="FFFFFF"/>
            <w:noWrap w:val="0"/>
            <w:vAlign w:val="center"/>
          </w:tcPr>
          <w:p w14:paraId="077B53F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新开普电子券管理平台V1.0</w:t>
            </w:r>
          </w:p>
        </w:tc>
        <w:tc>
          <w:tcPr>
            <w:tcW w:w="6043" w:type="dxa"/>
            <w:tcBorders>
              <w:tl2br w:val="nil"/>
              <w:tr2bl w:val="nil"/>
            </w:tcBorders>
            <w:shd w:val="clear" w:color="000000" w:fill="FFFFFF"/>
            <w:noWrap w:val="0"/>
            <w:vAlign w:val="center"/>
          </w:tcPr>
          <w:p w14:paraId="174A55B0">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电子券系统采用微服务架构，解决学校在校师生、临时工作人员、临时来访人员等复杂人员类别，在不同场景、不同时间的消费、通行等问题。 具体如下： </w:t>
            </w:r>
          </w:p>
          <w:p w14:paraId="77EC1606">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1.系统包含后台管理端和手机端两部分，手机端覆盖校园各类用户使用群体：包括校内师生、校友回校、临时工作人员、临时来访人员、短期培训生等。 </w:t>
            </w:r>
          </w:p>
          <w:p w14:paraId="6DBAB7AE">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2.系统具有次数券、金额券多种类型卡券，卡券支持灵活设置金额/次数/折扣、使用时间、使用范围（设备定向）、有效日期等。 </w:t>
            </w:r>
          </w:p>
          <w:p w14:paraId="7FDF6526">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3.系统支持校内及校外用户在手机端使用卡券进行消费，用户可以绑定手机端后展码使用。 </w:t>
            </w:r>
          </w:p>
          <w:p w14:paraId="50AF43DA">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4.系统支持管理员直接发放电子券给用户使用，也支持将电子券生成分享链接，分享给用户使用（须由用户激活领用）。 </w:t>
            </w:r>
          </w:p>
          <w:p w14:paraId="76A82EA9">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5.系统支持管理员在管理端上架用户可购买的卡券，用户在手机端自行购买自己需要的卡券。 </w:t>
            </w:r>
          </w:p>
          <w:p w14:paraId="382C6A51">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6.系统支持用户在手机端将自己持有的电子券分享给其他用户使用，也支持将自己持有的电子券金额券转赠给他人使用。 </w:t>
            </w:r>
          </w:p>
          <w:p w14:paraId="069C7521">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7.系统管理端支持部门管理、人员管理、系统参数配置、管理端操作员权限管理、移动端用户权限管理等功能。 </w:t>
            </w:r>
          </w:p>
          <w:p w14:paraId="28BD302F">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8.系统支持主题管理功能，可设置包括标题、主题、菜单、系统配色、 LOGO 等。 </w:t>
            </w:r>
          </w:p>
          <w:p w14:paraId="65595444">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9.系统支持统计查询、报表打印功能，支持统计查询订单、卡券的消费、使用情况，包括：卡券消费统计、电子券订单消费统计、电子券订单情况统计、核销登记查询等。</w:t>
            </w:r>
          </w:p>
        </w:tc>
        <w:tc>
          <w:tcPr>
            <w:tcW w:w="540" w:type="dxa"/>
            <w:tcBorders>
              <w:tl2br w:val="nil"/>
              <w:tr2bl w:val="nil"/>
            </w:tcBorders>
            <w:shd w:val="clear" w:color="000000" w:fill="FFFFFF"/>
            <w:noWrap w:val="0"/>
            <w:vAlign w:val="center"/>
          </w:tcPr>
          <w:p w14:paraId="32FD9887">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p>
        </w:tc>
      </w:tr>
      <w:tr w14:paraId="2F41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6B9DAC87">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11</w:t>
            </w:r>
          </w:p>
        </w:tc>
        <w:tc>
          <w:tcPr>
            <w:tcW w:w="809" w:type="dxa"/>
            <w:tcBorders>
              <w:tl2br w:val="nil"/>
              <w:tr2bl w:val="nil"/>
            </w:tcBorders>
            <w:shd w:val="clear" w:color="000000" w:fill="FFFFFF"/>
            <w:noWrap w:val="0"/>
            <w:vAlign w:val="center"/>
          </w:tcPr>
          <w:p w14:paraId="2FB7A1FF">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综合</w:t>
            </w:r>
          </w:p>
          <w:p w14:paraId="455765C4">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消费</w:t>
            </w:r>
          </w:p>
          <w:p w14:paraId="20C34E48">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系统</w:t>
            </w:r>
          </w:p>
        </w:tc>
        <w:tc>
          <w:tcPr>
            <w:tcW w:w="601" w:type="dxa"/>
            <w:tcBorders>
              <w:tl2br w:val="nil"/>
              <w:tr2bl w:val="nil"/>
            </w:tcBorders>
            <w:shd w:val="clear" w:color="000000" w:fill="FFFFFF"/>
            <w:noWrap w:val="0"/>
            <w:vAlign w:val="center"/>
          </w:tcPr>
          <w:p w14:paraId="6F7C6D2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新开普一校通平台V1.0</w:t>
            </w:r>
          </w:p>
        </w:tc>
        <w:tc>
          <w:tcPr>
            <w:tcW w:w="6043" w:type="dxa"/>
            <w:tcBorders>
              <w:tl2br w:val="nil"/>
              <w:tr2bl w:val="nil"/>
            </w:tcBorders>
            <w:shd w:val="clear" w:color="000000" w:fill="FFFFFF"/>
            <w:noWrap w:val="0"/>
            <w:vAlign w:val="center"/>
          </w:tcPr>
          <w:p w14:paraId="1929FE82">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餐厅消费业务同时支持人脸识别、刷卡、二维码及聚合支付等综合功能，除此要求外，详细功能响应如下： </w:t>
            </w:r>
          </w:p>
          <w:p w14:paraId="5BD6201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1.支持金额、定额、快捷菜单等扣费模式； </w:t>
            </w:r>
          </w:p>
          <w:p w14:paraId="54C1BC4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2.支持指定用户身份和终端定向消费； </w:t>
            </w:r>
          </w:p>
          <w:p w14:paraId="4037F761">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3.支持自定义设置餐次及时间段； </w:t>
            </w:r>
          </w:p>
          <w:p w14:paraId="3FBD0B5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4.支持根据身份类别进行优惠打折； </w:t>
            </w:r>
          </w:p>
          <w:p w14:paraId="1C7D9AFB">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5.支持根据商户类型进行管理费用收取；</w:t>
            </w:r>
          </w:p>
          <w:p w14:paraId="4668ADAE">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6.支持设置终端机最大脱机时间，超时禁止消费，联网后自动恢复； </w:t>
            </w:r>
          </w:p>
          <w:p w14:paraId="47A848F2">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7.支持设置次消费限额和日消费限额，超额须密码验证； </w:t>
            </w:r>
          </w:p>
          <w:p w14:paraId="302E4D1B">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8.支持商户通过消费终端设备查询营业收入等账目信息。</w:t>
            </w:r>
          </w:p>
        </w:tc>
        <w:tc>
          <w:tcPr>
            <w:tcW w:w="540" w:type="dxa"/>
            <w:tcBorders>
              <w:tl2br w:val="nil"/>
              <w:tr2bl w:val="nil"/>
            </w:tcBorders>
            <w:shd w:val="clear" w:color="000000" w:fill="FFFFFF"/>
            <w:noWrap w:val="0"/>
            <w:vAlign w:val="center"/>
          </w:tcPr>
          <w:p w14:paraId="17FA4628">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00" w:lineRule="exact"/>
              <w:ind w:firstLine="360" w:firstLineChars="200"/>
              <w:jc w:val="left"/>
              <w:textAlignment w:val="auto"/>
              <w:rPr>
                <w:rFonts w:hint="eastAsia" w:ascii="宋体" w:hAnsi="宋体" w:eastAsia="宋体" w:cs="宋体"/>
                <w:color w:val="auto"/>
                <w:kern w:val="2"/>
                <w:sz w:val="18"/>
                <w:szCs w:val="18"/>
                <w:lang w:val="en-US" w:eastAsia="zh-CN" w:bidi="ar-SA"/>
              </w:rPr>
            </w:pPr>
          </w:p>
        </w:tc>
      </w:tr>
      <w:tr w14:paraId="3E34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1DA78C5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12</w:t>
            </w:r>
          </w:p>
        </w:tc>
        <w:tc>
          <w:tcPr>
            <w:tcW w:w="809" w:type="dxa"/>
            <w:tcBorders>
              <w:tl2br w:val="nil"/>
              <w:tr2bl w:val="nil"/>
            </w:tcBorders>
            <w:shd w:val="clear" w:color="000000" w:fill="FFFFFF"/>
            <w:noWrap w:val="0"/>
            <w:vAlign w:val="center"/>
          </w:tcPr>
          <w:p w14:paraId="57785C7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校园卡</w:t>
            </w:r>
          </w:p>
          <w:p w14:paraId="6A090934">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智能助手</w:t>
            </w:r>
          </w:p>
        </w:tc>
        <w:tc>
          <w:tcPr>
            <w:tcW w:w="601" w:type="dxa"/>
            <w:tcBorders>
              <w:tl2br w:val="nil"/>
              <w:tr2bl w:val="nil"/>
            </w:tcBorders>
            <w:shd w:val="clear" w:color="000000" w:fill="FFFFFF"/>
            <w:noWrap w:val="0"/>
            <w:vAlign w:val="center"/>
          </w:tcPr>
          <w:p w14:paraId="5370FD8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新开普AI智能服务助手及一体化平台V1.0</w:t>
            </w:r>
          </w:p>
        </w:tc>
        <w:tc>
          <w:tcPr>
            <w:tcW w:w="6043" w:type="dxa"/>
            <w:tcBorders>
              <w:tl2br w:val="nil"/>
              <w:tr2bl w:val="nil"/>
            </w:tcBorders>
            <w:shd w:val="clear" w:color="000000" w:fill="FFFFFF"/>
            <w:noWrap w:val="0"/>
            <w:vAlign w:val="center"/>
          </w:tcPr>
          <w:p w14:paraId="0491B847">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本项目免费提供 APP 载体，集成智能助手应用，与 APP 载体内的一卡通移动应用协同联动。 </w:t>
            </w:r>
          </w:p>
          <w:p w14:paraId="0F480FA3">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 xml:space="preserve">智能服务 </w:t>
            </w:r>
          </w:p>
          <w:p w14:paraId="4A548AC6">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利用大语言模型技术，为学生、老师提供校园卡校园的咨询服务、数据查询、智能问数等服务。支持多轮问答，并根据范围的内容附加内容来源，来源可查看。支持对话结果显示和该问答意图相关的推荐应用（0-3 个）或者推荐相关问答（0-3 个），用户点击推荐应用可以进行应用导航；用户点击推荐相关问题，可以进行该问题的回答。 </w:t>
            </w:r>
          </w:p>
          <w:p w14:paraId="4BBF1A3F">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300" w:lineRule="exact"/>
              <w:ind w:left="0" w:leftChars="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 xml:space="preserve">数字人后台管理服务 </w:t>
            </w:r>
          </w:p>
          <w:p w14:paraId="13F6EA65">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 xml:space="preserve">（1）校园知识库管理 </w:t>
            </w:r>
          </w:p>
          <w:p w14:paraId="64AB6CB6">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知识库维护： </w:t>
            </w:r>
          </w:p>
          <w:p w14:paraId="0C8D333C">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支持文档上传功能：支持上传 word、pdf、excel 等格式文档（支持上传 TXT、PDF、XLSX、DOCX、MD 等多种格式文档数据）。支持自定义知识库维护：支持学校自主构建知识库，并允许不同部门分别维护各自知识库；支持结合知识库给用户进行生成式回答。在知识库菜单，点击新建知识库，可自定义知识库名称、关联归属部门等。 </w:t>
            </w:r>
          </w:p>
          <w:p w14:paraId="2519D8E5">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切片测试： </w:t>
            </w:r>
          </w:p>
          <w:p w14:paraId="42F3C012">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文档测试：支持对导入的文档进行问答测试，并显示问答的匹配度， 并可以进行切片的编辑、调整，完成文档内容的匹配度验证。 </w:t>
            </w:r>
          </w:p>
          <w:p w14:paraId="3599F14C">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cs="宋体"/>
                <w:b/>
                <w:bCs/>
                <w:color w:val="auto"/>
                <w:kern w:val="2"/>
                <w:sz w:val="18"/>
                <w:szCs w:val="18"/>
                <w:lang w:val="en-US" w:eastAsia="zh-CN" w:bidi="ar-SA"/>
              </w:rPr>
              <w:t>（2）</w:t>
            </w:r>
            <w:r>
              <w:rPr>
                <w:rFonts w:hint="eastAsia" w:ascii="宋体" w:hAnsi="宋体" w:eastAsia="宋体" w:cs="宋体"/>
                <w:b/>
                <w:bCs/>
                <w:color w:val="auto"/>
                <w:kern w:val="2"/>
                <w:sz w:val="18"/>
                <w:szCs w:val="18"/>
                <w:lang w:val="en-US" w:eastAsia="zh-CN" w:bidi="ar-SA"/>
              </w:rPr>
              <w:t xml:space="preserve">数据分析模块 </w:t>
            </w:r>
          </w:p>
          <w:p w14:paraId="20AE3023">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活跃情况：</w:t>
            </w:r>
          </w:p>
          <w:p w14:paraId="442E4EB6">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在系统运行分析中，支持管理员查看今日咨询人次、客服服务时长、 平均每人咨询时长、服务效能、用户访问日趋势图（用户访问次数、提问 数）等统计数据。 </w:t>
            </w:r>
          </w:p>
          <w:p w14:paraId="57FE5136">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 xml:space="preserve">（3）支持云端大模型的调用 </w:t>
            </w:r>
          </w:p>
          <w:p w14:paraId="225A524D">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国产大语言模型云服务： </w:t>
            </w:r>
          </w:p>
          <w:p w14:paraId="27B84896">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支持国产大语言模型对接功能（如 DeepSeek R1/V3、通义千问、 文心一言、智谱 AI、科大讯飞星火、火山豆包大模型等），可根据学校需求对接所需的大语言模型，且支持选择是否启用。已接入最新发布的 DeepSeek 和 Qwen。支持模型 token 数量的统计 查看，支持按模型分类显示。 </w:t>
            </w:r>
          </w:p>
          <w:p w14:paraId="5A4558DB">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 xml:space="preserve">（4）系统管理 </w:t>
            </w:r>
          </w:p>
          <w:p w14:paraId="55881EF7">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数字人管理： </w:t>
            </w:r>
          </w:p>
          <w:p w14:paraId="5130FBB5">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支持选择不同语音主题（男性、女性、萝莉音等）；支持设置多个常见问题。 </w:t>
            </w:r>
          </w:p>
          <w:p w14:paraId="5C08F2BE">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数据统计模块： </w:t>
            </w:r>
          </w:p>
          <w:p w14:paraId="448323BF">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热点与盲点分析：支持自动分析指定时间段内的热门问题和用户咨询较多但系统知识库中没有相关内容的问题，帮助管理人员根据盲点问题不断完善知识库内容；支持按热门问题排序统计(按天由高到低排名列表)；在系统运行分析中，支持管理员查看今日咨询人次、客服服务时长、服务效能等统计数据；支持按部门权限显示不同的数据范围；支持按天统计未命中问题排名列表(按天由高到低排名列表)，并支持针对未命中问题进行知识库关联和补充。 </w:t>
            </w:r>
          </w:p>
          <w:p w14:paraId="18AD8CA9">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DeepSeek R1-Token 费用： </w:t>
            </w:r>
          </w:p>
          <w:p w14:paraId="0D4ECE8D">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提供 10 万条的问答。 </w:t>
            </w:r>
          </w:p>
          <w:p w14:paraId="3F1FC6CD">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集成对接及运维服务： </w:t>
            </w:r>
          </w:p>
          <w:p w14:paraId="0412EF12">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服务内容：包括软件升级、对接调试、疑难问题排查、通道服务维护及维护期间遇到的客户疑难问题解答等提供 7*24 小时运维服务。 </w:t>
            </w:r>
          </w:p>
          <w:p w14:paraId="72780379">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校园卡系统对接：本次项目所建服务与学校现有一卡通系统进行对接，使用过往 8 年的历史数据进行 AI 数据训练，提升数据智能汇总准确度（相较于历史报表数据的偏差度不高于 2%）。承担对接所需的开发费用（含第三方配合费）</w:t>
            </w:r>
          </w:p>
          <w:p w14:paraId="5BD29C50">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产品成熟度： </w:t>
            </w:r>
          </w:p>
          <w:p w14:paraId="39287DEA">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所投产品具备相关软件著作权及配套的软件产品登记测试报告。 </w:t>
            </w:r>
          </w:p>
        </w:tc>
        <w:tc>
          <w:tcPr>
            <w:tcW w:w="540" w:type="dxa"/>
            <w:tcBorders>
              <w:tl2br w:val="nil"/>
              <w:tr2bl w:val="nil"/>
            </w:tcBorders>
            <w:shd w:val="clear" w:color="000000" w:fill="FFFFFF"/>
            <w:noWrap w:val="0"/>
            <w:vAlign w:val="center"/>
          </w:tcPr>
          <w:p w14:paraId="09F9EB27">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p>
        </w:tc>
      </w:tr>
      <w:tr w14:paraId="6A98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6929011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13</w:t>
            </w:r>
          </w:p>
        </w:tc>
        <w:tc>
          <w:tcPr>
            <w:tcW w:w="809" w:type="dxa"/>
            <w:tcBorders>
              <w:tl2br w:val="nil"/>
              <w:tr2bl w:val="nil"/>
            </w:tcBorders>
            <w:shd w:val="clear" w:color="000000" w:fill="FFFFFF"/>
            <w:noWrap w:val="0"/>
            <w:vAlign w:val="center"/>
          </w:tcPr>
          <w:p w14:paraId="5B62E797">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大数据</w:t>
            </w:r>
          </w:p>
          <w:p w14:paraId="41BC8AA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分析平台</w:t>
            </w:r>
          </w:p>
        </w:tc>
        <w:tc>
          <w:tcPr>
            <w:tcW w:w="601" w:type="dxa"/>
            <w:vMerge w:val="restart"/>
            <w:tcBorders>
              <w:tl2br w:val="nil"/>
              <w:tr2bl w:val="nil"/>
            </w:tcBorders>
            <w:shd w:val="clear" w:color="000000" w:fill="FFFFFF"/>
            <w:noWrap w:val="0"/>
            <w:vAlign w:val="center"/>
          </w:tcPr>
          <w:p w14:paraId="199B894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新开普智能BI大数据分析平台V1.0</w:t>
            </w:r>
          </w:p>
        </w:tc>
        <w:tc>
          <w:tcPr>
            <w:tcW w:w="6043" w:type="dxa"/>
            <w:tcBorders>
              <w:tl2br w:val="nil"/>
              <w:tr2bl w:val="nil"/>
            </w:tcBorders>
            <w:shd w:val="clear" w:color="000000" w:fill="FFFFFF"/>
            <w:noWrap w:val="0"/>
            <w:vAlign w:val="center"/>
          </w:tcPr>
          <w:p w14:paraId="6E83B14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1.平台采用基于 Hadoop 的分布并行架构，支持弹性集群扩展； </w:t>
            </w:r>
          </w:p>
          <w:p w14:paraId="1F8998E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2.支持数据源及数据集的增加、编辑、删除； </w:t>
            </w:r>
          </w:p>
          <w:p w14:paraId="5074025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3.提供数据采集工具箱，实现将不同的业务系统、硬件设备、校园互联网数据的采集。支持接口包括：http 接口、webservice 接口、oracle 数据库、SQLserver 数据库等。 </w:t>
            </w:r>
          </w:p>
          <w:p w14:paraId="0D32730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4.支持 HDFS、Hbase、Mysql 分布式集群三种分布式存储技术；实现对大数据中心平台中的数据分类存储，根据不同的业务场景构建数据存储类型； </w:t>
            </w:r>
          </w:p>
          <w:p w14:paraId="43AE30D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5.产品安全稳定，</w:t>
            </w:r>
            <w:r>
              <w:rPr>
                <w:rFonts w:hint="eastAsia" w:ascii="宋体" w:hAnsi="宋体" w:cs="宋体"/>
                <w:color w:val="auto"/>
                <w:kern w:val="2"/>
                <w:sz w:val="18"/>
                <w:szCs w:val="18"/>
                <w:lang w:val="en-US" w:eastAsia="zh-CN" w:bidi="ar-SA"/>
              </w:rPr>
              <w:t>有</w:t>
            </w:r>
            <w:r>
              <w:rPr>
                <w:rFonts w:hint="eastAsia" w:ascii="宋体" w:hAnsi="宋体" w:eastAsia="宋体" w:cs="宋体"/>
                <w:color w:val="auto"/>
                <w:kern w:val="2"/>
                <w:sz w:val="18"/>
                <w:szCs w:val="18"/>
                <w:lang w:val="en-US" w:eastAsia="zh-CN" w:bidi="ar-SA"/>
              </w:rPr>
              <w:t>信息安全测评中心出具的信息系统安全测试报告。</w:t>
            </w:r>
          </w:p>
        </w:tc>
        <w:tc>
          <w:tcPr>
            <w:tcW w:w="540" w:type="dxa"/>
            <w:tcBorders>
              <w:tl2br w:val="nil"/>
              <w:tr2bl w:val="nil"/>
            </w:tcBorders>
            <w:shd w:val="clear" w:color="000000" w:fill="FFFFFF"/>
            <w:noWrap w:val="0"/>
            <w:vAlign w:val="center"/>
          </w:tcPr>
          <w:p w14:paraId="26C7B6E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0C5D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7CC72D36">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14</w:t>
            </w:r>
          </w:p>
        </w:tc>
        <w:tc>
          <w:tcPr>
            <w:tcW w:w="809" w:type="dxa"/>
            <w:tcBorders>
              <w:tl2br w:val="nil"/>
              <w:tr2bl w:val="nil"/>
            </w:tcBorders>
            <w:shd w:val="clear" w:color="000000" w:fill="FFFFFF"/>
            <w:noWrap w:val="0"/>
            <w:vAlign w:val="center"/>
          </w:tcPr>
          <w:p w14:paraId="5B7FE61F">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大数据</w:t>
            </w:r>
          </w:p>
          <w:p w14:paraId="5A8723A3">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展示平台</w:t>
            </w:r>
          </w:p>
        </w:tc>
        <w:tc>
          <w:tcPr>
            <w:tcW w:w="601" w:type="dxa"/>
            <w:vMerge w:val="continue"/>
            <w:tcBorders>
              <w:tl2br w:val="nil"/>
              <w:tr2bl w:val="nil"/>
            </w:tcBorders>
            <w:shd w:val="clear" w:color="auto" w:fill="auto"/>
            <w:noWrap w:val="0"/>
            <w:vAlign w:val="center"/>
          </w:tcPr>
          <w:p w14:paraId="63AEFA9E">
            <w:pPr>
              <w:keepNext w:val="0"/>
              <w:keepLines w:val="0"/>
              <w:pageBreakBefore w:val="0"/>
              <w:widowControl/>
              <w:kinsoku/>
              <w:wordWrap/>
              <w:overflowPunct/>
              <w:topLinePunct w:val="0"/>
              <w:autoSpaceDE/>
              <w:autoSpaceDN/>
              <w:bidi w:val="0"/>
              <w:snapToGrid/>
              <w:spacing w:line="300" w:lineRule="exact"/>
              <w:ind w:left="0"/>
              <w:jc w:val="left"/>
              <w:textAlignment w:val="auto"/>
              <w:rPr>
                <w:rFonts w:hint="eastAsia" w:ascii="宋体" w:hAnsi="宋体" w:eastAsia="宋体" w:cs="宋体"/>
                <w:color w:val="auto"/>
                <w:kern w:val="0"/>
                <w:sz w:val="18"/>
                <w:szCs w:val="18"/>
              </w:rPr>
            </w:pPr>
          </w:p>
        </w:tc>
        <w:tc>
          <w:tcPr>
            <w:tcW w:w="6043" w:type="dxa"/>
            <w:tcBorders>
              <w:tl2br w:val="nil"/>
              <w:tr2bl w:val="nil"/>
            </w:tcBorders>
            <w:shd w:val="clear" w:color="000000" w:fill="FFFFFF"/>
            <w:noWrap w:val="0"/>
            <w:vAlign w:val="center"/>
          </w:tcPr>
          <w:p w14:paraId="194D36D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1.支持数据分析页面中的常用图表的增加、编辑、删除操作； </w:t>
            </w:r>
          </w:p>
          <w:p w14:paraId="7140631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2.支持多种组件以满足更精美的数据呈现，包括文本组件、图片组件、 音视频组件、边框组件、时间器组件等。 </w:t>
            </w:r>
          </w:p>
          <w:p w14:paraId="260EFAF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3.支持将数据大屏以在线链接、静态图片的形式分享或导出，方便浏览，发布、共享的大屏支持内嵌隐藏分享人账号水印。</w:t>
            </w:r>
          </w:p>
        </w:tc>
        <w:tc>
          <w:tcPr>
            <w:tcW w:w="540" w:type="dxa"/>
            <w:tcBorders>
              <w:tl2br w:val="nil"/>
              <w:tr2bl w:val="nil"/>
            </w:tcBorders>
            <w:shd w:val="clear" w:color="000000" w:fill="FFFFFF"/>
            <w:noWrap w:val="0"/>
            <w:vAlign w:val="center"/>
          </w:tcPr>
          <w:p w14:paraId="70B1EA6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7DC1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14AD498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w:t>
            </w:r>
          </w:p>
        </w:tc>
        <w:tc>
          <w:tcPr>
            <w:tcW w:w="809" w:type="dxa"/>
            <w:tcBorders>
              <w:tl2br w:val="nil"/>
              <w:tr2bl w:val="nil"/>
            </w:tcBorders>
            <w:shd w:val="clear" w:color="000000" w:fill="FFFFFF"/>
            <w:noWrap w:val="0"/>
            <w:vAlign w:val="center"/>
          </w:tcPr>
          <w:p w14:paraId="04EF9CE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管理</w:t>
            </w:r>
          </w:p>
          <w:p w14:paraId="6962C67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后台</w:t>
            </w:r>
          </w:p>
        </w:tc>
        <w:tc>
          <w:tcPr>
            <w:tcW w:w="601" w:type="dxa"/>
            <w:vMerge w:val="continue"/>
            <w:tcBorders>
              <w:tl2br w:val="nil"/>
              <w:tr2bl w:val="nil"/>
            </w:tcBorders>
            <w:shd w:val="clear" w:color="auto" w:fill="auto"/>
            <w:noWrap w:val="0"/>
            <w:vAlign w:val="center"/>
          </w:tcPr>
          <w:p w14:paraId="3CCF4342">
            <w:pPr>
              <w:keepNext w:val="0"/>
              <w:keepLines w:val="0"/>
              <w:pageBreakBefore w:val="0"/>
              <w:widowControl/>
              <w:kinsoku/>
              <w:wordWrap/>
              <w:overflowPunct/>
              <w:topLinePunct w:val="0"/>
              <w:autoSpaceDE/>
              <w:autoSpaceDN/>
              <w:bidi w:val="0"/>
              <w:snapToGrid/>
              <w:spacing w:line="300" w:lineRule="exact"/>
              <w:ind w:left="0"/>
              <w:jc w:val="left"/>
              <w:textAlignment w:val="auto"/>
              <w:rPr>
                <w:rFonts w:hint="eastAsia" w:ascii="宋体" w:hAnsi="宋体" w:eastAsia="宋体" w:cs="宋体"/>
                <w:color w:val="auto"/>
                <w:kern w:val="0"/>
                <w:sz w:val="18"/>
                <w:szCs w:val="18"/>
              </w:rPr>
            </w:pPr>
          </w:p>
        </w:tc>
        <w:tc>
          <w:tcPr>
            <w:tcW w:w="6043" w:type="dxa"/>
            <w:tcBorders>
              <w:tl2br w:val="nil"/>
              <w:tr2bl w:val="nil"/>
            </w:tcBorders>
            <w:shd w:val="clear" w:color="000000" w:fill="FFFFFF"/>
            <w:noWrap w:val="0"/>
            <w:vAlign w:val="center"/>
          </w:tcPr>
          <w:p w14:paraId="5844873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1.支持用户管理、角色管理、管理员管理等系统管理功能； </w:t>
            </w:r>
          </w:p>
          <w:p w14:paraId="7016FF7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2.权限管理，支持对平台中用户、角色、部门进行管理和权限控制，包含依据岗位信息、所属部门等身份信息对用户所拥有的数据查看、使用、 分析、下载、开放等权限，并依据用户角色分类对敏感数据进行脱敏处理。 支持给某个部门某个角色添加部门管理员，支持给该角色添加相应的人员，添加后的人员使用自己的账号来管控自己部门相关的数据使用权限。</w:t>
            </w:r>
          </w:p>
        </w:tc>
        <w:tc>
          <w:tcPr>
            <w:tcW w:w="540" w:type="dxa"/>
            <w:tcBorders>
              <w:tl2br w:val="nil"/>
              <w:tr2bl w:val="nil"/>
            </w:tcBorders>
            <w:shd w:val="clear" w:color="000000" w:fill="FFFFFF"/>
            <w:noWrap w:val="0"/>
            <w:vAlign w:val="center"/>
          </w:tcPr>
          <w:p w14:paraId="2C06A61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5146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7E76D7F8">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16</w:t>
            </w:r>
          </w:p>
        </w:tc>
        <w:tc>
          <w:tcPr>
            <w:tcW w:w="809" w:type="dxa"/>
            <w:tcBorders>
              <w:tl2br w:val="nil"/>
              <w:tr2bl w:val="nil"/>
            </w:tcBorders>
            <w:shd w:val="clear" w:color="auto" w:fill="auto"/>
            <w:noWrap w:val="0"/>
            <w:vAlign w:val="center"/>
          </w:tcPr>
          <w:p w14:paraId="4467FE1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一卡通</w:t>
            </w:r>
          </w:p>
          <w:p w14:paraId="2F7B3838">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消费大屏</w:t>
            </w:r>
          </w:p>
        </w:tc>
        <w:tc>
          <w:tcPr>
            <w:tcW w:w="601" w:type="dxa"/>
            <w:tcBorders>
              <w:tl2br w:val="nil"/>
              <w:tr2bl w:val="nil"/>
            </w:tcBorders>
            <w:shd w:val="clear" w:color="000000" w:fill="FFFFFF"/>
            <w:noWrap w:val="0"/>
            <w:vAlign w:val="center"/>
          </w:tcPr>
          <w:p w14:paraId="1579E81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新开普智能BI大数据分析平台V1.0</w:t>
            </w:r>
          </w:p>
        </w:tc>
        <w:tc>
          <w:tcPr>
            <w:tcW w:w="6043" w:type="dxa"/>
            <w:tcBorders>
              <w:tl2br w:val="nil"/>
              <w:tr2bl w:val="nil"/>
            </w:tcBorders>
            <w:noWrap w:val="0"/>
            <w:vAlign w:val="center"/>
          </w:tcPr>
          <w:p w14:paraId="6B7CDF0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1.校园卡交易指挥中心：</w:t>
            </w:r>
            <w:r>
              <w:rPr>
                <w:rFonts w:hint="eastAsia" w:ascii="宋体" w:hAnsi="宋体" w:eastAsia="宋体" w:cs="宋体"/>
                <w:color w:val="auto"/>
                <w:kern w:val="2"/>
                <w:sz w:val="18"/>
                <w:szCs w:val="18"/>
                <w:lang w:val="en-US" w:eastAsia="zh-CN" w:bidi="ar-SA"/>
              </w:rPr>
              <w:t xml:space="preserve">对全校充值、消费数据进行总览性统计分析， 包括今日消费总金额，今日消费总人次，今日消费人员及金额分布，当日各餐次学生就餐率，今日热门餐厅排行榜，今日餐厅、商超、淋浴等各场景消费金额分布及趋势，今日充值金额分布，校园卡充值方式排行。 </w:t>
            </w:r>
          </w:p>
          <w:p w14:paraId="7316167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2.消费业务分析：</w:t>
            </w:r>
            <w:r>
              <w:rPr>
                <w:rFonts w:hint="eastAsia" w:ascii="宋体" w:hAnsi="宋体" w:eastAsia="宋体" w:cs="宋体"/>
                <w:color w:val="auto"/>
                <w:kern w:val="2"/>
                <w:sz w:val="18"/>
                <w:szCs w:val="18"/>
                <w:lang w:val="en-US" w:eastAsia="zh-CN" w:bidi="ar-SA"/>
              </w:rPr>
              <w:t xml:space="preserve">对一卡通消费数据进行详细统计分析，支持自定义时间段筛选消费人数、消费金额、各人员类型消费金额分布及占比、日消费金额及消费笔数变化趋势、消费场景分布、各场景消费金额变化趋势、人均日消费金额及消费笔数变化趋势、各院系人均消费金额对比、各消费场景人均消费金额 TOP5 院系排行榜、各生源地学生人均消费金额分布，支持对消费人群特征进行分析、支持对餐饮消费、商超消费、淋浴消费、 </w:t>
            </w:r>
          </w:p>
          <w:p w14:paraId="71D2772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热水消费等场景独立分析统计。 </w:t>
            </w:r>
          </w:p>
          <w:p w14:paraId="3BE1510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3.充值业务分析：</w:t>
            </w:r>
            <w:r>
              <w:rPr>
                <w:rFonts w:hint="eastAsia" w:ascii="宋体" w:hAnsi="宋体" w:eastAsia="宋体" w:cs="宋体"/>
                <w:color w:val="auto"/>
                <w:kern w:val="2"/>
                <w:sz w:val="18"/>
                <w:szCs w:val="18"/>
                <w:lang w:val="en-US" w:eastAsia="zh-CN" w:bidi="ar-SA"/>
              </w:rPr>
              <w:t xml:space="preserve">对一卡通充值数据进行详细统计分析，支持自定义时间段筛选充值人数、充值金额、充值业务变化趋势、充值渠道分布、线上充值渠道分布、各生源地学生人均充值金额、各性别学生单笔充值金额分布。 </w:t>
            </w:r>
          </w:p>
          <w:p w14:paraId="1ACDCC7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4.餐饮消费分析：</w:t>
            </w:r>
            <w:r>
              <w:rPr>
                <w:rFonts w:hint="eastAsia" w:ascii="宋体" w:hAnsi="宋体" w:eastAsia="宋体" w:cs="宋体"/>
                <w:color w:val="auto"/>
                <w:kern w:val="2"/>
                <w:sz w:val="18"/>
                <w:szCs w:val="18"/>
                <w:lang w:val="en-US" w:eastAsia="zh-CN" w:bidi="ar-SA"/>
              </w:rPr>
              <w:t xml:space="preserve">对食堂餐饮数据进行详细分析，支持自定义时间段筛选餐饮消费笔数及金额、餐饮消费每日金额及笔数变化趋势、早中晚餐平均就餐率就平均就餐金额、学生早中晚餐人均消费金额趋势、各生源地学生人均消费金额分布、男女生人均餐饮消费金额趋势对比、各院系人均餐饮消费金额及就餐率对比，最受欢迎窗口排行榜。 </w:t>
            </w:r>
          </w:p>
          <w:p w14:paraId="6F55803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5.商户运营分析：</w:t>
            </w:r>
            <w:r>
              <w:rPr>
                <w:rFonts w:hint="eastAsia" w:ascii="宋体" w:hAnsi="宋体" w:eastAsia="宋体" w:cs="宋体"/>
                <w:color w:val="auto"/>
                <w:kern w:val="2"/>
                <w:sz w:val="18"/>
                <w:szCs w:val="18"/>
                <w:lang w:val="en-US" w:eastAsia="zh-CN" w:bidi="ar-SA"/>
              </w:rPr>
              <w:t>对校内各商户数据进行详细分析，支持自定义时间段筛选统计商户数量、商户营收总金额、总消费人数、总消费次数；支持分析各场景商户营收金额及占比分布、商户活跃情况分析、商户异常营收分析、各时段商户平均营收金额分布、学生消费水平分布、各学院人均消费金额对比，支持分别对餐厅、商超等场景营收金额 TOP5 进行排行统计。</w:t>
            </w:r>
          </w:p>
        </w:tc>
        <w:tc>
          <w:tcPr>
            <w:tcW w:w="540" w:type="dxa"/>
            <w:tcBorders>
              <w:tl2br w:val="nil"/>
              <w:tr2bl w:val="nil"/>
            </w:tcBorders>
            <w:noWrap w:val="0"/>
            <w:vAlign w:val="center"/>
          </w:tcPr>
          <w:p w14:paraId="5EC3841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b/>
                <w:bCs/>
                <w:color w:val="auto"/>
                <w:kern w:val="2"/>
                <w:sz w:val="18"/>
                <w:szCs w:val="18"/>
                <w:lang w:val="en-US" w:eastAsia="zh-CN" w:bidi="ar-SA"/>
              </w:rPr>
            </w:pPr>
          </w:p>
        </w:tc>
      </w:tr>
      <w:tr w14:paraId="2FB5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692BBA18">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17</w:t>
            </w:r>
          </w:p>
        </w:tc>
        <w:tc>
          <w:tcPr>
            <w:tcW w:w="809" w:type="dxa"/>
            <w:tcBorders>
              <w:tl2br w:val="nil"/>
              <w:tr2bl w:val="nil"/>
            </w:tcBorders>
            <w:shd w:val="clear" w:color="auto" w:fill="auto"/>
            <w:noWrap w:val="0"/>
            <w:vAlign w:val="center"/>
          </w:tcPr>
          <w:p w14:paraId="47F0CC9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一卡通</w:t>
            </w:r>
          </w:p>
          <w:p w14:paraId="7FA518A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运营大屏</w:t>
            </w:r>
          </w:p>
        </w:tc>
        <w:tc>
          <w:tcPr>
            <w:tcW w:w="601" w:type="dxa"/>
            <w:tcBorders>
              <w:tl2br w:val="nil"/>
              <w:tr2bl w:val="nil"/>
            </w:tcBorders>
            <w:shd w:val="clear" w:color="000000" w:fill="FFFFFF"/>
            <w:noWrap w:val="0"/>
            <w:vAlign w:val="center"/>
          </w:tcPr>
          <w:p w14:paraId="36AA93C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新开普智能BI大数据分析平台V1.0</w:t>
            </w:r>
          </w:p>
        </w:tc>
        <w:tc>
          <w:tcPr>
            <w:tcW w:w="6043" w:type="dxa"/>
            <w:tcBorders>
              <w:tl2br w:val="nil"/>
              <w:tr2bl w:val="nil"/>
            </w:tcBorders>
            <w:noWrap w:val="0"/>
            <w:vAlign w:val="center"/>
          </w:tcPr>
          <w:p w14:paraId="5754940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1.校园卡运营指挥中心：</w:t>
            </w:r>
            <w:r>
              <w:rPr>
                <w:rFonts w:hint="eastAsia" w:ascii="宋体" w:hAnsi="宋体" w:eastAsia="宋体" w:cs="宋体"/>
                <w:color w:val="auto"/>
                <w:kern w:val="2"/>
                <w:sz w:val="18"/>
                <w:szCs w:val="18"/>
                <w:lang w:val="en-US" w:eastAsia="zh-CN" w:bidi="ar-SA"/>
              </w:rPr>
              <w:t xml:space="preserve">对一卡通运营状态、交易状态、设备状态等数据进行总览统计分析，包括今日充值金额及人数、今日消费金额及人数、今日/本学期发卡总数、今日/本学期补卡总数、今日/本学期挂失卡数、当前有效卡统计、今日一卡通任务执行情况统计、今日各类型人员校园卡使用情况统计。提供卡账户异常预警，包括不活跃学生账户统计、近 7 日大额消费账户数、近 7 日刷卡频次过高账户数、黑卡消费账户数，支持卡账户异常预警明细统计。提供一卡通设备在线情况监测，一卡通近 24 小时服务器运行情况监控。 </w:t>
            </w:r>
          </w:p>
          <w:p w14:paraId="5953534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2.一卡通业务概览：</w:t>
            </w:r>
            <w:r>
              <w:rPr>
                <w:rFonts w:hint="eastAsia" w:ascii="宋体" w:hAnsi="宋体" w:eastAsia="宋体" w:cs="宋体"/>
                <w:color w:val="auto"/>
                <w:kern w:val="2"/>
                <w:sz w:val="18"/>
                <w:szCs w:val="18"/>
                <w:lang w:val="en-US" w:eastAsia="zh-CN" w:bidi="ar-SA"/>
              </w:rPr>
              <w:t xml:space="preserve">对一卡通业务概览，包括：消费笔数，充值金额，活跃设备数，一卡通活跃用户数；消费数据概览分析，包括：日消费总金额、人均日消费金额、日消费总次数、人均日消费总次数、统计学生消费场景分布、学生消费水平分布； 充值分析概览：日充值总金额、人均日充值金额、日充值总次数、人均日充值次数、月充值金额趋势；卡务分析概览：挂失次数、冻结次数、注销次数、卡账户类型概览；商户分析概览：商户数量、日均营业额、商户运营趋势。 </w:t>
            </w:r>
          </w:p>
          <w:p w14:paraId="4DABBBC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3.卡务工作分析：</w:t>
            </w:r>
            <w:r>
              <w:rPr>
                <w:rFonts w:hint="eastAsia" w:ascii="宋体" w:hAnsi="宋体" w:eastAsia="宋体" w:cs="宋体"/>
                <w:color w:val="auto"/>
                <w:kern w:val="2"/>
                <w:sz w:val="18"/>
                <w:szCs w:val="18"/>
                <w:lang w:val="en-US" w:eastAsia="zh-CN" w:bidi="ar-SA"/>
              </w:rPr>
              <w:t>在繁多的卡务工作中，每日产生海量的卡务数据，卡务中心对业务的管理和了解，通常需要从业务后台抽取整理，通过复杂的数据操作整理出对应的业务数据结果，在不断更新的数据场景下，传统数据处理工作占用了大量的工作时间，通过大数据分析平台，可以根据卡务工作人员关注的数据指标，整理出通用的数据模型，保证每次打开数据分析主题，都能生成最新的准确数据结果；卡务数据分析内容主要包括以下几个方面：对一卡通卡务数据进行详细统计分析，支持自定义时间段筛选统计卡挂失次数、换卡次数、账户冻结次数、账户注销数、卡账户类型概览、卡账户活跃人数趋势、不同卡务事项办理工作分布、卡务工作次数趋势、不同消费介质使用趋势、核身场景介质对比。</w:t>
            </w:r>
          </w:p>
        </w:tc>
        <w:tc>
          <w:tcPr>
            <w:tcW w:w="540" w:type="dxa"/>
            <w:tcBorders>
              <w:tl2br w:val="nil"/>
              <w:tr2bl w:val="nil"/>
            </w:tcBorders>
            <w:noWrap w:val="0"/>
            <w:vAlign w:val="center"/>
          </w:tcPr>
          <w:p w14:paraId="0426097B">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b/>
                <w:bCs/>
                <w:color w:val="auto"/>
                <w:kern w:val="2"/>
                <w:sz w:val="18"/>
                <w:szCs w:val="18"/>
                <w:lang w:val="en-US" w:eastAsia="zh-CN" w:bidi="ar-SA"/>
              </w:rPr>
            </w:pPr>
          </w:p>
        </w:tc>
      </w:tr>
      <w:tr w14:paraId="098B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noWrap w:val="0"/>
            <w:vAlign w:val="center"/>
          </w:tcPr>
          <w:p w14:paraId="18928FFD">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18</w:t>
            </w:r>
          </w:p>
        </w:tc>
        <w:tc>
          <w:tcPr>
            <w:tcW w:w="809" w:type="dxa"/>
            <w:tcBorders>
              <w:tl2br w:val="nil"/>
              <w:tr2bl w:val="nil"/>
            </w:tcBorders>
            <w:noWrap w:val="0"/>
            <w:vAlign w:val="center"/>
          </w:tcPr>
          <w:p w14:paraId="2F5EDAC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收费</w:t>
            </w:r>
          </w:p>
          <w:p w14:paraId="1190A18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退费</w:t>
            </w:r>
          </w:p>
          <w:p w14:paraId="69E6DDDF">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功能</w:t>
            </w:r>
          </w:p>
        </w:tc>
        <w:tc>
          <w:tcPr>
            <w:tcW w:w="601" w:type="dxa"/>
            <w:tcBorders>
              <w:tl2br w:val="nil"/>
              <w:tr2bl w:val="nil"/>
            </w:tcBorders>
            <w:noWrap w:val="0"/>
            <w:vAlign w:val="center"/>
          </w:tcPr>
          <w:p w14:paraId="45184D1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新开普综合缴费平台V2.0</w:t>
            </w:r>
          </w:p>
        </w:tc>
        <w:tc>
          <w:tcPr>
            <w:tcW w:w="6043" w:type="dxa"/>
            <w:tcBorders>
              <w:tl2br w:val="nil"/>
              <w:tr2bl w:val="nil"/>
            </w:tcBorders>
            <w:noWrap w:val="0"/>
            <w:vAlign w:val="center"/>
          </w:tcPr>
          <w:p w14:paraId="41AA4D46">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1.退费项目：管理员可以根据自身需求自行灵活设置退费项目，无项目和数量限制，包括但不限于校园卡余额退费、住宿费退费、网费退费、水电费退费等。 </w:t>
            </w:r>
          </w:p>
          <w:p w14:paraId="48D6F9A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2.支持用户端学生自主维护收款账户，支持支付宝、微信的退费方式。 </w:t>
            </w:r>
          </w:p>
          <w:p w14:paraId="126F1D4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3.退费申请：支持对退费项目立项申请，包括管理端业务人员退费项目申请和用户端退费申请。</w:t>
            </w:r>
          </w:p>
          <w:p w14:paraId="3C94602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4.用户可通过用户端入口查看退费项目、退费资金明细、查看退费进度。包括项目名称、业务名称、学号、姓名、退费金额、退费状态、收款账户类型、收款账号、退费失败原因、审核状态。 </w:t>
            </w:r>
          </w:p>
          <w:p w14:paraId="3A75F7B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5.退费人员管理：支持创建多个退费业务，支持退费总人数、总金额、已退费人数、已退费金额的统计查看，支持退费人员明细详情查看和批量导入功能。</w:t>
            </w:r>
          </w:p>
          <w:p w14:paraId="28D5CF1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6.退费进程监控：管理端支持查看退费进程详细信息，方便管理人员了解把控退费情况。支持查看退费项目名称、业务名称、应退费人数、应退费金额、已申请人数、已退费人数、已退费金额。 </w:t>
            </w:r>
          </w:p>
          <w:p w14:paraId="7D52E6A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7.退费审核：管理端人员支持对退费项目进行审核，审核时能够快速查看退费总人数、退费总计金额数据。支持退费人员批量审核，支持在界面人工增加退费人员和金额。 </w:t>
            </w:r>
          </w:p>
          <w:p w14:paraId="3B855A3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8.退费信息校验：用户端学生维护退费接收账户时，系统支持对填写的收款账户用户名和退费系统用户名进行一致性校验，校验一致方可继续操作。</w:t>
            </w:r>
          </w:p>
        </w:tc>
        <w:tc>
          <w:tcPr>
            <w:tcW w:w="540" w:type="dxa"/>
            <w:tcBorders>
              <w:tl2br w:val="nil"/>
              <w:tr2bl w:val="nil"/>
            </w:tcBorders>
            <w:noWrap w:val="0"/>
            <w:vAlign w:val="center"/>
          </w:tcPr>
          <w:p w14:paraId="3D9F981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0751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000000" w:fill="FFFFFF"/>
            <w:noWrap w:val="0"/>
            <w:vAlign w:val="center"/>
          </w:tcPr>
          <w:p w14:paraId="19F35FD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19</w:t>
            </w:r>
          </w:p>
        </w:tc>
        <w:tc>
          <w:tcPr>
            <w:tcW w:w="809" w:type="dxa"/>
            <w:tcBorders>
              <w:tl2br w:val="nil"/>
              <w:tr2bl w:val="nil"/>
            </w:tcBorders>
            <w:shd w:val="clear" w:color="000000" w:fill="FFFFFF"/>
            <w:noWrap w:val="0"/>
            <w:vAlign w:val="center"/>
          </w:tcPr>
          <w:p w14:paraId="2A33641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金融</w:t>
            </w:r>
          </w:p>
          <w:p w14:paraId="3D151158">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加密机</w:t>
            </w:r>
          </w:p>
        </w:tc>
        <w:tc>
          <w:tcPr>
            <w:tcW w:w="601" w:type="dxa"/>
            <w:tcBorders>
              <w:tl2br w:val="nil"/>
              <w:tr2bl w:val="nil"/>
            </w:tcBorders>
            <w:shd w:val="clear" w:color="000000" w:fill="FFFFFF"/>
            <w:noWrap w:val="0"/>
            <w:vAlign w:val="center"/>
          </w:tcPr>
          <w:p w14:paraId="0F3C7F93">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w:t>
            </w:r>
          </w:p>
          <w:p w14:paraId="2623A81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开</w:t>
            </w:r>
          </w:p>
          <w:p w14:paraId="10BDDA9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cs="宋体"/>
                <w:color w:val="auto"/>
                <w:kern w:val="0"/>
                <w:sz w:val="18"/>
                <w:szCs w:val="18"/>
                <w:lang w:val="en-US" w:eastAsia="zh-CN"/>
              </w:rPr>
              <w:t>普</w:t>
            </w:r>
            <w:r>
              <w:rPr>
                <w:rFonts w:hint="eastAsia" w:ascii="宋体" w:hAnsi="宋体" w:eastAsia="宋体" w:cs="宋体"/>
                <w:color w:val="auto"/>
                <w:kern w:val="0"/>
                <w:sz w:val="18"/>
                <w:szCs w:val="18"/>
              </w:rPr>
              <w:t>P201</w:t>
            </w:r>
          </w:p>
        </w:tc>
        <w:tc>
          <w:tcPr>
            <w:tcW w:w="6043" w:type="dxa"/>
            <w:tcBorders>
              <w:tl2br w:val="nil"/>
              <w:tr2bl w:val="nil"/>
            </w:tcBorders>
            <w:shd w:val="clear" w:color="000000" w:fill="FFFFFF"/>
            <w:noWrap w:val="0"/>
            <w:vAlign w:val="center"/>
          </w:tcPr>
          <w:p w14:paraId="194C6AF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1.密码算法：支持 DES/3DES 算法，支持国密算法 SM2/SM3/SM4，同时支持双算法业务 </w:t>
            </w:r>
          </w:p>
          <w:p w14:paraId="341E9FD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2.CPU：四核 3.0GHz </w:t>
            </w:r>
          </w:p>
          <w:p w14:paraId="7049ABD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3.USB：4 个 USB2.0 </w:t>
            </w:r>
          </w:p>
          <w:p w14:paraId="2B86602B">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4.LAN：2 个 10/100Mbps 自适应网卡 </w:t>
            </w:r>
          </w:p>
          <w:p w14:paraId="1462FFE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5.串口标准：1 个 RS-232/422/485 </w:t>
            </w:r>
          </w:p>
          <w:p w14:paraId="004283F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6.工作温度：0℃～50℃ </w:t>
            </w:r>
          </w:p>
          <w:p w14:paraId="0F03DB4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7.工作湿度：5%～80%（25℃） </w:t>
            </w:r>
          </w:p>
          <w:p w14:paraId="60B128B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8.输入电压：AC220V</w:t>
            </w:r>
          </w:p>
        </w:tc>
        <w:tc>
          <w:tcPr>
            <w:tcW w:w="540" w:type="dxa"/>
            <w:tcBorders>
              <w:tl2br w:val="nil"/>
              <w:tr2bl w:val="nil"/>
            </w:tcBorders>
            <w:shd w:val="clear" w:color="000000" w:fill="FFFFFF"/>
            <w:noWrap w:val="0"/>
            <w:vAlign w:val="center"/>
          </w:tcPr>
          <w:p w14:paraId="3DC05D7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4DFB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1A47C9C8">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w:t>
            </w:r>
          </w:p>
        </w:tc>
        <w:tc>
          <w:tcPr>
            <w:tcW w:w="809" w:type="dxa"/>
            <w:tcBorders>
              <w:tl2br w:val="nil"/>
              <w:tr2bl w:val="nil"/>
            </w:tcBorders>
            <w:shd w:val="clear" w:color="000000" w:fill="FFFFFF"/>
            <w:noWrap w:val="0"/>
            <w:vAlign w:val="center"/>
          </w:tcPr>
          <w:p w14:paraId="187DD17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密钥卡</w:t>
            </w:r>
          </w:p>
          <w:p w14:paraId="690DE994">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读写器</w:t>
            </w:r>
          </w:p>
        </w:tc>
        <w:tc>
          <w:tcPr>
            <w:tcW w:w="601" w:type="dxa"/>
            <w:tcBorders>
              <w:tl2br w:val="nil"/>
              <w:tr2bl w:val="nil"/>
            </w:tcBorders>
            <w:shd w:val="clear" w:color="000000" w:fill="FFFFFF"/>
            <w:noWrap w:val="0"/>
            <w:vAlign w:val="center"/>
          </w:tcPr>
          <w:p w14:paraId="62BAF44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w:t>
            </w:r>
          </w:p>
          <w:p w14:paraId="2D7BFCF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开</w:t>
            </w:r>
          </w:p>
          <w:p w14:paraId="047434B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cs="宋体"/>
                <w:color w:val="auto"/>
                <w:kern w:val="0"/>
                <w:sz w:val="18"/>
                <w:szCs w:val="18"/>
                <w:lang w:val="en-US" w:eastAsia="zh-CN"/>
              </w:rPr>
              <w:t>普</w:t>
            </w:r>
            <w:r>
              <w:rPr>
                <w:rFonts w:hint="eastAsia" w:ascii="宋体" w:hAnsi="宋体" w:eastAsia="宋体" w:cs="宋体"/>
                <w:color w:val="auto"/>
                <w:kern w:val="0"/>
                <w:sz w:val="18"/>
                <w:szCs w:val="18"/>
              </w:rPr>
              <w:t>E711</w:t>
            </w:r>
          </w:p>
        </w:tc>
        <w:tc>
          <w:tcPr>
            <w:tcW w:w="6043" w:type="dxa"/>
            <w:tcBorders>
              <w:tl2br w:val="nil"/>
              <w:tr2bl w:val="nil"/>
            </w:tcBorders>
            <w:shd w:val="clear" w:color="000000" w:fill="FFFFFF"/>
            <w:noWrap w:val="0"/>
            <w:vAlign w:val="center"/>
          </w:tcPr>
          <w:p w14:paraId="474DBAD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1.使用卡类：支持 Mifare1 卡/CPU 卡 </w:t>
            </w:r>
          </w:p>
          <w:p w14:paraId="41BB66D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2.工作频率：13.56MHz </w:t>
            </w:r>
          </w:p>
          <w:p w14:paraId="46DBCBD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3.安全性：支持数据加密和双向验证功能 </w:t>
            </w:r>
          </w:p>
          <w:p w14:paraId="731C423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4.读卡时间：≤500ms </w:t>
            </w:r>
          </w:p>
          <w:p w14:paraId="0DD0C07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5.PSAM 卡槽：2 个 </w:t>
            </w:r>
          </w:p>
          <w:p w14:paraId="7ECF6F0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6.接口：免驱 USB</w:t>
            </w:r>
          </w:p>
        </w:tc>
        <w:tc>
          <w:tcPr>
            <w:tcW w:w="540" w:type="dxa"/>
            <w:tcBorders>
              <w:tl2br w:val="nil"/>
              <w:tr2bl w:val="nil"/>
            </w:tcBorders>
            <w:shd w:val="clear" w:color="000000" w:fill="FFFFFF"/>
            <w:noWrap w:val="0"/>
            <w:vAlign w:val="center"/>
          </w:tcPr>
          <w:p w14:paraId="687B11E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0905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1187C3D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21</w:t>
            </w:r>
          </w:p>
        </w:tc>
        <w:tc>
          <w:tcPr>
            <w:tcW w:w="809" w:type="dxa"/>
            <w:tcBorders>
              <w:tl2br w:val="nil"/>
              <w:tr2bl w:val="nil"/>
            </w:tcBorders>
            <w:shd w:val="clear" w:color="000000" w:fill="FFFFFF"/>
            <w:noWrap w:val="0"/>
            <w:vAlign w:val="center"/>
          </w:tcPr>
          <w:p w14:paraId="6323F2F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终端</w:t>
            </w:r>
          </w:p>
          <w:p w14:paraId="4500694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密钥卡</w:t>
            </w:r>
          </w:p>
        </w:tc>
        <w:tc>
          <w:tcPr>
            <w:tcW w:w="601" w:type="dxa"/>
            <w:tcBorders>
              <w:tl2br w:val="nil"/>
              <w:tr2bl w:val="nil"/>
            </w:tcBorders>
            <w:shd w:val="clear" w:color="000000" w:fill="FFFFFF"/>
            <w:noWrap w:val="0"/>
            <w:vAlign w:val="center"/>
          </w:tcPr>
          <w:p w14:paraId="01DF9B7F">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w:t>
            </w:r>
          </w:p>
          <w:p w14:paraId="29EDBB9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开</w:t>
            </w:r>
          </w:p>
          <w:p w14:paraId="650C67FF">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cs="宋体"/>
                <w:color w:val="auto"/>
                <w:kern w:val="0"/>
                <w:sz w:val="18"/>
                <w:szCs w:val="18"/>
                <w:lang w:val="en-US" w:eastAsia="zh-CN"/>
              </w:rPr>
              <w:t>普</w:t>
            </w:r>
            <w:r>
              <w:rPr>
                <w:rFonts w:hint="eastAsia" w:ascii="宋体" w:hAnsi="宋体" w:eastAsia="宋体" w:cs="宋体"/>
                <w:color w:val="auto"/>
                <w:kern w:val="0"/>
                <w:sz w:val="18"/>
                <w:szCs w:val="18"/>
              </w:rPr>
              <w:t>PSAM卡</w:t>
            </w:r>
          </w:p>
        </w:tc>
        <w:tc>
          <w:tcPr>
            <w:tcW w:w="6043" w:type="dxa"/>
            <w:tcBorders>
              <w:tl2br w:val="nil"/>
              <w:tr2bl w:val="nil"/>
            </w:tcBorders>
            <w:shd w:val="clear" w:color="000000" w:fill="FFFFFF"/>
            <w:noWrap w:val="0"/>
            <w:vAlign w:val="center"/>
          </w:tcPr>
          <w:p w14:paraId="197E724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1.安全机制：支持存储计算、验证密钥，具有密钥销毁策略 </w:t>
            </w:r>
          </w:p>
          <w:p w14:paraId="53AB26D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2.读取速度：读取 PSAM 卡数据速度≥1Kbps</w:t>
            </w:r>
          </w:p>
          <w:p w14:paraId="285EEC6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3.加密速度：单 DES 数据加密≤50ms/8 字节 </w:t>
            </w:r>
          </w:p>
          <w:p w14:paraId="6CDBFC8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4.PSAM 规范：符合 ISO-7816 的 PSAM 卡 </w:t>
            </w:r>
          </w:p>
          <w:p w14:paraId="7EF2940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5.电压电流：电压 5.0V 最大电流 0.5A </w:t>
            </w:r>
          </w:p>
          <w:p w14:paraId="2D89A2B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6.运行温度：0︒C～50︒C </w:t>
            </w:r>
          </w:p>
          <w:p w14:paraId="289415E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7.运行湿度：5%～80%，无冷凝</w:t>
            </w:r>
          </w:p>
        </w:tc>
        <w:tc>
          <w:tcPr>
            <w:tcW w:w="540" w:type="dxa"/>
            <w:tcBorders>
              <w:tl2br w:val="nil"/>
              <w:tr2bl w:val="nil"/>
            </w:tcBorders>
            <w:shd w:val="clear" w:color="000000" w:fill="FFFFFF"/>
            <w:noWrap w:val="0"/>
            <w:vAlign w:val="center"/>
          </w:tcPr>
          <w:p w14:paraId="6BFAEC5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509E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13EF9157">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22</w:t>
            </w:r>
          </w:p>
        </w:tc>
        <w:tc>
          <w:tcPr>
            <w:tcW w:w="809" w:type="dxa"/>
            <w:tcBorders>
              <w:tl2br w:val="nil"/>
              <w:tr2bl w:val="nil"/>
            </w:tcBorders>
            <w:shd w:val="clear" w:color="000000" w:fill="FFFFFF"/>
            <w:noWrap w:val="0"/>
            <w:vAlign w:val="center"/>
          </w:tcPr>
          <w:p w14:paraId="6F807FF4">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工具卡</w:t>
            </w:r>
          </w:p>
        </w:tc>
        <w:tc>
          <w:tcPr>
            <w:tcW w:w="601" w:type="dxa"/>
            <w:tcBorders>
              <w:tl2br w:val="nil"/>
              <w:tr2bl w:val="nil"/>
            </w:tcBorders>
            <w:shd w:val="clear" w:color="000000" w:fill="FFFFFF"/>
            <w:noWrap w:val="0"/>
            <w:vAlign w:val="center"/>
          </w:tcPr>
          <w:p w14:paraId="78F4CCF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w:t>
            </w:r>
          </w:p>
          <w:p w14:paraId="6C6F6A2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开</w:t>
            </w:r>
          </w:p>
          <w:p w14:paraId="13DC9335">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普</w:t>
            </w:r>
          </w:p>
          <w:p w14:paraId="5D7CCB48">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CPU卡</w:t>
            </w:r>
          </w:p>
        </w:tc>
        <w:tc>
          <w:tcPr>
            <w:tcW w:w="6043" w:type="dxa"/>
            <w:tcBorders>
              <w:tl2br w:val="nil"/>
              <w:tr2bl w:val="nil"/>
            </w:tcBorders>
            <w:shd w:val="clear" w:color="000000" w:fill="FFFFFF"/>
            <w:noWrap w:val="0"/>
            <w:vAlign w:val="center"/>
          </w:tcPr>
          <w:p w14:paraId="7952D20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1.符合技术规范：符合《中国金融集成电路（IC）卡规范》 </w:t>
            </w:r>
          </w:p>
          <w:p w14:paraId="672E141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2.RF 接口：符合 ISO/IEC 14443 TYPE-A 的 RF 接口 </w:t>
            </w:r>
          </w:p>
          <w:p w14:paraId="2EB8B7B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3.载波频率：13.56MHz </w:t>
            </w:r>
          </w:p>
          <w:p w14:paraId="112EDB1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4.通讯速率：106Kbps </w:t>
            </w:r>
          </w:p>
          <w:p w14:paraId="5D65DFC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5.处理器：32 位 </w:t>
            </w:r>
          </w:p>
          <w:p w14:paraId="6E1BD9A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6.存储器：SRAM 为 256 字节， EEPROM 为 8K 字节，EEPROM 可擦写次数≥100000 次，EEPROM 数据保持≥10 年 </w:t>
            </w:r>
          </w:p>
          <w:p w14:paraId="1C35AB9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7.安全机制：具备非正常的工作温度和工作场强检测机制，支持安检超出自动复位 </w:t>
            </w:r>
          </w:p>
          <w:p w14:paraId="7C3578A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8.数据加密：EEPROM、ROM、IRAM 和 XRAM 的数据均支持加密保护</w:t>
            </w:r>
          </w:p>
        </w:tc>
        <w:tc>
          <w:tcPr>
            <w:tcW w:w="540" w:type="dxa"/>
            <w:tcBorders>
              <w:tl2br w:val="nil"/>
              <w:tr2bl w:val="nil"/>
            </w:tcBorders>
            <w:shd w:val="clear" w:color="000000" w:fill="FFFFFF"/>
            <w:noWrap w:val="0"/>
            <w:vAlign w:val="center"/>
          </w:tcPr>
          <w:p w14:paraId="2B6E44E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6CCB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5F847F7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23</w:t>
            </w:r>
          </w:p>
        </w:tc>
        <w:tc>
          <w:tcPr>
            <w:tcW w:w="809" w:type="dxa"/>
            <w:tcBorders>
              <w:tl2br w:val="nil"/>
              <w:tr2bl w:val="nil"/>
            </w:tcBorders>
            <w:shd w:val="clear" w:color="000000" w:fill="FFFFFF"/>
            <w:noWrap w:val="0"/>
            <w:vAlign w:val="center"/>
          </w:tcPr>
          <w:p w14:paraId="3A1EA06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应用</w:t>
            </w:r>
          </w:p>
          <w:p w14:paraId="7A1EC74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工作站</w:t>
            </w:r>
          </w:p>
        </w:tc>
        <w:tc>
          <w:tcPr>
            <w:tcW w:w="601" w:type="dxa"/>
            <w:tcBorders>
              <w:tl2br w:val="nil"/>
              <w:tr2bl w:val="nil"/>
            </w:tcBorders>
            <w:shd w:val="clear" w:color="000000" w:fill="FFFFFF"/>
            <w:noWrap w:val="0"/>
            <w:vAlign w:val="center"/>
          </w:tcPr>
          <w:p w14:paraId="7053D45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cs="宋体"/>
                <w:color w:val="auto"/>
                <w:kern w:val="0"/>
                <w:sz w:val="18"/>
                <w:szCs w:val="18"/>
                <w:lang w:val="en-US" w:eastAsia="zh-CN"/>
              </w:rPr>
              <w:t>联想</w:t>
            </w:r>
            <w:r>
              <w:rPr>
                <w:rFonts w:hint="eastAsia" w:ascii="宋体" w:hAnsi="宋体" w:eastAsia="宋体" w:cs="宋体"/>
                <w:color w:val="auto"/>
                <w:kern w:val="0"/>
                <w:sz w:val="18"/>
                <w:szCs w:val="18"/>
              </w:rPr>
              <w:t>启天 M760</w:t>
            </w:r>
          </w:p>
        </w:tc>
        <w:tc>
          <w:tcPr>
            <w:tcW w:w="6043" w:type="dxa"/>
            <w:tcBorders>
              <w:tl2br w:val="nil"/>
              <w:tr2bl w:val="nil"/>
            </w:tcBorders>
            <w:shd w:val="clear" w:color="000000" w:fill="FFFFFF"/>
            <w:noWrap w:val="0"/>
            <w:vAlign w:val="center"/>
          </w:tcPr>
          <w:p w14:paraId="39E4A067">
            <w:pPr>
              <w:keepNext w:val="0"/>
              <w:keepLines w:val="0"/>
              <w:pageBreakBefore w:val="0"/>
              <w:widowControl/>
              <w:kinsoku/>
              <w:wordWrap/>
              <w:overflowPunct/>
              <w:topLinePunct w:val="0"/>
              <w:autoSpaceDE/>
              <w:autoSpaceDN/>
              <w:bidi w:val="0"/>
              <w:adjustRightInd/>
              <w:snapToGrid/>
              <w:spacing w:line="300" w:lineRule="exact"/>
              <w:ind w:left="0" w:firstLine="360" w:firstLineChars="200"/>
              <w:jc w:val="left"/>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多线程支持为 18 线程，运行内存 16GB，存储空间 1TB</w:t>
            </w:r>
          </w:p>
        </w:tc>
        <w:tc>
          <w:tcPr>
            <w:tcW w:w="540" w:type="dxa"/>
            <w:tcBorders>
              <w:tl2br w:val="nil"/>
              <w:tr2bl w:val="nil"/>
            </w:tcBorders>
            <w:shd w:val="clear" w:color="000000" w:fill="FFFFFF"/>
            <w:noWrap w:val="0"/>
            <w:vAlign w:val="center"/>
          </w:tcPr>
          <w:p w14:paraId="3EEFC14C">
            <w:pPr>
              <w:keepNext w:val="0"/>
              <w:keepLines w:val="0"/>
              <w:pageBreakBefore w:val="0"/>
              <w:widowControl/>
              <w:kinsoku/>
              <w:wordWrap/>
              <w:overflowPunct/>
              <w:topLinePunct w:val="0"/>
              <w:autoSpaceDE/>
              <w:autoSpaceDN/>
              <w:bidi w:val="0"/>
              <w:adjustRightInd/>
              <w:snapToGrid/>
              <w:spacing w:line="300" w:lineRule="exact"/>
              <w:ind w:left="0" w:firstLine="360" w:firstLineChars="200"/>
              <w:jc w:val="left"/>
              <w:textAlignment w:val="auto"/>
              <w:rPr>
                <w:rFonts w:hint="eastAsia" w:ascii="宋体" w:hAnsi="宋体" w:eastAsia="宋体" w:cs="宋体"/>
                <w:color w:val="auto"/>
                <w:kern w:val="0"/>
                <w:sz w:val="18"/>
                <w:szCs w:val="18"/>
                <w:lang w:val="en-US" w:eastAsia="zh-CN"/>
              </w:rPr>
            </w:pPr>
          </w:p>
        </w:tc>
      </w:tr>
      <w:tr w14:paraId="02CC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6385F596">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24</w:t>
            </w:r>
          </w:p>
        </w:tc>
        <w:tc>
          <w:tcPr>
            <w:tcW w:w="809" w:type="dxa"/>
            <w:tcBorders>
              <w:tl2br w:val="nil"/>
              <w:tr2bl w:val="nil"/>
            </w:tcBorders>
            <w:shd w:val="clear" w:color="000000" w:fill="FFFFFF"/>
            <w:noWrap w:val="0"/>
            <w:vAlign w:val="center"/>
          </w:tcPr>
          <w:p w14:paraId="502A1085">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校园卡读写器</w:t>
            </w:r>
          </w:p>
        </w:tc>
        <w:tc>
          <w:tcPr>
            <w:tcW w:w="601" w:type="dxa"/>
            <w:tcBorders>
              <w:tl2br w:val="nil"/>
              <w:tr2bl w:val="nil"/>
            </w:tcBorders>
            <w:shd w:val="clear" w:color="000000" w:fill="FFFFFF"/>
            <w:noWrap w:val="0"/>
            <w:vAlign w:val="center"/>
          </w:tcPr>
          <w:p w14:paraId="4CCDB177">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w:t>
            </w:r>
          </w:p>
          <w:p w14:paraId="5434DCE6">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开</w:t>
            </w:r>
          </w:p>
          <w:p w14:paraId="5D10F7D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cs="宋体"/>
                <w:color w:val="auto"/>
                <w:kern w:val="0"/>
                <w:sz w:val="18"/>
                <w:szCs w:val="18"/>
                <w:lang w:val="en-US" w:eastAsia="zh-CN"/>
              </w:rPr>
              <w:t>普</w:t>
            </w:r>
            <w:r>
              <w:rPr>
                <w:rFonts w:hint="eastAsia" w:ascii="宋体" w:hAnsi="宋体" w:eastAsia="宋体" w:cs="宋体"/>
                <w:color w:val="auto"/>
                <w:kern w:val="0"/>
                <w:sz w:val="18"/>
                <w:szCs w:val="18"/>
              </w:rPr>
              <w:t>E711</w:t>
            </w:r>
          </w:p>
        </w:tc>
        <w:tc>
          <w:tcPr>
            <w:tcW w:w="6043" w:type="dxa"/>
            <w:tcBorders>
              <w:tl2br w:val="nil"/>
              <w:tr2bl w:val="nil"/>
            </w:tcBorders>
            <w:shd w:val="clear" w:color="000000" w:fill="FFFFFF"/>
            <w:noWrap w:val="0"/>
            <w:vAlign w:val="center"/>
          </w:tcPr>
          <w:p w14:paraId="27DCE70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1.使用卡类：支持 Mifare1 卡/CPU 卡 </w:t>
            </w:r>
          </w:p>
          <w:p w14:paraId="55EA58F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2.扫码器：内置 </w:t>
            </w:r>
          </w:p>
          <w:p w14:paraId="6EBBE27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3.工作频率：13.56MHz </w:t>
            </w:r>
          </w:p>
          <w:p w14:paraId="7DBE077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4.安全性：支持数据加密和双向验证功能 </w:t>
            </w:r>
          </w:p>
          <w:p w14:paraId="2D10AF0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5.读卡时间：≤500ms </w:t>
            </w:r>
          </w:p>
          <w:p w14:paraId="5933F5B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6.识别码制：支持 QR Code、Code 128、Code 39 </w:t>
            </w:r>
          </w:p>
          <w:p w14:paraId="6FE2559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7.声光指示：内置指示灯和蜂鸣器 </w:t>
            </w:r>
          </w:p>
          <w:p w14:paraId="6E1D595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8.PSAM 卡槽：2 个 </w:t>
            </w:r>
          </w:p>
          <w:p w14:paraId="3C47E08B">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9.接口：免驱 USB</w:t>
            </w:r>
          </w:p>
        </w:tc>
        <w:tc>
          <w:tcPr>
            <w:tcW w:w="540" w:type="dxa"/>
            <w:tcBorders>
              <w:tl2br w:val="nil"/>
              <w:tr2bl w:val="nil"/>
            </w:tcBorders>
            <w:shd w:val="clear" w:color="000000" w:fill="FFFFFF"/>
            <w:noWrap w:val="0"/>
            <w:vAlign w:val="center"/>
          </w:tcPr>
          <w:p w14:paraId="63CCBDE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4661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000000" w:fill="FFFFFF"/>
            <w:noWrap w:val="0"/>
            <w:vAlign w:val="center"/>
          </w:tcPr>
          <w:p w14:paraId="488F481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w:t>
            </w:r>
          </w:p>
        </w:tc>
        <w:tc>
          <w:tcPr>
            <w:tcW w:w="809" w:type="dxa"/>
            <w:tcBorders>
              <w:tl2br w:val="nil"/>
              <w:tr2bl w:val="nil"/>
            </w:tcBorders>
            <w:shd w:val="clear" w:color="auto" w:fill="auto"/>
            <w:noWrap w:val="0"/>
            <w:vAlign w:val="center"/>
          </w:tcPr>
          <w:p w14:paraId="09B7BA8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多功能POS机（台式）</w:t>
            </w:r>
          </w:p>
        </w:tc>
        <w:tc>
          <w:tcPr>
            <w:tcW w:w="601" w:type="dxa"/>
            <w:tcBorders>
              <w:tl2br w:val="nil"/>
              <w:tr2bl w:val="nil"/>
            </w:tcBorders>
            <w:shd w:val="clear" w:color="000000" w:fill="FFFFFF"/>
            <w:noWrap/>
            <w:vAlign w:val="center"/>
          </w:tcPr>
          <w:p w14:paraId="0731603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新</w:t>
            </w:r>
          </w:p>
          <w:p w14:paraId="0324092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开</w:t>
            </w:r>
          </w:p>
          <w:p w14:paraId="039F77A0">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普</w:t>
            </w:r>
            <w:r>
              <w:rPr>
                <w:rFonts w:hint="eastAsia" w:ascii="宋体" w:hAnsi="宋体" w:eastAsia="宋体" w:cs="宋体"/>
                <w:color w:val="auto"/>
                <w:kern w:val="0"/>
                <w:sz w:val="18"/>
                <w:szCs w:val="18"/>
              </w:rPr>
              <w:t>A732</w:t>
            </w:r>
          </w:p>
        </w:tc>
        <w:tc>
          <w:tcPr>
            <w:tcW w:w="6043" w:type="dxa"/>
            <w:tcBorders>
              <w:tl2br w:val="nil"/>
              <w:tr2bl w:val="nil"/>
            </w:tcBorders>
            <w:noWrap w:val="0"/>
            <w:vAlign w:val="center"/>
          </w:tcPr>
          <w:p w14:paraId="351B80C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1.中央处理器：8 核处理器，储存器：16G FLASH； </w:t>
            </w:r>
          </w:p>
          <w:p w14:paraId="4207A13B">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2.显示屏：8 英寸，分辨率 1280×800； </w:t>
            </w:r>
          </w:p>
          <w:p w14:paraId="46C9928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3.显示信息脱敏：支付过程中，设备显示的个人信息支持脱敏 </w:t>
            </w:r>
          </w:p>
          <w:p w14:paraId="6B282EAB">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4.按键：机械按键（按键寿命 60 万次）。 </w:t>
            </w:r>
          </w:p>
          <w:p w14:paraId="65F6C43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5.读卡：支持 Mifare 1 卡/CPU 卡/手机 NFC </w:t>
            </w:r>
          </w:p>
          <w:p w14:paraId="734A068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6..SAM 卡座：2 个 PSAM 卡座，1 个 SIM 卡座 </w:t>
            </w:r>
          </w:p>
          <w:p w14:paraId="12E0CE5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7.二维码识别：支持 QR Code、Code 128/39 等（可旋转 360°、偏转 /倾斜 45°），支持常用离线码识别，二维码识别时间≤400ms </w:t>
            </w:r>
          </w:p>
          <w:p w14:paraId="43C5CF6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8.人脸识别摄像头：200 万像素双目摄像头，可见光+红外光 </w:t>
            </w:r>
          </w:p>
          <w:p w14:paraId="1AA1194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9.摄像头角度可调：支持向上或向下旋转，上下旋转角度≥15° </w:t>
            </w:r>
          </w:p>
          <w:p w14:paraId="31D3DD7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10.人脸识别速度：≤400ms </w:t>
            </w:r>
          </w:p>
          <w:p w14:paraId="78490C1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11.通讯方式：支持以太网、WiFi、蓝牙多种通讯方式 </w:t>
            </w:r>
          </w:p>
          <w:p w14:paraId="4F77DD4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12.数据离线存储：消费记录脱机时可离线存储到本地，网络恢复时可自动上传，支持百万离线数据存储。 </w:t>
            </w:r>
          </w:p>
          <w:p w14:paraId="37D2CA0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13.电源：DC 12V </w:t>
            </w:r>
          </w:p>
          <w:p w14:paraId="0024BD3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14.后备电池续航能力：5000mAh 且续航时长 6 小时。 </w:t>
            </w:r>
          </w:p>
          <w:p w14:paraId="24609A5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15.环境适应性：符合“GB/T2423.2-2008 电工电子产品环境试验 第 2 部分”要求。能够在-10℃~+55℃范围内正常运行 4h； </w:t>
            </w:r>
          </w:p>
          <w:p w14:paraId="37C8926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16.射频场感应的传导骚扰抗扰度检测：符合：GB/T17626.6-2017 《电磁兼容 试验和测量技术 射频场感应的传导骚扰抗扰度》B 级及以上要求。 </w:t>
            </w:r>
          </w:p>
          <w:p w14:paraId="01FF1CD6">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17.I/O 接口：RJ45 接口 1 个；RS232 接口 1 个；USB2.0 接口 1 个 </w:t>
            </w:r>
          </w:p>
          <w:p w14:paraId="78A0092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18.功能要求： </w:t>
            </w:r>
          </w:p>
          <w:p w14:paraId="28903886">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(1)终端识别到当前人脸可信度低时，强制由用户输入身份信息做双因子校验； </w:t>
            </w:r>
          </w:p>
          <w:p w14:paraId="5C09236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(2)支持刷卡、扫码、人脸离线消费，待网络正常后，离线记录自动上传； </w:t>
            </w:r>
          </w:p>
          <w:p w14:paraId="6228237B">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(3)用户使用专款专用余额进行支付并扣款成功后，终端屏幕支持展示实付、应付、专款专用扣款金额、专款专用余额、用户基本信息等数据； </w:t>
            </w:r>
          </w:p>
          <w:p w14:paraId="74A79D7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(4)支持中文语音播报消费结果和消费金额； </w:t>
            </w:r>
          </w:p>
          <w:p w14:paraId="337F9D0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支持多介质退款功能，用户持已成功支付的原订单（内置退款条码/二维码）在所属终端上反扫完成该笔交易退款，金额原渠道退回。支持实体卡、虚拟卡、人脸特征、微信/支付宝等支付介质支付后进行上述退款操作，退款操作强制校验终端密码（由管理员输入）； </w:t>
            </w:r>
          </w:p>
          <w:p w14:paraId="16D24C0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(6)支持 POS 终端快速切换定额、自由金额模式； </w:t>
            </w:r>
          </w:p>
          <w:p w14:paraId="039C481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(7)支持自定义用户消费模式，包括支付方式的开关、支付方式的优先级； </w:t>
            </w:r>
          </w:p>
          <w:p w14:paraId="500F46F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(8)支持定时重启； </w:t>
            </w:r>
          </w:p>
          <w:p w14:paraId="39E3AA1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(9)支持查询终端交易记录、交易汇总等</w:t>
            </w:r>
            <w:r>
              <w:rPr>
                <w:rFonts w:hint="eastAsia" w:ascii="宋体" w:hAnsi="宋体" w:cs="宋体"/>
                <w:color w:val="auto"/>
                <w:kern w:val="2"/>
                <w:sz w:val="18"/>
                <w:szCs w:val="18"/>
                <w:lang w:val="en-US" w:eastAsia="zh-CN" w:bidi="ar-SA"/>
              </w:rPr>
              <w:t>。</w:t>
            </w:r>
          </w:p>
        </w:tc>
        <w:tc>
          <w:tcPr>
            <w:tcW w:w="540" w:type="dxa"/>
            <w:tcBorders>
              <w:tl2br w:val="nil"/>
              <w:tr2bl w:val="nil"/>
            </w:tcBorders>
            <w:noWrap w:val="0"/>
            <w:vAlign w:val="center"/>
          </w:tcPr>
          <w:p w14:paraId="3C1A4CF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4A0B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04" w:type="dxa"/>
            <w:tcBorders>
              <w:tl2br w:val="nil"/>
              <w:tr2bl w:val="nil"/>
            </w:tcBorders>
            <w:shd w:val="clear" w:color="000000" w:fill="FFFFFF"/>
            <w:noWrap w:val="0"/>
            <w:vAlign w:val="center"/>
          </w:tcPr>
          <w:p w14:paraId="03AB1E2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26</w:t>
            </w:r>
          </w:p>
        </w:tc>
        <w:tc>
          <w:tcPr>
            <w:tcW w:w="809" w:type="dxa"/>
            <w:tcBorders>
              <w:tl2br w:val="nil"/>
              <w:tr2bl w:val="nil"/>
            </w:tcBorders>
            <w:shd w:val="clear" w:color="auto" w:fill="auto"/>
            <w:noWrap w:val="0"/>
            <w:vAlign w:val="center"/>
          </w:tcPr>
          <w:p w14:paraId="29B4C215">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光模块</w:t>
            </w:r>
          </w:p>
        </w:tc>
        <w:tc>
          <w:tcPr>
            <w:tcW w:w="601" w:type="dxa"/>
            <w:tcBorders>
              <w:tl2br w:val="nil"/>
              <w:tr2bl w:val="nil"/>
            </w:tcBorders>
            <w:shd w:val="clear" w:color="000000" w:fill="FFFFFF"/>
            <w:noWrap/>
            <w:vAlign w:val="center"/>
          </w:tcPr>
          <w:p w14:paraId="0C9247E4">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新华</w:t>
            </w:r>
          </w:p>
          <w:p w14:paraId="49C1617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三</w:t>
            </w:r>
          </w:p>
          <w:p w14:paraId="217B030D">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单模</w:t>
            </w:r>
          </w:p>
        </w:tc>
        <w:tc>
          <w:tcPr>
            <w:tcW w:w="6043" w:type="dxa"/>
            <w:tcBorders>
              <w:tl2br w:val="nil"/>
              <w:tr2bl w:val="nil"/>
            </w:tcBorders>
            <w:noWrap w:val="0"/>
            <w:vAlign w:val="center"/>
          </w:tcPr>
          <w:p w14:paraId="48129503">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15对千兆接入光模块</w:t>
            </w:r>
          </w:p>
        </w:tc>
        <w:tc>
          <w:tcPr>
            <w:tcW w:w="540" w:type="dxa"/>
            <w:tcBorders>
              <w:tl2br w:val="nil"/>
              <w:tr2bl w:val="nil"/>
            </w:tcBorders>
            <w:noWrap w:val="0"/>
            <w:vAlign w:val="center"/>
          </w:tcPr>
          <w:p w14:paraId="1C614BA4">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p>
        </w:tc>
      </w:tr>
      <w:tr w14:paraId="4D14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000000" w:fill="FFFFFF"/>
            <w:noWrap w:val="0"/>
            <w:vAlign w:val="center"/>
          </w:tcPr>
          <w:p w14:paraId="02438A7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27</w:t>
            </w:r>
          </w:p>
        </w:tc>
        <w:tc>
          <w:tcPr>
            <w:tcW w:w="809" w:type="dxa"/>
            <w:tcBorders>
              <w:tl2br w:val="nil"/>
              <w:tr2bl w:val="nil"/>
            </w:tcBorders>
            <w:shd w:val="clear" w:color="auto" w:fill="auto"/>
            <w:noWrap w:val="0"/>
            <w:vAlign w:val="center"/>
          </w:tcPr>
          <w:p w14:paraId="433C44C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接入</w:t>
            </w:r>
          </w:p>
          <w:p w14:paraId="4AF47E1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交换机</w:t>
            </w:r>
          </w:p>
        </w:tc>
        <w:tc>
          <w:tcPr>
            <w:tcW w:w="601" w:type="dxa"/>
            <w:tcBorders>
              <w:tl2br w:val="nil"/>
              <w:tr2bl w:val="nil"/>
            </w:tcBorders>
            <w:shd w:val="clear" w:color="000000" w:fill="FFFFFF"/>
            <w:noWrap/>
            <w:vAlign w:val="center"/>
          </w:tcPr>
          <w:p w14:paraId="1A94A20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w:t>
            </w:r>
          </w:p>
          <w:p w14:paraId="564C511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华</w:t>
            </w:r>
          </w:p>
          <w:p w14:paraId="3DC8D35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三</w:t>
            </w:r>
            <w:r>
              <w:rPr>
                <w:rFonts w:hint="eastAsia" w:ascii="宋体" w:hAnsi="宋体" w:eastAsia="宋体" w:cs="宋体"/>
                <w:color w:val="auto"/>
                <w:kern w:val="0"/>
                <w:sz w:val="18"/>
                <w:szCs w:val="18"/>
                <w:lang w:val="en-US" w:eastAsia="zh-CN"/>
              </w:rPr>
              <w:t>S7503X-G</w:t>
            </w:r>
          </w:p>
        </w:tc>
        <w:tc>
          <w:tcPr>
            <w:tcW w:w="6043" w:type="dxa"/>
            <w:tcBorders>
              <w:tl2br w:val="nil"/>
              <w:tr2bl w:val="nil"/>
            </w:tcBorders>
            <w:noWrap w:val="0"/>
            <w:vAlign w:val="center"/>
          </w:tcPr>
          <w:p w14:paraId="323E86F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1.交换容量 598Gbps，包转发率 126Mpps（以官网最小值为准）。 </w:t>
            </w:r>
          </w:p>
          <w:p w14:paraId="0374931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2.固化 10/100/1000M 自适应以太网端口 24 个，固化 1G/10G SFP+接 口 4 个。 </w:t>
            </w:r>
          </w:p>
          <w:p w14:paraId="7257C2D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3.设备 MAC 地址 16K。 </w:t>
            </w:r>
          </w:p>
          <w:p w14:paraId="2D22B80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4.支持 IPv4 和 IPv6 的静态路由、RIP/RIPng、OSPFv2/OSPFv3 等三层 路由协议。 </w:t>
            </w:r>
          </w:p>
          <w:p w14:paraId="2EC9A66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5.所投设备支持 1 对 1、基于流、基于 VLAN 的镜像；支持 RSPAN </w:t>
            </w:r>
          </w:p>
          <w:p w14:paraId="0C4F30C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6.支持 CPU 保护功能，能限制非法报文对 CPU 的攻击，保护交换机在 各种环境下稳定工作。 </w:t>
            </w:r>
          </w:p>
          <w:p w14:paraId="51BBCE6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7.支持专门基础网络保护机制，能够限制用户向网络中发送数据包的 速率，对有攻击行为的用户进行隔离，保证设备和整网的安全稳定运行。 </w:t>
            </w:r>
          </w:p>
          <w:p w14:paraId="7D8C488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8.设备制造商获得全国质量检验稳定合格产品证书。 </w:t>
            </w:r>
          </w:p>
          <w:p w14:paraId="7A0895E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9.配置万兆单模光模块×2。</w:t>
            </w:r>
          </w:p>
        </w:tc>
        <w:tc>
          <w:tcPr>
            <w:tcW w:w="540" w:type="dxa"/>
            <w:tcBorders>
              <w:tl2br w:val="nil"/>
              <w:tr2bl w:val="nil"/>
            </w:tcBorders>
            <w:noWrap w:val="0"/>
            <w:vAlign w:val="center"/>
          </w:tcPr>
          <w:p w14:paraId="476321A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27D0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0EEF595A">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28</w:t>
            </w:r>
          </w:p>
        </w:tc>
        <w:tc>
          <w:tcPr>
            <w:tcW w:w="809" w:type="dxa"/>
            <w:tcBorders>
              <w:tl2br w:val="nil"/>
              <w:tr2bl w:val="nil"/>
            </w:tcBorders>
            <w:shd w:val="clear" w:color="auto" w:fill="auto"/>
            <w:noWrap w:val="0"/>
            <w:vAlign w:val="center"/>
          </w:tcPr>
          <w:p w14:paraId="7AC982E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人脸</w:t>
            </w:r>
          </w:p>
          <w:p w14:paraId="77E1515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识别</w:t>
            </w:r>
          </w:p>
          <w:p w14:paraId="576BA8A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平板</w:t>
            </w:r>
          </w:p>
        </w:tc>
        <w:tc>
          <w:tcPr>
            <w:tcW w:w="601" w:type="dxa"/>
            <w:tcBorders>
              <w:tl2br w:val="nil"/>
              <w:tr2bl w:val="nil"/>
            </w:tcBorders>
            <w:shd w:val="clear" w:color="000000" w:fill="FFFFFF"/>
            <w:noWrap/>
            <w:vAlign w:val="center"/>
          </w:tcPr>
          <w:p w14:paraId="5C833B93">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w:t>
            </w:r>
          </w:p>
          <w:p w14:paraId="4059D2DF">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开</w:t>
            </w:r>
          </w:p>
          <w:p w14:paraId="34DB952D">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普F961</w:t>
            </w:r>
          </w:p>
        </w:tc>
        <w:tc>
          <w:tcPr>
            <w:tcW w:w="6043" w:type="dxa"/>
            <w:tcBorders>
              <w:tl2br w:val="nil"/>
              <w:tr2bl w:val="nil"/>
            </w:tcBorders>
            <w:noWrap w:val="0"/>
            <w:vAlign w:val="center"/>
          </w:tcPr>
          <w:p w14:paraId="282BFD6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1.供电：DC 12V/2A </w:t>
            </w:r>
          </w:p>
          <w:p w14:paraId="6737555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2.处理器：8 核，1.8GHz </w:t>
            </w:r>
          </w:p>
          <w:p w14:paraId="4D8F89C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3.运行内存：2GB </w:t>
            </w:r>
          </w:p>
          <w:p w14:paraId="7288B9C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4.存储：16GB Flash </w:t>
            </w:r>
          </w:p>
          <w:p w14:paraId="163C64B6">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5.屏幕：8 英寸电容触控屏，分辨率 1280×800 </w:t>
            </w:r>
          </w:p>
          <w:p w14:paraId="6DEE29D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6.设备材质：设备材质釆用铝合金外壳、钢化玻璃面板 </w:t>
            </w:r>
          </w:p>
          <w:p w14:paraId="54E0C4D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7.身份核验方式：同时支持扫描手机二维码、屏幕刷卡、人脸识别、 密码输入等方式。 </w:t>
            </w:r>
          </w:p>
          <w:p w14:paraId="7D99421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8.刷卡方式：设备具有屏幕刷卡功能，可支持的卡应包括 IC 卡、手机 NFC 和第二代居民身份证 </w:t>
            </w:r>
          </w:p>
          <w:p w14:paraId="010952A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9.码方式：支持 QR Code（手机出示二维码反扫） </w:t>
            </w:r>
          </w:p>
          <w:p w14:paraId="2F967F6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10.摄像头：200 万像素双目摄像头（可见光+红外光） </w:t>
            </w:r>
          </w:p>
          <w:p w14:paraId="2B22624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11.摄像头采集帧率：25f/s </w:t>
            </w:r>
          </w:p>
          <w:p w14:paraId="1AD6D6A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12.补光灯：内置红外和白色补光灯，支持根据环境自动调节 </w:t>
            </w:r>
          </w:p>
          <w:p w14:paraId="6F18B0C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13.夜间识别：当环境照度为 0.001lux 时，设备支持自动开启补光灯进行人脸识别 </w:t>
            </w:r>
          </w:p>
          <w:p w14:paraId="5AD99CD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14.人脸识别距离：0.3-4m,支持人脸识别距离可调 </w:t>
            </w:r>
          </w:p>
          <w:p w14:paraId="3AB9C88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15.光感和测距：内置光感传感器和测距传感器 </w:t>
            </w:r>
          </w:p>
          <w:p w14:paraId="4124DD0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16.人脸特征容量：离线状态下，设备可存储的人脸特征库容量为 10万人 </w:t>
            </w:r>
          </w:p>
          <w:p w14:paraId="3983B0E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17.人脸活体识别：支持活体识别 </w:t>
            </w:r>
          </w:p>
          <w:p w14:paraId="2BA832EB">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18.人脸识别通过率：在同一设定阈值条件下，当误识率≤0.3%时，设备的人脸识别通过率≥98% </w:t>
            </w:r>
          </w:p>
          <w:p w14:paraId="338A0AF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19.佩戴口罩识别：戴口罩识别的错误接受率≤5%，同时在此条件下，错误拒绝率≤2% </w:t>
            </w:r>
          </w:p>
          <w:p w14:paraId="4A200BA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20.佩戴安全帽识别：设备支持对佩戴安全帽的人脸进行识别 </w:t>
            </w:r>
          </w:p>
          <w:p w14:paraId="248A72E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21.人脸识别比对时间：平均时间 90ms </w:t>
            </w:r>
          </w:p>
          <w:p w14:paraId="0F77DD1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22.加密：内置 1 个 PSAM 卡槽 </w:t>
            </w:r>
          </w:p>
          <w:p w14:paraId="12C4EF7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23.组合身份核验方式：支持 IC 卡+人脸比对组合和身份证+人脸比对组合 </w:t>
            </w:r>
          </w:p>
          <w:p w14:paraId="6E8A730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24.自动唤醒：支持通过人脸、人体移动侦测自动唤醒屏幕并切换至工作状态 </w:t>
            </w:r>
          </w:p>
          <w:p w14:paraId="6A1289F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25.语音播报：设备内置双扬声器，并具有语音播报功能 </w:t>
            </w:r>
          </w:p>
          <w:p w14:paraId="2F5849E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26.视频播放：支持视频播放和视频播放设置，支持 MP4、AVI、MOV 等视频格式，支持视频循环播放，支持音效、循环、立体声、流媒体、扬声器等各种参数设置。 </w:t>
            </w:r>
          </w:p>
          <w:p w14:paraId="17F32B5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27.接口：具备 1 个以太网、2 个继电器、1 个 USB、1 个 RS485、1 个韦根、1 个开关量输入接口 </w:t>
            </w:r>
          </w:p>
          <w:p w14:paraId="23933C5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28.通讯方式：以太网 </w:t>
            </w:r>
          </w:p>
          <w:p w14:paraId="4538756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29.在线升级：支持 OTA 软件升级，可升级固件和应用程序 </w:t>
            </w:r>
          </w:p>
          <w:p w14:paraId="4242B781">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30.防水防尘等级：IP67 </w:t>
            </w:r>
          </w:p>
          <w:p w14:paraId="1AC7688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31.高温试验：高温试验：(+60±2)℃、2h,试验后功能正常 </w:t>
            </w:r>
          </w:p>
          <w:p w14:paraId="6E83D04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32.外壳对外界机械碰撞的防护等级：设备屏幕部分符合IK04的要求，其它金属表面符合 IK07 的要求 </w:t>
            </w:r>
          </w:p>
          <w:p w14:paraId="334D155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33.工作环境：-20℃～60℃</w:t>
            </w:r>
          </w:p>
        </w:tc>
        <w:tc>
          <w:tcPr>
            <w:tcW w:w="540" w:type="dxa"/>
            <w:tcBorders>
              <w:tl2br w:val="nil"/>
              <w:tr2bl w:val="nil"/>
            </w:tcBorders>
            <w:noWrap w:val="0"/>
            <w:vAlign w:val="center"/>
          </w:tcPr>
          <w:p w14:paraId="2BCE313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00" w:lineRule="exact"/>
              <w:ind w:firstLine="360" w:firstLineChars="200"/>
              <w:jc w:val="both"/>
              <w:textAlignment w:val="auto"/>
              <w:rPr>
                <w:rFonts w:hint="eastAsia" w:ascii="宋体" w:hAnsi="宋体" w:eastAsia="宋体" w:cs="宋体"/>
                <w:color w:val="auto"/>
                <w:kern w:val="2"/>
                <w:sz w:val="18"/>
                <w:szCs w:val="18"/>
                <w:lang w:val="en-US" w:eastAsia="zh-CN" w:bidi="ar-SA"/>
              </w:rPr>
            </w:pPr>
          </w:p>
        </w:tc>
      </w:tr>
      <w:tr w14:paraId="18CA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6BC2B59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29</w:t>
            </w:r>
          </w:p>
        </w:tc>
        <w:tc>
          <w:tcPr>
            <w:tcW w:w="809" w:type="dxa"/>
            <w:tcBorders>
              <w:tl2br w:val="nil"/>
              <w:tr2bl w:val="nil"/>
            </w:tcBorders>
            <w:shd w:val="clear" w:color="auto" w:fill="auto"/>
            <w:noWrap w:val="0"/>
            <w:vAlign w:val="center"/>
          </w:tcPr>
          <w:p w14:paraId="2E99ECB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一卡通门厅控电</w:t>
            </w:r>
          </w:p>
          <w:p w14:paraId="233854A7">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设施</w:t>
            </w:r>
          </w:p>
        </w:tc>
        <w:tc>
          <w:tcPr>
            <w:tcW w:w="601" w:type="dxa"/>
            <w:tcBorders>
              <w:tl2br w:val="nil"/>
              <w:tr2bl w:val="nil"/>
            </w:tcBorders>
            <w:shd w:val="clear" w:color="000000" w:fill="FFFFFF"/>
            <w:noWrap/>
            <w:vAlign w:val="center"/>
          </w:tcPr>
          <w:p w14:paraId="664B3DD7">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新</w:t>
            </w:r>
          </w:p>
          <w:p w14:paraId="2A3295C2">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开</w:t>
            </w:r>
          </w:p>
          <w:p w14:paraId="73855D5F">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cs="宋体"/>
                <w:color w:val="auto"/>
                <w:kern w:val="0"/>
                <w:sz w:val="18"/>
                <w:szCs w:val="18"/>
                <w:lang w:val="en-US" w:eastAsia="zh-CN"/>
              </w:rPr>
              <w:t>普</w:t>
            </w:r>
            <w:r>
              <w:rPr>
                <w:rFonts w:hint="eastAsia" w:ascii="宋体" w:hAnsi="宋体" w:eastAsia="宋体" w:cs="宋体"/>
                <w:color w:val="auto"/>
                <w:kern w:val="0"/>
                <w:sz w:val="18"/>
                <w:szCs w:val="18"/>
              </w:rPr>
              <w:t>DDSU</w:t>
            </w:r>
          </w:p>
          <w:p w14:paraId="142F5F2B">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1351</w:t>
            </w:r>
          </w:p>
        </w:tc>
        <w:tc>
          <w:tcPr>
            <w:tcW w:w="6043" w:type="dxa"/>
            <w:tcBorders>
              <w:tl2br w:val="nil"/>
              <w:tr2bl w:val="nil"/>
            </w:tcBorders>
            <w:noWrap w:val="0"/>
            <w:vAlign w:val="center"/>
          </w:tcPr>
          <w:p w14:paraId="53F4AE03">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1.电能表符合《中华人民共和国计量法》、《中华人民共和国计量法实施细则》、《市场监管总局关于调整实施强制管理的计量器具目录的公告2020 年 42 号》规定的用于贸易结算的电能计量器具，产品符合国标《GB/T 17215.321-2021 电测量设备(交流) 特殊要求 第 21 部分静止式有功电能表(A 级、B 级、 C 级、 D 级和 E 级)》</w:t>
            </w:r>
            <w:r>
              <w:rPr>
                <w:rFonts w:hint="eastAsia" w:ascii="宋体" w:hAnsi="宋体" w:cs="宋体"/>
                <w:color w:val="auto"/>
                <w:kern w:val="2"/>
                <w:sz w:val="18"/>
                <w:szCs w:val="18"/>
                <w:lang w:val="en-US" w:eastAsia="zh-CN" w:bidi="ar-SA"/>
              </w:rPr>
              <w:t>；</w:t>
            </w:r>
          </w:p>
          <w:p w14:paraId="2F445EC1">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2.计量精度： B 级；（以计量器具型式批准证书为准）</w:t>
            </w:r>
            <w:r>
              <w:rPr>
                <w:rFonts w:hint="eastAsia" w:ascii="宋体" w:hAnsi="宋体" w:cs="宋体"/>
                <w:color w:val="auto"/>
                <w:kern w:val="2"/>
                <w:sz w:val="18"/>
                <w:szCs w:val="18"/>
                <w:lang w:val="en-US" w:eastAsia="zh-CN" w:bidi="ar-SA"/>
              </w:rPr>
              <w:t>；</w:t>
            </w:r>
          </w:p>
          <w:p w14:paraId="6AF629F5">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3.电能表测量范围： 0.1-0.5（40）A</w:t>
            </w:r>
            <w:r>
              <w:rPr>
                <w:rFonts w:hint="eastAsia" w:ascii="宋体" w:hAnsi="宋体" w:cs="宋体"/>
                <w:color w:val="auto"/>
                <w:kern w:val="2"/>
                <w:sz w:val="18"/>
                <w:szCs w:val="18"/>
                <w:lang w:val="en-US" w:eastAsia="zh-CN" w:bidi="ar-SA"/>
              </w:rPr>
              <w:t>，有</w:t>
            </w:r>
            <w:r>
              <w:rPr>
                <w:rFonts w:hint="eastAsia" w:ascii="宋体" w:hAnsi="宋体" w:eastAsia="宋体" w:cs="宋体"/>
                <w:color w:val="auto"/>
                <w:kern w:val="2"/>
                <w:sz w:val="18"/>
                <w:szCs w:val="18"/>
                <w:lang w:val="en-US" w:eastAsia="zh-CN" w:bidi="ar-SA"/>
              </w:rPr>
              <w:t>计量器具型式批准证书</w:t>
            </w:r>
            <w:r>
              <w:rPr>
                <w:rFonts w:hint="eastAsia" w:ascii="宋体" w:hAnsi="宋体" w:cs="宋体"/>
                <w:color w:val="auto"/>
                <w:kern w:val="2"/>
                <w:sz w:val="18"/>
                <w:szCs w:val="18"/>
                <w:lang w:val="en-US" w:eastAsia="zh-CN" w:bidi="ar-SA"/>
              </w:rPr>
              <w:t>；</w:t>
            </w:r>
            <w:r>
              <w:rPr>
                <w:rFonts w:hint="eastAsia" w:ascii="宋体" w:hAnsi="宋体" w:eastAsia="宋体" w:cs="宋体"/>
                <w:color w:val="auto"/>
                <w:kern w:val="2"/>
                <w:sz w:val="18"/>
                <w:szCs w:val="18"/>
                <w:lang w:val="en-US" w:eastAsia="zh-CN" w:bidi="ar-SA"/>
              </w:rPr>
              <w:t xml:space="preserve"> </w:t>
            </w:r>
          </w:p>
          <w:p w14:paraId="401AED99">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4.具有 4 个独立电能测量单元，4 个电量脉冲输出接口，对应 4 个独立计量通道； </w:t>
            </w:r>
          </w:p>
          <w:p w14:paraId="243DD18E">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5.通讯方式：有线通讯（RS485）</w:t>
            </w:r>
            <w:r>
              <w:rPr>
                <w:rFonts w:hint="eastAsia" w:ascii="宋体" w:hAnsi="宋体" w:cs="宋体"/>
                <w:color w:val="auto"/>
                <w:kern w:val="2"/>
                <w:sz w:val="18"/>
                <w:szCs w:val="18"/>
                <w:lang w:val="en-US" w:eastAsia="zh-CN" w:bidi="ar-SA"/>
              </w:rPr>
              <w:t>；</w:t>
            </w:r>
          </w:p>
          <w:p w14:paraId="4458D3E1">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6.低功耗设计，供电电源：AC 220V 50Hz，电压线路功耗：≤0.６W</w:t>
            </w:r>
            <w:r>
              <w:rPr>
                <w:rFonts w:hint="eastAsia" w:ascii="宋体" w:hAnsi="宋体" w:cs="宋体"/>
                <w:color w:val="auto"/>
                <w:kern w:val="2"/>
                <w:sz w:val="18"/>
                <w:szCs w:val="18"/>
                <w:lang w:val="en-US" w:eastAsia="zh-CN" w:bidi="ar-SA"/>
              </w:rPr>
              <w:t>；</w:t>
            </w:r>
          </w:p>
          <w:p w14:paraId="78F39880">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7.运行温度保护功能：电能表内部温度检测范围为：-40℃～85℃，超温报警设置值范围为 0℃～85℃，试验时可编程设置 0℃～85℃内的任意值，当实际环境温度分别超过编程设置值时，电能表支持断电保护，同时支持在仪表液晶显示器上显示对应报警信息； </w:t>
            </w:r>
          </w:p>
          <w:p w14:paraId="35B7DE1D">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default"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8.最大负荷保护功能：允许最大负荷的最大设置值=最大电流 × 额定电压,（保护值支持编程设置），当实际负荷超过编程设置值时，电能表支持断电保护，同时支持在仪表液晶显示器上显示对应报警信息</w:t>
            </w:r>
            <w:r>
              <w:rPr>
                <w:rFonts w:hint="eastAsia" w:ascii="宋体" w:hAnsi="宋体" w:cs="宋体"/>
                <w:color w:val="auto"/>
                <w:kern w:val="2"/>
                <w:sz w:val="18"/>
                <w:szCs w:val="18"/>
                <w:lang w:val="en-US" w:eastAsia="zh-CN" w:bidi="ar-SA"/>
              </w:rPr>
              <w:t>；</w:t>
            </w:r>
          </w:p>
          <w:p w14:paraId="24F94B7A">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default"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9.欠压过压保护功能：为了避免低电压或高电压对用户用电器的伤害，支持编程设置欠压与过压参数，当供电电压处于欠压或过压时支持显示当前状态并自动切断供电输出，当电压恢复正常并持续一定时间后，电能表支持自动恢复对后端的供电</w:t>
            </w:r>
            <w:r>
              <w:rPr>
                <w:rFonts w:hint="eastAsia" w:ascii="宋体" w:hAnsi="宋体" w:cs="宋体"/>
                <w:color w:val="auto"/>
                <w:kern w:val="2"/>
                <w:sz w:val="18"/>
                <w:szCs w:val="18"/>
                <w:lang w:val="en-US" w:eastAsia="zh-CN" w:bidi="ar-SA"/>
              </w:rPr>
              <w:t>；</w:t>
            </w:r>
          </w:p>
          <w:p w14:paraId="0434642A">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10.电能表支持超温度断电、超安全电流断电、电压异常断电、手动送断电、恶性负载（发热类电器）断电功能，当以上保护功能触发时电能表支持报警，液晶显示器上支持显示对应的符号或信息，相关状态也支持通过通信介质传递至管理平台</w:t>
            </w:r>
            <w:r>
              <w:rPr>
                <w:rFonts w:hint="eastAsia" w:ascii="宋体" w:hAnsi="宋体" w:cs="宋体"/>
                <w:color w:val="auto"/>
                <w:kern w:val="2"/>
                <w:sz w:val="18"/>
                <w:szCs w:val="18"/>
                <w:lang w:val="en-US" w:eastAsia="zh-CN" w:bidi="ar-SA"/>
              </w:rPr>
              <w:t>；</w:t>
            </w:r>
          </w:p>
          <w:p w14:paraId="01FEE1B4">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11.送断电保护功能：通过远程设置支持将电能表配置为强制断电状态，此时电能表掉电重启后不会自动合闸送电，只有通过遥控器按钮触发才能正常送电</w:t>
            </w:r>
            <w:r>
              <w:rPr>
                <w:rFonts w:hint="eastAsia" w:ascii="宋体" w:hAnsi="宋体" w:cs="宋体"/>
                <w:color w:val="auto"/>
                <w:kern w:val="2"/>
                <w:sz w:val="18"/>
                <w:szCs w:val="18"/>
                <w:lang w:val="en-US" w:eastAsia="zh-CN" w:bidi="ar-SA"/>
              </w:rPr>
              <w:t>；</w:t>
            </w:r>
          </w:p>
          <w:p w14:paraId="15549C44">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12.电能表具有 4 个独立的测量单元，每个测量单元均配置最大转换电流为 90A 的磁保持继电器用于输出开关控制，该磁保持继电器的触点与线圈之间的介电强度可达 4000VAC 1 min，断开与闭合动作时间≤20ms，机械寿命≥10 万次开闭</w:t>
            </w:r>
            <w:r>
              <w:rPr>
                <w:rFonts w:hint="eastAsia" w:ascii="宋体" w:hAnsi="宋体" w:cs="宋体"/>
                <w:color w:val="auto"/>
                <w:kern w:val="2"/>
                <w:sz w:val="18"/>
                <w:szCs w:val="18"/>
                <w:lang w:val="en-US" w:eastAsia="zh-CN" w:bidi="ar-SA"/>
              </w:rPr>
              <w:t>；</w:t>
            </w:r>
          </w:p>
          <w:p w14:paraId="73A56447">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13.空调专线功能：可设置电能表任意一个独立计量通道进入空调专线识别功能，即：仅允许空调、电热水器等单一用电器使用，当通过学习设定的单一用电器从电能表出线的负载插座移除后电能表支持自动识别并立刻断电，当设定的单一用电器重新插入插座后恢复供电；支持单一用电器以外的其它非设定电器插入插座后无法恢复供电</w:t>
            </w:r>
            <w:r>
              <w:rPr>
                <w:rFonts w:hint="eastAsia" w:ascii="宋体" w:hAnsi="宋体" w:cs="宋体"/>
                <w:color w:val="auto"/>
                <w:kern w:val="2"/>
                <w:sz w:val="18"/>
                <w:szCs w:val="18"/>
                <w:lang w:val="en-US" w:eastAsia="zh-CN" w:bidi="ar-SA"/>
              </w:rPr>
              <w:t>；</w:t>
            </w:r>
          </w:p>
          <w:p w14:paraId="55829D0A">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14.恶性负载分辨功率：30W</w:t>
            </w:r>
            <w:r>
              <w:rPr>
                <w:rFonts w:hint="eastAsia" w:ascii="宋体" w:hAnsi="宋体" w:cs="宋体"/>
                <w:color w:val="auto"/>
                <w:kern w:val="2"/>
                <w:sz w:val="18"/>
                <w:szCs w:val="18"/>
                <w:lang w:val="en-US" w:eastAsia="zh-CN" w:bidi="ar-SA"/>
              </w:rPr>
              <w:t>；</w:t>
            </w:r>
          </w:p>
          <w:p w14:paraId="4AC4489A">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15.可控硅插座（限电插座）识别：支持对市面上的可调整可控硅导通角插座（又名移相器插入座或限电插座）进行有效识别</w:t>
            </w:r>
            <w:r>
              <w:rPr>
                <w:rFonts w:hint="eastAsia" w:ascii="宋体" w:hAnsi="宋体" w:cs="宋体"/>
                <w:color w:val="auto"/>
                <w:kern w:val="2"/>
                <w:sz w:val="18"/>
                <w:szCs w:val="18"/>
                <w:lang w:val="en-US" w:eastAsia="zh-CN" w:bidi="ar-SA"/>
              </w:rPr>
              <w:t>；</w:t>
            </w:r>
          </w:p>
          <w:p w14:paraId="52B9FFAE">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16.恶性负载学习：支持负载特征值学习，对于允许使用的阻性负载，通过学习后允许使用（学习方法：将阻性负载接入集中器运行 20 分钟以上）</w:t>
            </w:r>
            <w:r>
              <w:rPr>
                <w:rFonts w:hint="eastAsia" w:ascii="宋体" w:hAnsi="宋体" w:cs="宋体"/>
                <w:color w:val="auto"/>
                <w:kern w:val="2"/>
                <w:sz w:val="18"/>
                <w:szCs w:val="18"/>
                <w:lang w:val="en-US" w:eastAsia="zh-CN" w:bidi="ar-SA"/>
              </w:rPr>
              <w:t>；</w:t>
            </w:r>
          </w:p>
          <w:p w14:paraId="4852DDCB">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17.脱机保电功能：电能表工作在预付费模式下，当剩余电量使用完毕且在设置的时间内未能建立有效的网络通讯时(可编程设置通讯失败时间)，仪表支持通过按钮手动或通过参数设置自动进入保电模式(不关闭用电输出)，所用电量计入应急赊欠电量，当网络恢复时自动恢复预付费模式； </w:t>
            </w:r>
          </w:p>
          <w:p w14:paraId="3390A3AE">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18.具有 LCD 显示功能，符合 GB/T 17215.321-2021 标准要求，支持查询当前仪表累计用电量、当前负载功率等</w:t>
            </w:r>
            <w:r>
              <w:rPr>
                <w:rFonts w:hint="eastAsia" w:ascii="宋体" w:hAnsi="宋体" w:cs="宋体"/>
                <w:color w:val="auto"/>
                <w:kern w:val="2"/>
                <w:sz w:val="18"/>
                <w:szCs w:val="18"/>
                <w:lang w:val="en-US" w:eastAsia="zh-CN" w:bidi="ar-SA"/>
              </w:rPr>
              <w:t>；</w:t>
            </w:r>
          </w:p>
          <w:p w14:paraId="589F10BC">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19.支持按键操作功能，支持查看累计用电量、当前负载功率</w:t>
            </w:r>
            <w:r>
              <w:rPr>
                <w:rFonts w:hint="eastAsia" w:ascii="宋体" w:hAnsi="宋体" w:cs="宋体"/>
                <w:color w:val="auto"/>
                <w:kern w:val="2"/>
                <w:sz w:val="18"/>
                <w:szCs w:val="18"/>
                <w:lang w:val="en-US" w:eastAsia="zh-CN" w:bidi="ar-SA"/>
              </w:rPr>
              <w:t>；</w:t>
            </w:r>
          </w:p>
          <w:p w14:paraId="6E0FFE95">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20.产品耐久性：产品在最大电流条件下，连续工作 1000 小时，无重大缺陷</w:t>
            </w:r>
            <w:r>
              <w:rPr>
                <w:rFonts w:hint="eastAsia" w:ascii="宋体" w:hAnsi="宋体" w:cs="宋体"/>
                <w:color w:val="auto"/>
                <w:kern w:val="2"/>
                <w:sz w:val="18"/>
                <w:szCs w:val="18"/>
                <w:lang w:val="en-US" w:eastAsia="zh-CN" w:bidi="ar-SA"/>
              </w:rPr>
              <w:t>；</w:t>
            </w:r>
          </w:p>
          <w:p w14:paraId="299F7C91">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21.外壳材料：阻燃材料</w:t>
            </w:r>
            <w:r>
              <w:rPr>
                <w:rFonts w:hint="eastAsia" w:ascii="宋体" w:hAnsi="宋体" w:cs="宋体"/>
                <w:color w:val="auto"/>
                <w:kern w:val="2"/>
                <w:sz w:val="18"/>
                <w:szCs w:val="18"/>
                <w:lang w:val="en-US" w:eastAsia="zh-CN" w:bidi="ar-SA"/>
              </w:rPr>
              <w:t>；</w:t>
            </w:r>
          </w:p>
          <w:p w14:paraId="32C933C2">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22.定时段送断电：每天支持 8 个时间点，每周支持 40 个时段设置； </w:t>
            </w:r>
          </w:p>
          <w:p w14:paraId="018BD451">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23.节假日送断电控制功能：除定时送断电功能外，可设置节假日是否启用； </w:t>
            </w:r>
          </w:p>
          <w:p w14:paraId="1DAFC654">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24.分时段功率限制功能：支持设置每周逐日按时段功率限值（每日功率限值参数支持设置 4 条） </w:t>
            </w:r>
            <w:r>
              <w:rPr>
                <w:rFonts w:hint="eastAsia" w:ascii="宋体" w:hAnsi="宋体" w:cs="宋体"/>
                <w:color w:val="auto"/>
                <w:kern w:val="2"/>
                <w:sz w:val="18"/>
                <w:szCs w:val="18"/>
                <w:lang w:val="en-US" w:eastAsia="zh-CN" w:bidi="ar-SA"/>
              </w:rPr>
              <w:t>；</w:t>
            </w:r>
          </w:p>
          <w:p w14:paraId="43A96CA5">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25.计量性能保护：具有防止欺诈功能：相关软件支持防止通过更换存储装置来进行未经授权的修改、加载或更改。仪表具备保护加载软件（参数）不被篡改的功能。只有明确说明的功能才允许通过用户接口激活， 这些功能的实现不会降低仪表防止欺诈的能力</w:t>
            </w:r>
            <w:r>
              <w:rPr>
                <w:rFonts w:hint="eastAsia" w:ascii="宋体" w:hAnsi="宋体" w:cs="宋体"/>
                <w:color w:val="auto"/>
                <w:kern w:val="2"/>
                <w:sz w:val="18"/>
                <w:szCs w:val="18"/>
                <w:lang w:val="en-US" w:eastAsia="zh-CN" w:bidi="ar-SA"/>
              </w:rPr>
              <w:t>；</w:t>
            </w:r>
          </w:p>
          <w:p w14:paraId="44DDC187">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default"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26.温升要求：仪表工作在 GB/T 17215.211—2021 中 7.1 规定参比条件下，各测量单元同时通以功率因数为 1 且电流为 Imax（仪表最大电流）并使用国标电缆线连接各电流端子连续工作≥2h 后，仪表电流端子温升≤25K</w:t>
            </w:r>
            <w:r>
              <w:rPr>
                <w:rFonts w:hint="eastAsia" w:ascii="宋体" w:hAnsi="宋体" w:cs="宋体"/>
                <w:color w:val="auto"/>
                <w:kern w:val="2"/>
                <w:sz w:val="18"/>
                <w:szCs w:val="18"/>
                <w:lang w:val="en-US" w:eastAsia="zh-CN" w:bidi="ar-SA"/>
              </w:rPr>
              <w:t>；</w:t>
            </w:r>
          </w:p>
          <w:p w14:paraId="3D3F504B">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27.严重电压改变：≤0.7Unom 条件下，误差偏移限值(%)≤±1%。</w:t>
            </w:r>
          </w:p>
        </w:tc>
        <w:tc>
          <w:tcPr>
            <w:tcW w:w="540" w:type="dxa"/>
            <w:tcBorders>
              <w:tl2br w:val="nil"/>
              <w:tr2bl w:val="nil"/>
            </w:tcBorders>
            <w:noWrap w:val="0"/>
            <w:vAlign w:val="center"/>
          </w:tcPr>
          <w:p w14:paraId="564DC9F4">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firstLine="360" w:firstLineChars="200"/>
              <w:jc w:val="both"/>
              <w:textAlignment w:val="auto"/>
              <w:rPr>
                <w:rFonts w:hint="eastAsia" w:ascii="宋体" w:hAnsi="宋体" w:eastAsia="宋体" w:cs="宋体"/>
                <w:color w:val="auto"/>
                <w:kern w:val="2"/>
                <w:sz w:val="18"/>
                <w:szCs w:val="18"/>
                <w:lang w:val="en-US" w:eastAsia="zh-CN" w:bidi="ar-SA"/>
              </w:rPr>
            </w:pPr>
          </w:p>
        </w:tc>
      </w:tr>
      <w:tr w14:paraId="7727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504" w:type="dxa"/>
            <w:tcBorders>
              <w:tl2br w:val="nil"/>
              <w:tr2bl w:val="nil"/>
            </w:tcBorders>
            <w:shd w:val="clear" w:color="auto" w:fill="auto"/>
            <w:noWrap w:val="0"/>
            <w:vAlign w:val="center"/>
          </w:tcPr>
          <w:p w14:paraId="46D84CDE">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30</w:t>
            </w:r>
          </w:p>
        </w:tc>
        <w:tc>
          <w:tcPr>
            <w:tcW w:w="809" w:type="dxa"/>
            <w:tcBorders>
              <w:tl2br w:val="nil"/>
              <w:tr2bl w:val="nil"/>
            </w:tcBorders>
            <w:shd w:val="clear" w:color="auto" w:fill="auto"/>
            <w:noWrap w:val="0"/>
            <w:vAlign w:val="center"/>
          </w:tcPr>
          <w:p w14:paraId="15A44E99">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集成</w:t>
            </w:r>
          </w:p>
          <w:p w14:paraId="742C6DE1">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实施</w:t>
            </w:r>
          </w:p>
        </w:tc>
        <w:tc>
          <w:tcPr>
            <w:tcW w:w="601" w:type="dxa"/>
            <w:tcBorders>
              <w:tl2br w:val="nil"/>
              <w:tr2bl w:val="nil"/>
            </w:tcBorders>
            <w:shd w:val="clear" w:color="000000" w:fill="FFFFFF"/>
            <w:noWrap/>
            <w:vAlign w:val="center"/>
          </w:tcPr>
          <w:p w14:paraId="7C363ABC">
            <w:pPr>
              <w:keepNext w:val="0"/>
              <w:keepLines w:val="0"/>
              <w:pageBreakBefore w:val="0"/>
              <w:widowControl/>
              <w:kinsoku/>
              <w:wordWrap/>
              <w:overflowPunct/>
              <w:topLinePunct w:val="0"/>
              <w:autoSpaceDE/>
              <w:autoSpaceDN/>
              <w:bidi w:val="0"/>
              <w:snapToGrid/>
              <w:spacing w:line="300" w:lineRule="exact"/>
              <w:ind w:left="0"/>
              <w:jc w:val="center"/>
              <w:textAlignment w:val="auto"/>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定制</w:t>
            </w:r>
          </w:p>
        </w:tc>
        <w:tc>
          <w:tcPr>
            <w:tcW w:w="6043" w:type="dxa"/>
            <w:tcBorders>
              <w:tl2br w:val="nil"/>
              <w:tr2bl w:val="nil"/>
            </w:tcBorders>
            <w:noWrap w:val="0"/>
            <w:vAlign w:val="center"/>
          </w:tcPr>
          <w:p w14:paraId="6DEBB91E">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jc w:val="both"/>
              <w:textAlignment w:val="auto"/>
              <w:rPr>
                <w:rFonts w:hint="default" w:ascii="宋体" w:hAnsi="宋体" w:eastAsia="宋体" w:cs="宋体"/>
                <w:color w:val="auto"/>
                <w:kern w:val="2"/>
                <w:sz w:val="18"/>
                <w:szCs w:val="18"/>
                <w:lang w:val="en-US" w:eastAsia="zh-CN" w:bidi="ar-SA"/>
              </w:rPr>
            </w:pPr>
            <w:r>
              <w:rPr>
                <w:rFonts w:hint="eastAsia" w:ascii="宋体" w:hAnsi="宋体" w:cs="宋体"/>
                <w:color w:val="auto"/>
                <w:kern w:val="2"/>
                <w:sz w:val="18"/>
                <w:szCs w:val="18"/>
                <w:lang w:val="en-US" w:eastAsia="zh-CN" w:bidi="ar-SA"/>
              </w:rPr>
              <w:t xml:space="preserve">    提供项目所有软件、硬件的集成实施，含集成实施过程中所需的全部辅材、耗材。</w:t>
            </w:r>
          </w:p>
        </w:tc>
        <w:tc>
          <w:tcPr>
            <w:tcW w:w="540" w:type="dxa"/>
            <w:tcBorders>
              <w:tl2br w:val="nil"/>
              <w:tr2bl w:val="nil"/>
            </w:tcBorders>
            <w:noWrap w:val="0"/>
            <w:vAlign w:val="center"/>
          </w:tcPr>
          <w:p w14:paraId="6A5D6AB0">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jc w:val="both"/>
              <w:textAlignment w:val="auto"/>
              <w:rPr>
                <w:rFonts w:hint="eastAsia" w:ascii="宋体" w:hAnsi="宋体" w:cs="宋体"/>
                <w:color w:val="auto"/>
                <w:kern w:val="2"/>
                <w:sz w:val="18"/>
                <w:szCs w:val="18"/>
                <w:lang w:val="en-US" w:eastAsia="zh-CN" w:bidi="ar-SA"/>
              </w:rPr>
            </w:pPr>
          </w:p>
        </w:tc>
      </w:tr>
    </w:tbl>
    <w:p w14:paraId="2725DBDB">
      <w:pPr>
        <w:rPr>
          <w:rFonts w:hint="eastAsia" w:ascii="宋体" w:hAnsi="宋体"/>
          <w:b/>
          <w:szCs w:val="21"/>
        </w:rPr>
      </w:pPr>
    </w:p>
    <w:p w14:paraId="55CDB33D">
      <w:pPr>
        <w:rPr>
          <w:rFonts w:hint="eastAsia" w:ascii="宋体" w:hAnsi="宋体"/>
          <w:b/>
          <w:szCs w:val="21"/>
        </w:rPr>
      </w:pPr>
    </w:p>
    <w:p w14:paraId="766D9B0D">
      <w:pPr>
        <w:rPr>
          <w:rFonts w:hint="eastAsia" w:ascii="宋体" w:hAnsi="宋体"/>
          <w:b/>
          <w:szCs w:val="21"/>
        </w:rPr>
      </w:pPr>
      <w:r>
        <w:rPr>
          <w:rFonts w:hint="eastAsia" w:ascii="宋体" w:hAnsi="宋体"/>
          <w:b/>
          <w:szCs w:val="21"/>
        </w:rPr>
        <w:t xml:space="preserve">甲方货物负责人签字： </w:t>
      </w:r>
    </w:p>
    <w:p w14:paraId="7A8B755B">
      <w:pPr>
        <w:rPr>
          <w:rFonts w:hint="eastAsia" w:ascii="黑体" w:hAnsi="黑体" w:eastAsia="黑体" w:cs="黑体"/>
          <w:color w:val="auto"/>
          <w:sz w:val="24"/>
          <w:szCs w:val="24"/>
        </w:rPr>
      </w:pPr>
    </w:p>
    <w:p w14:paraId="7C543F21">
      <w:pPr>
        <w:pStyle w:val="3"/>
        <w:rPr>
          <w:rFonts w:hint="eastAsia" w:ascii="黑体" w:hAnsi="黑体" w:eastAsia="黑体" w:cs="黑体"/>
          <w:color w:val="auto"/>
          <w:sz w:val="24"/>
          <w:szCs w:val="24"/>
        </w:rPr>
      </w:pPr>
    </w:p>
    <w:p w14:paraId="4A0EB222">
      <w:pPr>
        <w:rPr>
          <w:rFonts w:hint="eastAsia" w:ascii="黑体" w:hAnsi="黑体" w:eastAsia="黑体" w:cs="黑体"/>
          <w:color w:val="auto"/>
          <w:sz w:val="24"/>
          <w:szCs w:val="24"/>
        </w:rPr>
      </w:pPr>
      <w:r>
        <w:rPr>
          <w:rFonts w:hint="eastAsia" w:ascii="黑体" w:hAnsi="黑体" w:eastAsia="黑体" w:cs="黑体"/>
          <w:color w:val="auto"/>
          <w:sz w:val="24"/>
          <w:szCs w:val="24"/>
        </w:rPr>
        <w:br w:type="page"/>
      </w:r>
    </w:p>
    <w:p w14:paraId="3D7F4068">
      <w:pPr>
        <w:pStyle w:val="3"/>
        <w:rPr>
          <w:rFonts w:hint="eastAsia" w:ascii="黑体" w:hAnsi="黑体" w:eastAsia="黑体" w:cs="黑体"/>
          <w:color w:val="auto"/>
          <w:sz w:val="24"/>
          <w:szCs w:val="24"/>
        </w:rPr>
      </w:pPr>
      <w:r>
        <w:rPr>
          <w:rFonts w:hint="eastAsia" w:ascii="黑体" w:hAnsi="黑体" w:eastAsia="黑体" w:cs="黑体"/>
          <w:color w:val="auto"/>
          <w:sz w:val="24"/>
          <w:szCs w:val="24"/>
        </w:rPr>
        <w:t>附件</w:t>
      </w:r>
      <w:r>
        <w:rPr>
          <w:rFonts w:hint="eastAsia" w:ascii="黑体" w:hAnsi="黑体" w:eastAsia="黑体" w:cs="黑体"/>
          <w:color w:val="auto"/>
          <w:sz w:val="24"/>
          <w:szCs w:val="24"/>
          <w:lang w:val="en-US" w:eastAsia="zh-CN"/>
        </w:rPr>
        <w:t>4</w:t>
      </w:r>
    </w:p>
    <w:p w14:paraId="0C35B054">
      <w:pPr>
        <w:pStyle w:val="3"/>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新开普电子股份有限公司质量保障及服务表</w:t>
      </w:r>
    </w:p>
    <w:p w14:paraId="02BA3127">
      <w:pPr>
        <w:spacing w:line="360" w:lineRule="auto"/>
        <w:rPr>
          <w:rFonts w:hint="eastAsia" w:ascii="宋体" w:hAnsi="宋体"/>
          <w:b w:val="0"/>
          <w:bCs/>
          <w:sz w:val="21"/>
          <w:szCs w:val="21"/>
        </w:rPr>
      </w:pPr>
      <w:r>
        <w:rPr>
          <w:rFonts w:hint="eastAsia" w:ascii="宋体" w:hAnsi="宋体"/>
          <w:b w:val="0"/>
          <w:bCs/>
          <w:sz w:val="21"/>
          <w:szCs w:val="21"/>
        </w:rPr>
        <w:t xml:space="preserve">致：河南中医药大学： </w:t>
      </w:r>
    </w:p>
    <w:p w14:paraId="31C5B55B">
      <w:pPr>
        <w:spacing w:line="360" w:lineRule="auto"/>
        <w:ind w:firstLine="420"/>
        <w:rPr>
          <w:rFonts w:hint="eastAsia" w:ascii="宋体" w:hAnsi="宋体"/>
          <w:b w:val="0"/>
          <w:bCs/>
          <w:sz w:val="21"/>
          <w:szCs w:val="21"/>
        </w:rPr>
      </w:pPr>
      <w:r>
        <w:rPr>
          <w:rFonts w:hint="eastAsia" w:ascii="宋体" w:hAnsi="宋体"/>
          <w:b w:val="0"/>
          <w:bCs/>
          <w:sz w:val="21"/>
          <w:szCs w:val="21"/>
        </w:rPr>
        <w:t>根据贵方招标编号为豫财磋商采购-2025-614的货物（具体货物见附件</w:t>
      </w:r>
      <w:r>
        <w:rPr>
          <w:rFonts w:hint="eastAsia" w:ascii="宋体" w:hAnsi="宋体"/>
          <w:b w:val="0"/>
          <w:bCs/>
          <w:sz w:val="21"/>
          <w:szCs w:val="21"/>
          <w:lang w:val="en-US" w:eastAsia="zh-CN"/>
        </w:rPr>
        <w:t>2、3</w:t>
      </w:r>
      <w:r>
        <w:rPr>
          <w:rFonts w:hint="eastAsia" w:ascii="宋体" w:hAnsi="宋体"/>
          <w:b w:val="0"/>
          <w:bCs/>
          <w:sz w:val="21"/>
          <w:szCs w:val="21"/>
        </w:rPr>
        <w:t>），我公司对该项目售后产品做出如下质保及售后服务承诺：</w:t>
      </w:r>
    </w:p>
    <w:tbl>
      <w:tblPr>
        <w:tblStyle w:val="3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371"/>
        <w:gridCol w:w="3601"/>
        <w:gridCol w:w="806"/>
      </w:tblGrid>
      <w:tr w14:paraId="010A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5CE9CC35">
            <w:pPr>
              <w:jc w:val="center"/>
              <w:rPr>
                <w:rFonts w:hint="eastAsia" w:ascii="黑体" w:hAnsi="黑体" w:eastAsia="黑体" w:cs="黑体"/>
                <w:b w:val="0"/>
                <w:bCs/>
                <w:sz w:val="18"/>
                <w:szCs w:val="18"/>
              </w:rPr>
            </w:pPr>
            <w:r>
              <w:rPr>
                <w:rFonts w:hint="eastAsia" w:ascii="黑体" w:hAnsi="黑体" w:eastAsia="黑体" w:cs="黑体"/>
                <w:b w:val="0"/>
                <w:bCs/>
                <w:sz w:val="18"/>
                <w:szCs w:val="18"/>
              </w:rPr>
              <w:t>序号</w:t>
            </w:r>
          </w:p>
        </w:tc>
        <w:tc>
          <w:tcPr>
            <w:tcW w:w="3758" w:type="dxa"/>
            <w:tcBorders>
              <w:top w:val="single" w:color="auto" w:sz="4" w:space="0"/>
              <w:left w:val="single" w:color="auto" w:sz="4" w:space="0"/>
              <w:bottom w:val="single" w:color="auto" w:sz="4" w:space="0"/>
              <w:right w:val="single" w:color="auto" w:sz="4" w:space="0"/>
            </w:tcBorders>
            <w:vAlign w:val="center"/>
          </w:tcPr>
          <w:p w14:paraId="104BECA4">
            <w:pPr>
              <w:jc w:val="center"/>
              <w:rPr>
                <w:rFonts w:hint="eastAsia" w:ascii="黑体" w:hAnsi="黑体" w:eastAsia="黑体" w:cs="黑体"/>
                <w:b w:val="0"/>
                <w:bCs/>
                <w:sz w:val="18"/>
                <w:szCs w:val="18"/>
              </w:rPr>
            </w:pPr>
            <w:r>
              <w:rPr>
                <w:rFonts w:hint="eastAsia" w:ascii="黑体" w:hAnsi="黑体" w:eastAsia="黑体" w:cs="黑体"/>
                <w:b w:val="0"/>
                <w:bCs/>
                <w:sz w:val="18"/>
                <w:szCs w:val="18"/>
              </w:rPr>
              <w:t>质量保障措施及服务内容</w:t>
            </w:r>
          </w:p>
        </w:tc>
        <w:tc>
          <w:tcPr>
            <w:tcW w:w="4016" w:type="dxa"/>
            <w:tcBorders>
              <w:top w:val="single" w:color="auto" w:sz="4" w:space="0"/>
              <w:left w:val="single" w:color="auto" w:sz="4" w:space="0"/>
              <w:bottom w:val="single" w:color="auto" w:sz="4" w:space="0"/>
              <w:right w:val="single" w:color="auto" w:sz="4" w:space="0"/>
            </w:tcBorders>
            <w:vAlign w:val="center"/>
          </w:tcPr>
          <w:p w14:paraId="4BC20BD2">
            <w:pPr>
              <w:jc w:val="center"/>
              <w:rPr>
                <w:rFonts w:hint="eastAsia" w:ascii="黑体" w:hAnsi="黑体" w:eastAsia="黑体" w:cs="黑体"/>
                <w:b w:val="0"/>
                <w:bCs/>
                <w:sz w:val="18"/>
                <w:szCs w:val="18"/>
              </w:rPr>
            </w:pPr>
            <w:r>
              <w:rPr>
                <w:rFonts w:hint="eastAsia" w:ascii="黑体" w:hAnsi="黑体" w:eastAsia="黑体" w:cs="黑体"/>
                <w:b w:val="0"/>
                <w:bCs/>
                <w:sz w:val="18"/>
                <w:szCs w:val="18"/>
              </w:rPr>
              <w:t>承诺</w:t>
            </w:r>
          </w:p>
        </w:tc>
        <w:tc>
          <w:tcPr>
            <w:tcW w:w="878" w:type="dxa"/>
            <w:tcBorders>
              <w:top w:val="single" w:color="auto" w:sz="4" w:space="0"/>
              <w:left w:val="single" w:color="auto" w:sz="4" w:space="0"/>
              <w:bottom w:val="single" w:color="auto" w:sz="4" w:space="0"/>
              <w:right w:val="single" w:color="auto" w:sz="4" w:space="0"/>
            </w:tcBorders>
            <w:vAlign w:val="center"/>
          </w:tcPr>
          <w:p w14:paraId="6E4C52A0">
            <w:pPr>
              <w:jc w:val="center"/>
              <w:rPr>
                <w:rFonts w:hint="eastAsia" w:ascii="黑体" w:hAnsi="黑体" w:eastAsia="黑体" w:cs="黑体"/>
                <w:b w:val="0"/>
                <w:bCs/>
                <w:sz w:val="18"/>
                <w:szCs w:val="18"/>
              </w:rPr>
            </w:pPr>
            <w:r>
              <w:rPr>
                <w:rFonts w:hint="eastAsia" w:ascii="黑体" w:hAnsi="黑体" w:eastAsia="黑体" w:cs="黑体"/>
                <w:b w:val="0"/>
                <w:bCs/>
                <w:sz w:val="18"/>
                <w:szCs w:val="18"/>
              </w:rPr>
              <w:t>备注</w:t>
            </w:r>
          </w:p>
        </w:tc>
      </w:tr>
      <w:tr w14:paraId="2F71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11C4E2C0">
            <w:pPr>
              <w:jc w:val="center"/>
              <w:rPr>
                <w:rFonts w:hint="eastAsia" w:ascii="宋体" w:hAnsi="宋体"/>
                <w:sz w:val="18"/>
                <w:szCs w:val="18"/>
              </w:rPr>
            </w:pPr>
            <w:r>
              <w:rPr>
                <w:rFonts w:hint="eastAsia"/>
                <w:sz w:val="18"/>
                <w:szCs w:val="18"/>
              </w:rPr>
              <w:t>1</w:t>
            </w:r>
          </w:p>
        </w:tc>
        <w:tc>
          <w:tcPr>
            <w:tcW w:w="3758" w:type="dxa"/>
            <w:tcBorders>
              <w:top w:val="single" w:color="auto" w:sz="4" w:space="0"/>
              <w:left w:val="single" w:color="auto" w:sz="4" w:space="0"/>
              <w:bottom w:val="single" w:color="auto" w:sz="4" w:space="0"/>
              <w:right w:val="single" w:color="auto" w:sz="4" w:space="0"/>
            </w:tcBorders>
            <w:vAlign w:val="center"/>
          </w:tcPr>
          <w:p w14:paraId="493B9D0B">
            <w:pPr>
              <w:rPr>
                <w:rFonts w:hint="eastAsia" w:ascii="宋体" w:hAnsi="宋体"/>
                <w:sz w:val="18"/>
                <w:szCs w:val="18"/>
              </w:rPr>
            </w:pPr>
            <w:r>
              <w:rPr>
                <w:rFonts w:hint="eastAsia" w:ascii="宋体" w:hAnsi="宋体"/>
                <w:sz w:val="18"/>
                <w:szCs w:val="18"/>
              </w:rPr>
              <w:t>整机保修</w:t>
            </w:r>
          </w:p>
        </w:tc>
        <w:tc>
          <w:tcPr>
            <w:tcW w:w="4016" w:type="dxa"/>
            <w:tcBorders>
              <w:top w:val="single" w:color="auto" w:sz="4" w:space="0"/>
              <w:left w:val="single" w:color="auto" w:sz="4" w:space="0"/>
              <w:bottom w:val="single" w:color="auto" w:sz="4" w:space="0"/>
              <w:right w:val="single" w:color="auto" w:sz="4" w:space="0"/>
            </w:tcBorders>
            <w:vAlign w:val="center"/>
          </w:tcPr>
          <w:p w14:paraId="0F04844E">
            <w:pPr>
              <w:rPr>
                <w:rFonts w:hint="eastAsia" w:ascii="宋体" w:hAnsi="宋体"/>
                <w:sz w:val="18"/>
                <w:szCs w:val="18"/>
              </w:rPr>
            </w:pPr>
            <w:r>
              <w:rPr>
                <w:rFonts w:hint="eastAsia" w:ascii="宋体" w:hAnsi="宋体"/>
                <w:sz w:val="18"/>
                <w:szCs w:val="18"/>
              </w:rPr>
              <w:t>五年</w:t>
            </w:r>
          </w:p>
        </w:tc>
        <w:tc>
          <w:tcPr>
            <w:tcW w:w="878" w:type="dxa"/>
            <w:tcBorders>
              <w:top w:val="single" w:color="auto" w:sz="4" w:space="0"/>
              <w:left w:val="single" w:color="auto" w:sz="4" w:space="0"/>
              <w:bottom w:val="single" w:color="auto" w:sz="4" w:space="0"/>
              <w:right w:val="single" w:color="auto" w:sz="4" w:space="0"/>
            </w:tcBorders>
            <w:vAlign w:val="center"/>
          </w:tcPr>
          <w:p w14:paraId="3B546347">
            <w:pPr>
              <w:rPr>
                <w:rFonts w:hint="eastAsia" w:ascii="宋体" w:hAnsi="宋体"/>
                <w:sz w:val="18"/>
                <w:szCs w:val="18"/>
              </w:rPr>
            </w:pPr>
          </w:p>
        </w:tc>
      </w:tr>
      <w:tr w14:paraId="6CDF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2C275876">
            <w:pPr>
              <w:jc w:val="center"/>
              <w:rPr>
                <w:rFonts w:hint="eastAsia" w:ascii="宋体" w:hAnsi="宋体"/>
                <w:sz w:val="18"/>
                <w:szCs w:val="18"/>
              </w:rPr>
            </w:pPr>
            <w:r>
              <w:rPr>
                <w:rFonts w:hint="eastAsia"/>
                <w:sz w:val="18"/>
                <w:szCs w:val="18"/>
              </w:rPr>
              <w:t>2</w:t>
            </w:r>
          </w:p>
        </w:tc>
        <w:tc>
          <w:tcPr>
            <w:tcW w:w="3758" w:type="dxa"/>
            <w:tcBorders>
              <w:top w:val="single" w:color="auto" w:sz="4" w:space="0"/>
              <w:left w:val="single" w:color="auto" w:sz="4" w:space="0"/>
              <w:bottom w:val="single" w:color="auto" w:sz="4" w:space="0"/>
              <w:right w:val="single" w:color="auto" w:sz="4" w:space="0"/>
            </w:tcBorders>
            <w:vAlign w:val="center"/>
          </w:tcPr>
          <w:p w14:paraId="7C7961AF">
            <w:pPr>
              <w:rPr>
                <w:rFonts w:hint="eastAsia" w:ascii="宋体" w:hAnsi="宋体"/>
                <w:sz w:val="18"/>
                <w:szCs w:val="18"/>
              </w:rPr>
            </w:pPr>
            <w:r>
              <w:rPr>
                <w:rFonts w:hint="eastAsia" w:ascii="宋体" w:hAnsi="宋体"/>
                <w:sz w:val="18"/>
                <w:szCs w:val="18"/>
              </w:rPr>
              <w:t>随机标准配件</w:t>
            </w:r>
          </w:p>
        </w:tc>
        <w:tc>
          <w:tcPr>
            <w:tcW w:w="4016" w:type="dxa"/>
            <w:tcBorders>
              <w:top w:val="single" w:color="auto" w:sz="4" w:space="0"/>
              <w:left w:val="single" w:color="auto" w:sz="4" w:space="0"/>
              <w:bottom w:val="single" w:color="auto" w:sz="4" w:space="0"/>
              <w:right w:val="single" w:color="auto" w:sz="4" w:space="0"/>
            </w:tcBorders>
            <w:vAlign w:val="center"/>
          </w:tcPr>
          <w:p w14:paraId="57A566F7">
            <w:pPr>
              <w:rPr>
                <w:sz w:val="18"/>
                <w:szCs w:val="18"/>
              </w:rPr>
            </w:pPr>
            <w:r>
              <w:rPr>
                <w:rFonts w:hint="eastAsia" w:ascii="宋体" w:hAnsi="宋体"/>
                <w:sz w:val="18"/>
                <w:szCs w:val="18"/>
              </w:rPr>
              <w:t>五年</w:t>
            </w:r>
          </w:p>
        </w:tc>
        <w:tc>
          <w:tcPr>
            <w:tcW w:w="878" w:type="dxa"/>
            <w:tcBorders>
              <w:top w:val="single" w:color="auto" w:sz="4" w:space="0"/>
              <w:left w:val="single" w:color="auto" w:sz="4" w:space="0"/>
              <w:bottom w:val="single" w:color="auto" w:sz="4" w:space="0"/>
              <w:right w:val="single" w:color="auto" w:sz="4" w:space="0"/>
            </w:tcBorders>
            <w:vAlign w:val="center"/>
          </w:tcPr>
          <w:p w14:paraId="7F6BFD40">
            <w:pPr>
              <w:rPr>
                <w:rFonts w:hint="eastAsia" w:ascii="宋体" w:hAnsi="宋体"/>
                <w:sz w:val="18"/>
                <w:szCs w:val="18"/>
              </w:rPr>
            </w:pPr>
          </w:p>
        </w:tc>
      </w:tr>
      <w:tr w14:paraId="0F4C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5352EADA">
            <w:pPr>
              <w:jc w:val="center"/>
              <w:rPr>
                <w:rFonts w:hint="eastAsia" w:ascii="宋体" w:hAnsi="宋体"/>
                <w:sz w:val="18"/>
                <w:szCs w:val="18"/>
              </w:rPr>
            </w:pPr>
            <w:r>
              <w:rPr>
                <w:rFonts w:hint="eastAsia"/>
                <w:sz w:val="18"/>
                <w:szCs w:val="18"/>
              </w:rPr>
              <w:t>3</w:t>
            </w:r>
          </w:p>
        </w:tc>
        <w:tc>
          <w:tcPr>
            <w:tcW w:w="3758" w:type="dxa"/>
            <w:tcBorders>
              <w:top w:val="single" w:color="auto" w:sz="4" w:space="0"/>
              <w:left w:val="single" w:color="auto" w:sz="4" w:space="0"/>
              <w:bottom w:val="single" w:color="auto" w:sz="4" w:space="0"/>
              <w:right w:val="single" w:color="auto" w:sz="4" w:space="0"/>
            </w:tcBorders>
            <w:vAlign w:val="center"/>
          </w:tcPr>
          <w:p w14:paraId="2F08951F">
            <w:pPr>
              <w:rPr>
                <w:rFonts w:hint="eastAsia" w:ascii="宋体" w:hAnsi="宋体"/>
                <w:sz w:val="18"/>
                <w:szCs w:val="18"/>
              </w:rPr>
            </w:pPr>
            <w:r>
              <w:rPr>
                <w:rFonts w:hint="eastAsia" w:ascii="宋体" w:hAnsi="宋体"/>
                <w:sz w:val="18"/>
                <w:szCs w:val="18"/>
              </w:rPr>
              <w:t>加购选配件</w:t>
            </w:r>
          </w:p>
        </w:tc>
        <w:tc>
          <w:tcPr>
            <w:tcW w:w="4016" w:type="dxa"/>
            <w:tcBorders>
              <w:top w:val="single" w:color="auto" w:sz="4" w:space="0"/>
              <w:left w:val="single" w:color="auto" w:sz="4" w:space="0"/>
              <w:bottom w:val="single" w:color="auto" w:sz="4" w:space="0"/>
              <w:right w:val="single" w:color="auto" w:sz="4" w:space="0"/>
            </w:tcBorders>
            <w:vAlign w:val="center"/>
          </w:tcPr>
          <w:p w14:paraId="774D9DA0">
            <w:pPr>
              <w:rPr>
                <w:sz w:val="18"/>
                <w:szCs w:val="18"/>
              </w:rPr>
            </w:pPr>
            <w:r>
              <w:rPr>
                <w:rFonts w:hint="eastAsia" w:ascii="宋体" w:hAnsi="宋体"/>
                <w:sz w:val="18"/>
                <w:szCs w:val="18"/>
              </w:rPr>
              <w:t>五年</w:t>
            </w:r>
          </w:p>
        </w:tc>
        <w:tc>
          <w:tcPr>
            <w:tcW w:w="878" w:type="dxa"/>
            <w:tcBorders>
              <w:top w:val="single" w:color="auto" w:sz="4" w:space="0"/>
              <w:left w:val="single" w:color="auto" w:sz="4" w:space="0"/>
              <w:bottom w:val="single" w:color="auto" w:sz="4" w:space="0"/>
              <w:right w:val="single" w:color="auto" w:sz="4" w:space="0"/>
            </w:tcBorders>
            <w:vAlign w:val="center"/>
          </w:tcPr>
          <w:p w14:paraId="77A4FB62">
            <w:pPr>
              <w:rPr>
                <w:rFonts w:hint="eastAsia" w:ascii="宋体" w:hAnsi="宋体"/>
                <w:sz w:val="18"/>
                <w:szCs w:val="18"/>
              </w:rPr>
            </w:pPr>
          </w:p>
        </w:tc>
      </w:tr>
      <w:tr w14:paraId="70B8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1060355E">
            <w:pPr>
              <w:jc w:val="center"/>
              <w:rPr>
                <w:rFonts w:hint="eastAsia" w:ascii="宋体" w:hAnsi="宋体"/>
                <w:sz w:val="18"/>
                <w:szCs w:val="18"/>
              </w:rPr>
            </w:pPr>
            <w:r>
              <w:rPr>
                <w:rFonts w:hint="eastAsia"/>
                <w:sz w:val="18"/>
                <w:szCs w:val="18"/>
              </w:rPr>
              <w:t>4</w:t>
            </w:r>
          </w:p>
        </w:tc>
        <w:tc>
          <w:tcPr>
            <w:tcW w:w="3758" w:type="dxa"/>
            <w:tcBorders>
              <w:top w:val="single" w:color="auto" w:sz="4" w:space="0"/>
              <w:left w:val="single" w:color="auto" w:sz="4" w:space="0"/>
              <w:bottom w:val="single" w:color="auto" w:sz="4" w:space="0"/>
              <w:right w:val="single" w:color="auto" w:sz="4" w:space="0"/>
            </w:tcBorders>
            <w:vAlign w:val="center"/>
          </w:tcPr>
          <w:p w14:paraId="55EC0082">
            <w:pPr>
              <w:rPr>
                <w:rFonts w:hint="eastAsia" w:ascii="宋体" w:hAnsi="宋体"/>
                <w:sz w:val="18"/>
                <w:szCs w:val="18"/>
              </w:rPr>
            </w:pPr>
            <w:r>
              <w:rPr>
                <w:rFonts w:hint="eastAsia" w:ascii="宋体" w:hAnsi="宋体"/>
                <w:sz w:val="18"/>
                <w:szCs w:val="18"/>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vAlign w:val="center"/>
          </w:tcPr>
          <w:p w14:paraId="59DC5F41">
            <w:pPr>
              <w:rPr>
                <w:rFonts w:hint="eastAsia" w:ascii="宋体" w:hAnsi="宋体"/>
                <w:sz w:val="18"/>
                <w:szCs w:val="18"/>
              </w:rPr>
            </w:pPr>
            <w:r>
              <w:rPr>
                <w:rFonts w:hint="eastAsia" w:ascii="宋体" w:hAnsi="宋体"/>
                <w:sz w:val="18"/>
                <w:szCs w:val="18"/>
              </w:rPr>
              <w:t>随机配置见随机装箱清单</w:t>
            </w:r>
          </w:p>
        </w:tc>
        <w:tc>
          <w:tcPr>
            <w:tcW w:w="878" w:type="dxa"/>
            <w:tcBorders>
              <w:top w:val="single" w:color="auto" w:sz="4" w:space="0"/>
              <w:left w:val="single" w:color="auto" w:sz="4" w:space="0"/>
              <w:bottom w:val="single" w:color="auto" w:sz="4" w:space="0"/>
              <w:right w:val="single" w:color="auto" w:sz="4" w:space="0"/>
            </w:tcBorders>
            <w:vAlign w:val="center"/>
          </w:tcPr>
          <w:p w14:paraId="763F2D42">
            <w:pPr>
              <w:rPr>
                <w:rFonts w:hint="eastAsia" w:ascii="宋体" w:hAnsi="宋体"/>
                <w:sz w:val="18"/>
                <w:szCs w:val="18"/>
              </w:rPr>
            </w:pPr>
          </w:p>
        </w:tc>
      </w:tr>
      <w:tr w14:paraId="6304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637DC895">
            <w:pPr>
              <w:jc w:val="center"/>
              <w:rPr>
                <w:rFonts w:hint="eastAsia" w:ascii="宋体" w:hAnsi="宋体"/>
                <w:sz w:val="18"/>
                <w:szCs w:val="18"/>
              </w:rPr>
            </w:pPr>
            <w:r>
              <w:rPr>
                <w:rFonts w:hint="eastAsia"/>
                <w:sz w:val="18"/>
                <w:szCs w:val="18"/>
              </w:rPr>
              <w:t>5</w:t>
            </w:r>
          </w:p>
        </w:tc>
        <w:tc>
          <w:tcPr>
            <w:tcW w:w="3758" w:type="dxa"/>
            <w:tcBorders>
              <w:top w:val="single" w:color="auto" w:sz="4" w:space="0"/>
              <w:left w:val="single" w:color="auto" w:sz="4" w:space="0"/>
              <w:bottom w:val="single" w:color="auto" w:sz="4" w:space="0"/>
              <w:right w:val="single" w:color="auto" w:sz="4" w:space="0"/>
            </w:tcBorders>
            <w:vAlign w:val="center"/>
          </w:tcPr>
          <w:p w14:paraId="6B84E2B4">
            <w:pPr>
              <w:rPr>
                <w:rFonts w:hint="eastAsia" w:ascii="宋体" w:hAnsi="宋体"/>
                <w:sz w:val="18"/>
                <w:szCs w:val="18"/>
              </w:rPr>
            </w:pPr>
            <w:r>
              <w:rPr>
                <w:rFonts w:hint="eastAsia" w:ascii="宋体" w:hAnsi="宋体"/>
                <w:sz w:val="18"/>
                <w:szCs w:val="18"/>
              </w:rPr>
              <w:t>运输方式</w:t>
            </w:r>
          </w:p>
        </w:tc>
        <w:tc>
          <w:tcPr>
            <w:tcW w:w="4016" w:type="dxa"/>
            <w:tcBorders>
              <w:top w:val="single" w:color="auto" w:sz="4" w:space="0"/>
              <w:left w:val="single" w:color="auto" w:sz="4" w:space="0"/>
              <w:bottom w:val="single" w:color="auto" w:sz="4" w:space="0"/>
              <w:right w:val="single" w:color="auto" w:sz="4" w:space="0"/>
            </w:tcBorders>
            <w:vAlign w:val="center"/>
          </w:tcPr>
          <w:p w14:paraId="63FA06C7">
            <w:pPr>
              <w:rPr>
                <w:rFonts w:hint="eastAsia" w:ascii="宋体" w:hAnsi="宋体"/>
                <w:sz w:val="18"/>
                <w:szCs w:val="18"/>
              </w:rPr>
            </w:pPr>
            <w:r>
              <w:rPr>
                <w:rFonts w:hint="eastAsia" w:ascii="宋体" w:hAnsi="宋体"/>
                <w:sz w:val="18"/>
                <w:szCs w:val="18"/>
              </w:rPr>
              <w:t>免费送货上门</w:t>
            </w:r>
          </w:p>
        </w:tc>
        <w:tc>
          <w:tcPr>
            <w:tcW w:w="878" w:type="dxa"/>
            <w:tcBorders>
              <w:top w:val="single" w:color="auto" w:sz="4" w:space="0"/>
              <w:left w:val="single" w:color="auto" w:sz="4" w:space="0"/>
              <w:bottom w:val="single" w:color="auto" w:sz="4" w:space="0"/>
              <w:right w:val="single" w:color="auto" w:sz="4" w:space="0"/>
            </w:tcBorders>
            <w:vAlign w:val="center"/>
          </w:tcPr>
          <w:p w14:paraId="09E2F602">
            <w:pPr>
              <w:rPr>
                <w:rFonts w:hint="eastAsia" w:ascii="宋体" w:hAnsi="宋体"/>
                <w:sz w:val="18"/>
                <w:szCs w:val="18"/>
              </w:rPr>
            </w:pPr>
          </w:p>
        </w:tc>
      </w:tr>
      <w:tr w14:paraId="3A0A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BACCAE5">
            <w:pPr>
              <w:jc w:val="center"/>
              <w:rPr>
                <w:rFonts w:hint="eastAsia" w:ascii="宋体" w:hAnsi="宋体"/>
                <w:sz w:val="18"/>
                <w:szCs w:val="18"/>
              </w:rPr>
            </w:pPr>
            <w:r>
              <w:rPr>
                <w:rFonts w:hint="eastAsia"/>
                <w:sz w:val="18"/>
                <w:szCs w:val="18"/>
              </w:rPr>
              <w:t>6</w:t>
            </w:r>
          </w:p>
        </w:tc>
        <w:tc>
          <w:tcPr>
            <w:tcW w:w="3758" w:type="dxa"/>
            <w:tcBorders>
              <w:top w:val="single" w:color="auto" w:sz="4" w:space="0"/>
              <w:left w:val="single" w:color="auto" w:sz="4" w:space="0"/>
              <w:bottom w:val="single" w:color="auto" w:sz="4" w:space="0"/>
              <w:right w:val="single" w:color="auto" w:sz="4" w:space="0"/>
            </w:tcBorders>
            <w:vAlign w:val="center"/>
          </w:tcPr>
          <w:p w14:paraId="6EF099B1">
            <w:pPr>
              <w:rPr>
                <w:rFonts w:hint="eastAsia" w:ascii="宋体" w:hAnsi="宋体"/>
                <w:sz w:val="18"/>
                <w:szCs w:val="18"/>
              </w:rPr>
            </w:pPr>
            <w:r>
              <w:rPr>
                <w:rFonts w:hint="eastAsia" w:ascii="宋体" w:hAnsi="宋体"/>
                <w:sz w:val="18"/>
                <w:szCs w:val="18"/>
              </w:rPr>
              <w:t>交货时间</w:t>
            </w:r>
          </w:p>
        </w:tc>
        <w:tc>
          <w:tcPr>
            <w:tcW w:w="4016" w:type="dxa"/>
            <w:tcBorders>
              <w:top w:val="single" w:color="auto" w:sz="4" w:space="0"/>
              <w:left w:val="single" w:color="auto" w:sz="4" w:space="0"/>
              <w:bottom w:val="single" w:color="auto" w:sz="4" w:space="0"/>
              <w:right w:val="single" w:color="auto" w:sz="4" w:space="0"/>
            </w:tcBorders>
            <w:vAlign w:val="center"/>
          </w:tcPr>
          <w:p w14:paraId="1F4507B9">
            <w:pPr>
              <w:rPr>
                <w:rFonts w:hint="eastAsia" w:ascii="宋体" w:hAnsi="宋体"/>
                <w:sz w:val="18"/>
                <w:szCs w:val="18"/>
              </w:rPr>
            </w:pPr>
            <w:r>
              <w:rPr>
                <w:rFonts w:hint="eastAsia"/>
                <w:sz w:val="18"/>
                <w:szCs w:val="18"/>
              </w:rPr>
              <w:t>签订合同后3</w:t>
            </w:r>
            <w:r>
              <w:rPr>
                <w:sz w:val="18"/>
                <w:szCs w:val="18"/>
              </w:rPr>
              <w:t>0</w:t>
            </w:r>
            <w:r>
              <w:rPr>
                <w:rFonts w:hint="eastAsia"/>
                <w:sz w:val="18"/>
                <w:szCs w:val="18"/>
              </w:rPr>
              <w:t>日内</w:t>
            </w:r>
          </w:p>
        </w:tc>
        <w:tc>
          <w:tcPr>
            <w:tcW w:w="878" w:type="dxa"/>
            <w:tcBorders>
              <w:top w:val="single" w:color="auto" w:sz="4" w:space="0"/>
              <w:left w:val="single" w:color="auto" w:sz="4" w:space="0"/>
              <w:bottom w:val="single" w:color="auto" w:sz="4" w:space="0"/>
              <w:right w:val="single" w:color="auto" w:sz="4" w:space="0"/>
            </w:tcBorders>
            <w:vAlign w:val="center"/>
          </w:tcPr>
          <w:p w14:paraId="364617C1">
            <w:pPr>
              <w:rPr>
                <w:rFonts w:hint="eastAsia" w:ascii="宋体" w:hAnsi="宋体"/>
                <w:sz w:val="18"/>
                <w:szCs w:val="18"/>
              </w:rPr>
            </w:pPr>
          </w:p>
        </w:tc>
      </w:tr>
      <w:tr w14:paraId="3A85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2EEA417B">
            <w:pPr>
              <w:jc w:val="center"/>
              <w:rPr>
                <w:rFonts w:hint="eastAsia" w:ascii="宋体" w:hAnsi="宋体"/>
                <w:sz w:val="18"/>
                <w:szCs w:val="18"/>
              </w:rPr>
            </w:pPr>
            <w:r>
              <w:rPr>
                <w:rFonts w:hint="eastAsia"/>
                <w:sz w:val="18"/>
                <w:szCs w:val="18"/>
              </w:rPr>
              <w:t>7</w:t>
            </w:r>
          </w:p>
        </w:tc>
        <w:tc>
          <w:tcPr>
            <w:tcW w:w="3758" w:type="dxa"/>
            <w:tcBorders>
              <w:top w:val="single" w:color="auto" w:sz="4" w:space="0"/>
              <w:left w:val="single" w:color="auto" w:sz="4" w:space="0"/>
              <w:bottom w:val="single" w:color="auto" w:sz="4" w:space="0"/>
              <w:right w:val="single" w:color="auto" w:sz="4" w:space="0"/>
            </w:tcBorders>
            <w:vAlign w:val="center"/>
          </w:tcPr>
          <w:p w14:paraId="6BDEE0CD">
            <w:pPr>
              <w:rPr>
                <w:rFonts w:hint="eastAsia" w:ascii="宋体" w:hAnsi="宋体"/>
                <w:sz w:val="18"/>
                <w:szCs w:val="18"/>
              </w:rPr>
            </w:pPr>
            <w:r>
              <w:rPr>
                <w:rFonts w:hint="eastAsia" w:ascii="宋体" w:hAnsi="宋体"/>
                <w:sz w:val="18"/>
                <w:szCs w:val="18"/>
              </w:rPr>
              <w:t xml:space="preserve">安装、调试服务 </w:t>
            </w:r>
          </w:p>
        </w:tc>
        <w:tc>
          <w:tcPr>
            <w:tcW w:w="4016" w:type="dxa"/>
            <w:tcBorders>
              <w:top w:val="single" w:color="auto" w:sz="4" w:space="0"/>
              <w:left w:val="single" w:color="auto" w:sz="4" w:space="0"/>
              <w:bottom w:val="single" w:color="auto" w:sz="4" w:space="0"/>
              <w:right w:val="single" w:color="auto" w:sz="4" w:space="0"/>
            </w:tcBorders>
            <w:vAlign w:val="center"/>
          </w:tcPr>
          <w:p w14:paraId="6062FF7F">
            <w:pPr>
              <w:rPr>
                <w:rFonts w:hint="eastAsia" w:ascii="宋体" w:hAnsi="宋体"/>
                <w:sz w:val="18"/>
                <w:szCs w:val="18"/>
              </w:rPr>
            </w:pPr>
            <w:r>
              <w:rPr>
                <w:rFonts w:hint="eastAsia" w:ascii="宋体" w:hAnsi="宋体"/>
                <w:sz w:val="18"/>
                <w:szCs w:val="18"/>
              </w:rPr>
              <w:t>免费安装调试</w:t>
            </w:r>
          </w:p>
        </w:tc>
        <w:tc>
          <w:tcPr>
            <w:tcW w:w="878" w:type="dxa"/>
            <w:tcBorders>
              <w:top w:val="single" w:color="auto" w:sz="4" w:space="0"/>
              <w:left w:val="single" w:color="auto" w:sz="4" w:space="0"/>
              <w:bottom w:val="single" w:color="auto" w:sz="4" w:space="0"/>
              <w:right w:val="single" w:color="auto" w:sz="4" w:space="0"/>
            </w:tcBorders>
            <w:vAlign w:val="center"/>
          </w:tcPr>
          <w:p w14:paraId="50F0A20C">
            <w:pPr>
              <w:rPr>
                <w:rFonts w:hint="eastAsia" w:ascii="宋体" w:hAnsi="宋体"/>
                <w:sz w:val="18"/>
                <w:szCs w:val="18"/>
              </w:rPr>
            </w:pPr>
          </w:p>
        </w:tc>
      </w:tr>
      <w:tr w14:paraId="58B0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01804BE">
            <w:pPr>
              <w:jc w:val="center"/>
              <w:rPr>
                <w:rFonts w:hint="eastAsia" w:ascii="宋体" w:hAnsi="宋体"/>
                <w:sz w:val="18"/>
                <w:szCs w:val="18"/>
              </w:rPr>
            </w:pPr>
            <w:r>
              <w:rPr>
                <w:rFonts w:hint="eastAsia"/>
                <w:sz w:val="18"/>
                <w:szCs w:val="18"/>
              </w:rPr>
              <w:t>8</w:t>
            </w:r>
          </w:p>
        </w:tc>
        <w:tc>
          <w:tcPr>
            <w:tcW w:w="3758" w:type="dxa"/>
            <w:tcBorders>
              <w:top w:val="single" w:color="auto" w:sz="4" w:space="0"/>
              <w:left w:val="single" w:color="auto" w:sz="4" w:space="0"/>
              <w:bottom w:val="single" w:color="auto" w:sz="4" w:space="0"/>
              <w:right w:val="single" w:color="auto" w:sz="4" w:space="0"/>
            </w:tcBorders>
            <w:vAlign w:val="center"/>
          </w:tcPr>
          <w:p w14:paraId="247AB329">
            <w:pPr>
              <w:rPr>
                <w:rFonts w:hint="eastAsia" w:ascii="宋体" w:hAnsi="宋体"/>
                <w:sz w:val="18"/>
                <w:szCs w:val="18"/>
              </w:rPr>
            </w:pPr>
            <w:r>
              <w:rPr>
                <w:rFonts w:hint="eastAsia" w:ascii="宋体" w:hAnsi="宋体"/>
                <w:sz w:val="18"/>
                <w:szCs w:val="18"/>
              </w:rPr>
              <w:t>整机免费换货期限</w:t>
            </w:r>
          </w:p>
        </w:tc>
        <w:tc>
          <w:tcPr>
            <w:tcW w:w="4016" w:type="dxa"/>
            <w:tcBorders>
              <w:top w:val="single" w:color="auto" w:sz="4" w:space="0"/>
              <w:left w:val="single" w:color="auto" w:sz="4" w:space="0"/>
              <w:bottom w:val="single" w:color="auto" w:sz="4" w:space="0"/>
              <w:right w:val="single" w:color="auto" w:sz="4" w:space="0"/>
            </w:tcBorders>
            <w:vAlign w:val="center"/>
          </w:tcPr>
          <w:p w14:paraId="1237DFF9">
            <w:pPr>
              <w:rPr>
                <w:rFonts w:hint="eastAsia" w:ascii="宋体" w:hAnsi="宋体"/>
                <w:sz w:val="18"/>
                <w:szCs w:val="18"/>
              </w:rPr>
            </w:pPr>
            <w:r>
              <w:rPr>
                <w:rFonts w:hint="eastAsia"/>
                <w:sz w:val="18"/>
                <w:szCs w:val="18"/>
              </w:rPr>
              <w:t>12</w:t>
            </w:r>
            <w:r>
              <w:rPr>
                <w:rFonts w:hint="eastAsia" w:ascii="宋体" w:hAnsi="宋体"/>
                <w:sz w:val="18"/>
                <w:szCs w:val="18"/>
              </w:rPr>
              <w:t>个月</w:t>
            </w:r>
          </w:p>
        </w:tc>
        <w:tc>
          <w:tcPr>
            <w:tcW w:w="878" w:type="dxa"/>
            <w:tcBorders>
              <w:top w:val="single" w:color="auto" w:sz="4" w:space="0"/>
              <w:left w:val="single" w:color="auto" w:sz="4" w:space="0"/>
              <w:bottom w:val="single" w:color="auto" w:sz="4" w:space="0"/>
              <w:right w:val="single" w:color="auto" w:sz="4" w:space="0"/>
            </w:tcBorders>
            <w:vAlign w:val="center"/>
          </w:tcPr>
          <w:p w14:paraId="04981027">
            <w:pPr>
              <w:rPr>
                <w:rFonts w:hint="eastAsia" w:ascii="宋体" w:hAnsi="宋体"/>
                <w:sz w:val="18"/>
                <w:szCs w:val="18"/>
              </w:rPr>
            </w:pPr>
          </w:p>
        </w:tc>
      </w:tr>
      <w:tr w14:paraId="572A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01765215">
            <w:pPr>
              <w:jc w:val="center"/>
              <w:rPr>
                <w:rFonts w:hint="eastAsia" w:ascii="宋体" w:hAnsi="宋体"/>
                <w:sz w:val="18"/>
                <w:szCs w:val="18"/>
              </w:rPr>
            </w:pPr>
            <w:r>
              <w:rPr>
                <w:rFonts w:hint="eastAsia"/>
                <w:sz w:val="18"/>
                <w:szCs w:val="18"/>
              </w:rPr>
              <w:t>9</w:t>
            </w:r>
          </w:p>
        </w:tc>
        <w:tc>
          <w:tcPr>
            <w:tcW w:w="3758" w:type="dxa"/>
            <w:tcBorders>
              <w:top w:val="single" w:color="auto" w:sz="4" w:space="0"/>
              <w:left w:val="single" w:color="auto" w:sz="4" w:space="0"/>
              <w:bottom w:val="single" w:color="auto" w:sz="4" w:space="0"/>
              <w:right w:val="single" w:color="auto" w:sz="4" w:space="0"/>
            </w:tcBorders>
            <w:vAlign w:val="center"/>
          </w:tcPr>
          <w:p w14:paraId="33379F36">
            <w:pPr>
              <w:rPr>
                <w:rFonts w:hint="eastAsia" w:ascii="宋体" w:hAnsi="宋体"/>
                <w:sz w:val="18"/>
                <w:szCs w:val="18"/>
              </w:rPr>
            </w:pPr>
            <w:r>
              <w:rPr>
                <w:rFonts w:hint="eastAsia" w:ascii="宋体" w:hAnsi="宋体"/>
                <w:sz w:val="18"/>
                <w:szCs w:val="18"/>
              </w:rPr>
              <w:t>免费上门服务期</w:t>
            </w:r>
          </w:p>
        </w:tc>
        <w:tc>
          <w:tcPr>
            <w:tcW w:w="4016" w:type="dxa"/>
            <w:tcBorders>
              <w:top w:val="single" w:color="auto" w:sz="4" w:space="0"/>
              <w:left w:val="single" w:color="auto" w:sz="4" w:space="0"/>
              <w:bottom w:val="single" w:color="auto" w:sz="4" w:space="0"/>
              <w:right w:val="single" w:color="auto" w:sz="4" w:space="0"/>
            </w:tcBorders>
            <w:vAlign w:val="center"/>
          </w:tcPr>
          <w:p w14:paraId="77E39B34">
            <w:pPr>
              <w:rPr>
                <w:rFonts w:hint="eastAsia" w:ascii="宋体" w:hAnsi="宋体"/>
                <w:sz w:val="18"/>
                <w:szCs w:val="18"/>
              </w:rPr>
            </w:pPr>
            <w:r>
              <w:rPr>
                <w:rFonts w:hint="eastAsia" w:ascii="宋体" w:hAnsi="宋体"/>
                <w:sz w:val="18"/>
                <w:szCs w:val="18"/>
              </w:rPr>
              <w:t>终身。提供随叫随到上门服务，全天候</w:t>
            </w:r>
            <w:r>
              <w:rPr>
                <w:rFonts w:hint="eastAsia"/>
                <w:sz w:val="18"/>
                <w:szCs w:val="18"/>
              </w:rPr>
              <w:t>24</w:t>
            </w:r>
            <w:r>
              <w:rPr>
                <w:rFonts w:hint="eastAsia" w:ascii="宋体" w:hAnsi="宋体"/>
                <w:sz w:val="18"/>
                <w:szCs w:val="18"/>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71C61542">
            <w:pPr>
              <w:rPr>
                <w:rFonts w:hint="eastAsia" w:ascii="宋体" w:hAnsi="宋体"/>
                <w:sz w:val="18"/>
                <w:szCs w:val="18"/>
              </w:rPr>
            </w:pPr>
          </w:p>
        </w:tc>
      </w:tr>
      <w:tr w14:paraId="5C56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12D163A7">
            <w:pPr>
              <w:jc w:val="center"/>
              <w:rPr>
                <w:rFonts w:hint="eastAsia" w:ascii="宋体" w:hAnsi="宋体"/>
                <w:sz w:val="18"/>
                <w:szCs w:val="18"/>
              </w:rPr>
            </w:pPr>
            <w:r>
              <w:rPr>
                <w:rFonts w:hint="eastAsia"/>
                <w:sz w:val="18"/>
                <w:szCs w:val="18"/>
              </w:rPr>
              <w:t>10</w:t>
            </w:r>
          </w:p>
        </w:tc>
        <w:tc>
          <w:tcPr>
            <w:tcW w:w="3758" w:type="dxa"/>
            <w:tcBorders>
              <w:top w:val="single" w:color="auto" w:sz="4" w:space="0"/>
              <w:left w:val="single" w:color="auto" w:sz="4" w:space="0"/>
              <w:bottom w:val="single" w:color="auto" w:sz="4" w:space="0"/>
              <w:right w:val="single" w:color="auto" w:sz="4" w:space="0"/>
            </w:tcBorders>
            <w:vAlign w:val="center"/>
          </w:tcPr>
          <w:p w14:paraId="05E8C7B3">
            <w:pPr>
              <w:rPr>
                <w:rFonts w:hint="eastAsia" w:ascii="宋体" w:hAnsi="宋体"/>
                <w:sz w:val="18"/>
                <w:szCs w:val="18"/>
              </w:rPr>
            </w:pPr>
            <w:r>
              <w:rPr>
                <w:rFonts w:hint="eastAsia" w:ascii="宋体" w:hAnsi="宋体"/>
                <w:sz w:val="18"/>
                <w:szCs w:val="18"/>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4E41E330">
            <w:pPr>
              <w:rPr>
                <w:rFonts w:hint="eastAsia" w:ascii="宋体" w:hAnsi="宋体"/>
                <w:sz w:val="18"/>
                <w:szCs w:val="18"/>
              </w:rPr>
            </w:pPr>
            <w:r>
              <w:rPr>
                <w:rFonts w:hint="eastAsia"/>
                <w:sz w:val="18"/>
                <w:szCs w:val="18"/>
              </w:rPr>
              <w:t>2</w:t>
            </w:r>
            <w:r>
              <w:rPr>
                <w:rFonts w:hint="eastAsia" w:ascii="宋体" w:hAnsi="宋体"/>
                <w:sz w:val="18"/>
                <w:szCs w:val="18"/>
              </w:rPr>
              <w:t>个小时内响应</w:t>
            </w:r>
          </w:p>
        </w:tc>
        <w:tc>
          <w:tcPr>
            <w:tcW w:w="878" w:type="dxa"/>
            <w:tcBorders>
              <w:top w:val="single" w:color="auto" w:sz="4" w:space="0"/>
              <w:left w:val="single" w:color="auto" w:sz="4" w:space="0"/>
              <w:bottom w:val="single" w:color="auto" w:sz="4" w:space="0"/>
              <w:right w:val="single" w:color="auto" w:sz="4" w:space="0"/>
            </w:tcBorders>
            <w:vAlign w:val="center"/>
          </w:tcPr>
          <w:p w14:paraId="50B57503">
            <w:pPr>
              <w:rPr>
                <w:rFonts w:hint="eastAsia" w:ascii="宋体" w:hAnsi="宋体"/>
                <w:sz w:val="18"/>
                <w:szCs w:val="18"/>
              </w:rPr>
            </w:pPr>
          </w:p>
        </w:tc>
      </w:tr>
      <w:tr w14:paraId="30F0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0CD00AFA">
            <w:pPr>
              <w:jc w:val="center"/>
              <w:rPr>
                <w:rFonts w:hint="eastAsia" w:ascii="宋体" w:hAnsi="宋体"/>
                <w:sz w:val="18"/>
                <w:szCs w:val="18"/>
              </w:rPr>
            </w:pPr>
            <w:r>
              <w:rPr>
                <w:rFonts w:hint="eastAsia"/>
                <w:sz w:val="18"/>
                <w:szCs w:val="18"/>
              </w:rPr>
              <w:t>11</w:t>
            </w:r>
          </w:p>
        </w:tc>
        <w:tc>
          <w:tcPr>
            <w:tcW w:w="3758" w:type="dxa"/>
            <w:tcBorders>
              <w:top w:val="single" w:color="auto" w:sz="4" w:space="0"/>
              <w:left w:val="single" w:color="auto" w:sz="4" w:space="0"/>
              <w:bottom w:val="single" w:color="auto" w:sz="4" w:space="0"/>
              <w:right w:val="single" w:color="auto" w:sz="4" w:space="0"/>
            </w:tcBorders>
            <w:vAlign w:val="center"/>
          </w:tcPr>
          <w:p w14:paraId="2441CB19">
            <w:pPr>
              <w:rPr>
                <w:rFonts w:hint="eastAsia" w:ascii="宋体" w:hAnsi="宋体"/>
                <w:sz w:val="18"/>
                <w:szCs w:val="18"/>
              </w:rPr>
            </w:pPr>
            <w:r>
              <w:rPr>
                <w:rFonts w:hint="eastAsia" w:ascii="宋体" w:hAnsi="宋体"/>
                <w:sz w:val="18"/>
                <w:szCs w:val="18"/>
              </w:rPr>
              <w:t>服务时间</w:t>
            </w:r>
          </w:p>
        </w:tc>
        <w:tc>
          <w:tcPr>
            <w:tcW w:w="4016" w:type="dxa"/>
            <w:tcBorders>
              <w:top w:val="single" w:color="auto" w:sz="4" w:space="0"/>
              <w:left w:val="single" w:color="auto" w:sz="4" w:space="0"/>
              <w:bottom w:val="single" w:color="auto" w:sz="4" w:space="0"/>
              <w:right w:val="single" w:color="auto" w:sz="4" w:space="0"/>
            </w:tcBorders>
            <w:vAlign w:val="center"/>
          </w:tcPr>
          <w:p w14:paraId="0B19535B">
            <w:pPr>
              <w:rPr>
                <w:rFonts w:hint="eastAsia" w:ascii="宋体" w:hAnsi="宋体"/>
                <w:sz w:val="18"/>
                <w:szCs w:val="18"/>
              </w:rPr>
            </w:pPr>
            <w:r>
              <w:rPr>
                <w:rFonts w:hint="eastAsia"/>
                <w:sz w:val="18"/>
                <w:szCs w:val="18"/>
              </w:rPr>
              <w:t>24</w:t>
            </w:r>
            <w:r>
              <w:rPr>
                <w:rFonts w:hint="eastAsia" w:ascii="宋体" w:hAnsi="宋体"/>
                <w:sz w:val="18"/>
                <w:szCs w:val="18"/>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659F724B">
            <w:pPr>
              <w:rPr>
                <w:rFonts w:hint="eastAsia" w:ascii="宋体" w:hAnsi="宋体"/>
                <w:sz w:val="18"/>
                <w:szCs w:val="18"/>
              </w:rPr>
            </w:pPr>
          </w:p>
        </w:tc>
      </w:tr>
      <w:tr w14:paraId="746A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18B136D8">
            <w:pPr>
              <w:jc w:val="center"/>
              <w:rPr>
                <w:rFonts w:hint="eastAsia" w:ascii="宋体" w:hAnsi="宋体"/>
                <w:sz w:val="18"/>
                <w:szCs w:val="18"/>
              </w:rPr>
            </w:pPr>
            <w:r>
              <w:rPr>
                <w:rFonts w:hint="eastAsia"/>
                <w:sz w:val="18"/>
                <w:szCs w:val="18"/>
              </w:rPr>
              <w:t>12</w:t>
            </w:r>
          </w:p>
        </w:tc>
        <w:tc>
          <w:tcPr>
            <w:tcW w:w="3758" w:type="dxa"/>
            <w:tcBorders>
              <w:top w:val="single" w:color="auto" w:sz="4" w:space="0"/>
              <w:left w:val="single" w:color="auto" w:sz="4" w:space="0"/>
              <w:bottom w:val="single" w:color="auto" w:sz="4" w:space="0"/>
              <w:right w:val="single" w:color="auto" w:sz="4" w:space="0"/>
            </w:tcBorders>
            <w:vAlign w:val="center"/>
          </w:tcPr>
          <w:p w14:paraId="6191B8DC">
            <w:pPr>
              <w:rPr>
                <w:rFonts w:hint="eastAsia" w:ascii="宋体" w:hAnsi="宋体"/>
                <w:sz w:val="18"/>
                <w:szCs w:val="18"/>
              </w:rPr>
            </w:pPr>
            <w:r>
              <w:rPr>
                <w:rFonts w:hint="eastAsia" w:ascii="宋体" w:hAnsi="宋体"/>
                <w:sz w:val="18"/>
                <w:szCs w:val="18"/>
              </w:rPr>
              <w:t>上门时间</w:t>
            </w:r>
          </w:p>
        </w:tc>
        <w:tc>
          <w:tcPr>
            <w:tcW w:w="4016" w:type="dxa"/>
            <w:tcBorders>
              <w:top w:val="single" w:color="auto" w:sz="4" w:space="0"/>
              <w:left w:val="single" w:color="auto" w:sz="4" w:space="0"/>
              <w:bottom w:val="single" w:color="auto" w:sz="4" w:space="0"/>
              <w:right w:val="single" w:color="auto" w:sz="4" w:space="0"/>
            </w:tcBorders>
            <w:vAlign w:val="center"/>
          </w:tcPr>
          <w:p w14:paraId="2E6DB933">
            <w:pPr>
              <w:rPr>
                <w:rFonts w:hint="eastAsia" w:ascii="宋体" w:hAnsi="宋体"/>
                <w:sz w:val="18"/>
                <w:szCs w:val="18"/>
              </w:rPr>
            </w:pPr>
            <w:r>
              <w:rPr>
                <w:rFonts w:hint="eastAsia"/>
                <w:sz w:val="18"/>
                <w:szCs w:val="18"/>
              </w:rPr>
              <w:t>2</w:t>
            </w:r>
            <w:r>
              <w:rPr>
                <w:rFonts w:hint="eastAsia" w:ascii="宋体" w:hAnsi="宋体"/>
                <w:sz w:val="18"/>
                <w:szCs w:val="18"/>
              </w:rPr>
              <w:t>小时内响应及时上门</w:t>
            </w:r>
          </w:p>
        </w:tc>
        <w:tc>
          <w:tcPr>
            <w:tcW w:w="878" w:type="dxa"/>
            <w:tcBorders>
              <w:top w:val="single" w:color="auto" w:sz="4" w:space="0"/>
              <w:left w:val="single" w:color="auto" w:sz="4" w:space="0"/>
              <w:bottom w:val="single" w:color="auto" w:sz="4" w:space="0"/>
              <w:right w:val="single" w:color="auto" w:sz="4" w:space="0"/>
            </w:tcBorders>
            <w:vAlign w:val="center"/>
          </w:tcPr>
          <w:p w14:paraId="426694DF">
            <w:pPr>
              <w:rPr>
                <w:rFonts w:hint="eastAsia" w:ascii="宋体" w:hAnsi="宋体"/>
                <w:sz w:val="18"/>
                <w:szCs w:val="18"/>
              </w:rPr>
            </w:pPr>
          </w:p>
        </w:tc>
      </w:tr>
      <w:tr w14:paraId="0A08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22136E2E">
            <w:pPr>
              <w:jc w:val="center"/>
              <w:rPr>
                <w:rFonts w:hint="eastAsia" w:ascii="宋体" w:hAnsi="宋体"/>
                <w:sz w:val="18"/>
                <w:szCs w:val="18"/>
              </w:rPr>
            </w:pPr>
            <w:r>
              <w:rPr>
                <w:rFonts w:hint="eastAsia"/>
                <w:sz w:val="18"/>
                <w:szCs w:val="18"/>
              </w:rPr>
              <w:t>13</w:t>
            </w:r>
          </w:p>
        </w:tc>
        <w:tc>
          <w:tcPr>
            <w:tcW w:w="3758" w:type="dxa"/>
            <w:tcBorders>
              <w:top w:val="single" w:color="auto" w:sz="4" w:space="0"/>
              <w:left w:val="single" w:color="auto" w:sz="4" w:space="0"/>
              <w:bottom w:val="single" w:color="auto" w:sz="4" w:space="0"/>
              <w:right w:val="single" w:color="auto" w:sz="4" w:space="0"/>
            </w:tcBorders>
            <w:vAlign w:val="center"/>
          </w:tcPr>
          <w:p w14:paraId="5E76AA0F">
            <w:pPr>
              <w:rPr>
                <w:rFonts w:hint="eastAsia" w:ascii="宋体" w:hAnsi="宋体"/>
                <w:sz w:val="18"/>
                <w:szCs w:val="18"/>
              </w:rPr>
            </w:pPr>
            <w:r>
              <w:rPr>
                <w:rFonts w:hint="eastAsia" w:ascii="宋体" w:hAnsi="宋体"/>
                <w:sz w:val="18"/>
                <w:szCs w:val="18"/>
              </w:rPr>
              <w:t>故障修复时限</w:t>
            </w:r>
          </w:p>
        </w:tc>
        <w:tc>
          <w:tcPr>
            <w:tcW w:w="4016" w:type="dxa"/>
            <w:tcBorders>
              <w:top w:val="single" w:color="auto" w:sz="4" w:space="0"/>
              <w:left w:val="single" w:color="auto" w:sz="4" w:space="0"/>
              <w:bottom w:val="single" w:color="auto" w:sz="4" w:space="0"/>
              <w:right w:val="single" w:color="auto" w:sz="4" w:space="0"/>
            </w:tcBorders>
            <w:vAlign w:val="center"/>
          </w:tcPr>
          <w:p w14:paraId="0966E901">
            <w:pPr>
              <w:rPr>
                <w:rFonts w:hint="eastAsia" w:ascii="宋体" w:hAnsi="宋体"/>
                <w:sz w:val="18"/>
                <w:szCs w:val="18"/>
              </w:rPr>
            </w:pPr>
            <w:r>
              <w:rPr>
                <w:rFonts w:hint="eastAsia"/>
                <w:sz w:val="18"/>
                <w:szCs w:val="18"/>
              </w:rPr>
              <w:t>8</w:t>
            </w:r>
            <w:r>
              <w:rPr>
                <w:rFonts w:hint="eastAsia" w:ascii="宋体" w:hAnsi="宋体"/>
                <w:sz w:val="18"/>
                <w:szCs w:val="18"/>
              </w:rPr>
              <w:t>个小时内修复</w:t>
            </w:r>
          </w:p>
        </w:tc>
        <w:tc>
          <w:tcPr>
            <w:tcW w:w="878" w:type="dxa"/>
            <w:tcBorders>
              <w:top w:val="single" w:color="auto" w:sz="4" w:space="0"/>
              <w:left w:val="single" w:color="auto" w:sz="4" w:space="0"/>
              <w:bottom w:val="single" w:color="auto" w:sz="4" w:space="0"/>
              <w:right w:val="single" w:color="auto" w:sz="4" w:space="0"/>
            </w:tcBorders>
            <w:vAlign w:val="center"/>
          </w:tcPr>
          <w:p w14:paraId="4C057FE3">
            <w:pPr>
              <w:rPr>
                <w:rFonts w:hint="eastAsia" w:ascii="宋体" w:hAnsi="宋体"/>
                <w:sz w:val="18"/>
                <w:szCs w:val="18"/>
              </w:rPr>
            </w:pPr>
          </w:p>
        </w:tc>
      </w:tr>
      <w:tr w14:paraId="60CD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720CA926">
            <w:pPr>
              <w:jc w:val="center"/>
              <w:rPr>
                <w:rFonts w:hint="eastAsia" w:ascii="宋体" w:hAnsi="宋体"/>
                <w:sz w:val="18"/>
                <w:szCs w:val="18"/>
              </w:rPr>
            </w:pPr>
            <w:r>
              <w:rPr>
                <w:rFonts w:hint="eastAsia"/>
                <w:sz w:val="18"/>
                <w:szCs w:val="18"/>
              </w:rPr>
              <w:t>14</w:t>
            </w:r>
          </w:p>
        </w:tc>
        <w:tc>
          <w:tcPr>
            <w:tcW w:w="3758" w:type="dxa"/>
            <w:tcBorders>
              <w:top w:val="single" w:color="auto" w:sz="4" w:space="0"/>
              <w:left w:val="single" w:color="auto" w:sz="4" w:space="0"/>
              <w:bottom w:val="single" w:color="auto" w:sz="4" w:space="0"/>
              <w:right w:val="single" w:color="auto" w:sz="4" w:space="0"/>
            </w:tcBorders>
            <w:vAlign w:val="center"/>
          </w:tcPr>
          <w:p w14:paraId="6AC210A3">
            <w:pPr>
              <w:rPr>
                <w:rFonts w:hint="eastAsia" w:ascii="宋体" w:hAnsi="宋体"/>
                <w:sz w:val="18"/>
                <w:szCs w:val="18"/>
              </w:rPr>
            </w:pPr>
            <w:r>
              <w:rPr>
                <w:rFonts w:hint="eastAsia" w:ascii="宋体" w:hAnsi="宋体"/>
                <w:sz w:val="18"/>
                <w:szCs w:val="18"/>
              </w:rPr>
              <w:t>备品配件供应响应时限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3205248B">
            <w:pPr>
              <w:rPr>
                <w:rFonts w:hint="eastAsia" w:ascii="宋体" w:hAnsi="宋体"/>
                <w:sz w:val="18"/>
                <w:szCs w:val="18"/>
              </w:rPr>
            </w:pPr>
            <w:r>
              <w:rPr>
                <w:rFonts w:hint="eastAsia"/>
                <w:sz w:val="18"/>
                <w:szCs w:val="18"/>
              </w:rPr>
              <w:t>1</w:t>
            </w:r>
            <w:r>
              <w:rPr>
                <w:rFonts w:hint="eastAsia" w:ascii="宋体" w:hAnsi="宋体"/>
                <w:sz w:val="18"/>
                <w:szCs w:val="18"/>
              </w:rPr>
              <w:t>个工作日内</w:t>
            </w:r>
          </w:p>
        </w:tc>
        <w:tc>
          <w:tcPr>
            <w:tcW w:w="878" w:type="dxa"/>
            <w:tcBorders>
              <w:top w:val="single" w:color="auto" w:sz="4" w:space="0"/>
              <w:left w:val="single" w:color="auto" w:sz="4" w:space="0"/>
              <w:bottom w:val="single" w:color="auto" w:sz="4" w:space="0"/>
              <w:right w:val="single" w:color="auto" w:sz="4" w:space="0"/>
            </w:tcBorders>
            <w:vAlign w:val="center"/>
          </w:tcPr>
          <w:p w14:paraId="0A57AE7C">
            <w:pPr>
              <w:rPr>
                <w:rFonts w:hint="eastAsia" w:ascii="宋体" w:hAnsi="宋体"/>
                <w:sz w:val="18"/>
                <w:szCs w:val="18"/>
              </w:rPr>
            </w:pPr>
          </w:p>
        </w:tc>
      </w:tr>
      <w:tr w14:paraId="127D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447C035F">
            <w:pPr>
              <w:jc w:val="center"/>
              <w:rPr>
                <w:rFonts w:hint="eastAsia" w:ascii="宋体" w:hAnsi="宋体"/>
                <w:sz w:val="18"/>
                <w:szCs w:val="18"/>
              </w:rPr>
            </w:pPr>
            <w:r>
              <w:rPr>
                <w:rFonts w:hint="eastAsia"/>
                <w:sz w:val="18"/>
                <w:szCs w:val="18"/>
              </w:rPr>
              <w:t>15</w:t>
            </w:r>
          </w:p>
        </w:tc>
        <w:tc>
          <w:tcPr>
            <w:tcW w:w="3758" w:type="dxa"/>
            <w:tcBorders>
              <w:top w:val="single" w:color="auto" w:sz="4" w:space="0"/>
              <w:left w:val="single" w:color="auto" w:sz="4" w:space="0"/>
              <w:bottom w:val="single" w:color="auto" w:sz="4" w:space="0"/>
              <w:right w:val="single" w:color="auto" w:sz="4" w:space="0"/>
            </w:tcBorders>
            <w:vAlign w:val="center"/>
          </w:tcPr>
          <w:p w14:paraId="649A318B">
            <w:pPr>
              <w:rPr>
                <w:rFonts w:hint="eastAsia" w:ascii="宋体" w:hAnsi="宋体"/>
                <w:sz w:val="18"/>
                <w:szCs w:val="18"/>
              </w:rPr>
            </w:pPr>
            <w:r>
              <w:rPr>
                <w:rFonts w:hint="eastAsia" w:ascii="宋体" w:hAnsi="宋体"/>
                <w:sz w:val="18"/>
                <w:szCs w:val="18"/>
              </w:rPr>
              <w:t>保质期满后的保修服务费用</w:t>
            </w:r>
          </w:p>
        </w:tc>
        <w:tc>
          <w:tcPr>
            <w:tcW w:w="4016" w:type="dxa"/>
            <w:tcBorders>
              <w:top w:val="single" w:color="auto" w:sz="4" w:space="0"/>
              <w:left w:val="single" w:color="auto" w:sz="4" w:space="0"/>
              <w:bottom w:val="single" w:color="auto" w:sz="4" w:space="0"/>
              <w:right w:val="single" w:color="auto" w:sz="4" w:space="0"/>
            </w:tcBorders>
            <w:vAlign w:val="center"/>
          </w:tcPr>
          <w:p w14:paraId="0A6BA021">
            <w:pPr>
              <w:rPr>
                <w:rFonts w:hint="eastAsia" w:ascii="宋体" w:hAnsi="宋体"/>
                <w:sz w:val="18"/>
                <w:szCs w:val="18"/>
              </w:rPr>
            </w:pPr>
            <w:r>
              <w:rPr>
                <w:rFonts w:hint="eastAsia" w:ascii="宋体" w:hAnsi="宋体"/>
                <w:sz w:val="18"/>
                <w:szCs w:val="18"/>
              </w:rPr>
              <w:t>仅收取材料成本费用</w:t>
            </w:r>
          </w:p>
        </w:tc>
        <w:tc>
          <w:tcPr>
            <w:tcW w:w="878" w:type="dxa"/>
            <w:tcBorders>
              <w:top w:val="single" w:color="auto" w:sz="4" w:space="0"/>
              <w:left w:val="single" w:color="auto" w:sz="4" w:space="0"/>
              <w:bottom w:val="single" w:color="auto" w:sz="4" w:space="0"/>
              <w:right w:val="single" w:color="auto" w:sz="4" w:space="0"/>
            </w:tcBorders>
            <w:vAlign w:val="center"/>
          </w:tcPr>
          <w:p w14:paraId="5DEAC46A">
            <w:pPr>
              <w:rPr>
                <w:rFonts w:hint="eastAsia" w:ascii="宋体" w:hAnsi="宋体"/>
                <w:sz w:val="18"/>
                <w:szCs w:val="18"/>
              </w:rPr>
            </w:pPr>
          </w:p>
        </w:tc>
      </w:tr>
      <w:tr w14:paraId="47E1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05E1A7D8">
            <w:pPr>
              <w:jc w:val="center"/>
              <w:rPr>
                <w:rFonts w:hint="eastAsia" w:ascii="宋体" w:hAnsi="宋体"/>
                <w:sz w:val="18"/>
                <w:szCs w:val="18"/>
              </w:rPr>
            </w:pPr>
            <w:r>
              <w:rPr>
                <w:rFonts w:hint="eastAsia"/>
                <w:sz w:val="18"/>
                <w:szCs w:val="18"/>
              </w:rPr>
              <w:t>16</w:t>
            </w:r>
          </w:p>
        </w:tc>
        <w:tc>
          <w:tcPr>
            <w:tcW w:w="3758" w:type="dxa"/>
            <w:tcBorders>
              <w:top w:val="single" w:color="auto" w:sz="4" w:space="0"/>
              <w:left w:val="single" w:color="auto" w:sz="4" w:space="0"/>
              <w:bottom w:val="single" w:color="auto" w:sz="4" w:space="0"/>
              <w:right w:val="single" w:color="auto" w:sz="4" w:space="0"/>
            </w:tcBorders>
            <w:vAlign w:val="center"/>
          </w:tcPr>
          <w:p w14:paraId="3CF0AC16">
            <w:pPr>
              <w:rPr>
                <w:rFonts w:hint="eastAsia" w:ascii="宋体" w:hAnsi="宋体"/>
                <w:sz w:val="18"/>
                <w:szCs w:val="18"/>
              </w:rPr>
            </w:pPr>
            <w:r>
              <w:rPr>
                <w:rFonts w:hint="eastAsia" w:ascii="宋体" w:hAnsi="宋体"/>
                <w:sz w:val="18"/>
                <w:szCs w:val="18"/>
              </w:rPr>
              <w:t>免费技术支持</w:t>
            </w:r>
          </w:p>
        </w:tc>
        <w:tc>
          <w:tcPr>
            <w:tcW w:w="4016" w:type="dxa"/>
            <w:tcBorders>
              <w:top w:val="single" w:color="auto" w:sz="4" w:space="0"/>
              <w:left w:val="single" w:color="auto" w:sz="4" w:space="0"/>
              <w:bottom w:val="single" w:color="auto" w:sz="4" w:space="0"/>
              <w:right w:val="single" w:color="auto" w:sz="4" w:space="0"/>
            </w:tcBorders>
            <w:vAlign w:val="center"/>
          </w:tcPr>
          <w:p w14:paraId="78069EAE">
            <w:pPr>
              <w:rPr>
                <w:rFonts w:hint="eastAsia" w:ascii="宋体" w:hAnsi="宋体"/>
                <w:sz w:val="18"/>
                <w:szCs w:val="18"/>
              </w:rPr>
            </w:pPr>
            <w:r>
              <w:rPr>
                <w:rFonts w:hint="eastAsia" w:ascii="宋体" w:hAnsi="宋体"/>
                <w:sz w:val="18"/>
                <w:szCs w:val="18"/>
              </w:rPr>
              <w:t>终身</w:t>
            </w:r>
          </w:p>
        </w:tc>
        <w:tc>
          <w:tcPr>
            <w:tcW w:w="878" w:type="dxa"/>
            <w:tcBorders>
              <w:top w:val="single" w:color="auto" w:sz="4" w:space="0"/>
              <w:left w:val="single" w:color="auto" w:sz="4" w:space="0"/>
              <w:bottom w:val="single" w:color="auto" w:sz="4" w:space="0"/>
              <w:right w:val="single" w:color="auto" w:sz="4" w:space="0"/>
            </w:tcBorders>
            <w:vAlign w:val="center"/>
          </w:tcPr>
          <w:p w14:paraId="31027F7C">
            <w:pPr>
              <w:rPr>
                <w:rFonts w:hint="eastAsia" w:ascii="宋体" w:hAnsi="宋体"/>
                <w:sz w:val="18"/>
                <w:szCs w:val="18"/>
              </w:rPr>
            </w:pPr>
          </w:p>
        </w:tc>
      </w:tr>
      <w:tr w14:paraId="7559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0C6A43F">
            <w:pPr>
              <w:jc w:val="center"/>
              <w:rPr>
                <w:rFonts w:hint="eastAsia" w:ascii="宋体" w:hAnsi="宋体"/>
                <w:sz w:val="18"/>
                <w:szCs w:val="18"/>
              </w:rPr>
            </w:pPr>
            <w:r>
              <w:rPr>
                <w:rFonts w:hint="eastAsia"/>
                <w:sz w:val="18"/>
                <w:szCs w:val="18"/>
              </w:rPr>
              <w:t>17</w:t>
            </w:r>
          </w:p>
        </w:tc>
        <w:tc>
          <w:tcPr>
            <w:tcW w:w="3758" w:type="dxa"/>
            <w:tcBorders>
              <w:top w:val="single" w:color="auto" w:sz="4" w:space="0"/>
              <w:left w:val="single" w:color="auto" w:sz="4" w:space="0"/>
              <w:bottom w:val="single" w:color="auto" w:sz="4" w:space="0"/>
              <w:right w:val="single" w:color="auto" w:sz="4" w:space="0"/>
            </w:tcBorders>
            <w:vAlign w:val="center"/>
          </w:tcPr>
          <w:p w14:paraId="4F97CB18">
            <w:pPr>
              <w:rPr>
                <w:rFonts w:hint="eastAsia" w:ascii="宋体" w:hAnsi="宋体"/>
                <w:sz w:val="18"/>
                <w:szCs w:val="18"/>
              </w:rPr>
            </w:pPr>
            <w:r>
              <w:rPr>
                <w:rFonts w:hint="eastAsia" w:ascii="宋体" w:hAnsi="宋体"/>
                <w:sz w:val="18"/>
                <w:szCs w:val="18"/>
              </w:rPr>
              <w:t>客户操作人员技术培训</w:t>
            </w:r>
          </w:p>
        </w:tc>
        <w:tc>
          <w:tcPr>
            <w:tcW w:w="4016" w:type="dxa"/>
            <w:tcBorders>
              <w:top w:val="single" w:color="auto" w:sz="4" w:space="0"/>
              <w:left w:val="single" w:color="auto" w:sz="4" w:space="0"/>
              <w:bottom w:val="single" w:color="auto" w:sz="4" w:space="0"/>
              <w:right w:val="single" w:color="auto" w:sz="4" w:space="0"/>
            </w:tcBorders>
            <w:vAlign w:val="center"/>
          </w:tcPr>
          <w:p w14:paraId="0D573921">
            <w:pPr>
              <w:rPr>
                <w:rFonts w:hint="eastAsia" w:ascii="宋体" w:hAnsi="宋体"/>
                <w:sz w:val="18"/>
                <w:szCs w:val="18"/>
              </w:rPr>
            </w:pPr>
            <w:r>
              <w:rPr>
                <w:rFonts w:hint="eastAsia" w:ascii="宋体" w:hAnsi="宋体"/>
                <w:sz w:val="18"/>
                <w:szCs w:val="18"/>
              </w:rPr>
              <w:t>免费技术培训至少</w:t>
            </w:r>
            <w:r>
              <w:rPr>
                <w:sz w:val="18"/>
                <w:szCs w:val="18"/>
              </w:rPr>
              <w:t>1</w:t>
            </w:r>
            <w:r>
              <w:rPr>
                <w:rFonts w:hint="eastAsia" w:ascii="宋体" w:hAnsi="宋体"/>
                <w:sz w:val="18"/>
                <w:szCs w:val="18"/>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vAlign w:val="center"/>
          </w:tcPr>
          <w:p w14:paraId="66375F8F">
            <w:pPr>
              <w:rPr>
                <w:rFonts w:hint="eastAsia" w:ascii="宋体" w:hAnsi="宋体"/>
                <w:sz w:val="18"/>
                <w:szCs w:val="18"/>
              </w:rPr>
            </w:pPr>
          </w:p>
        </w:tc>
      </w:tr>
      <w:tr w14:paraId="295D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11918FE0">
            <w:pPr>
              <w:jc w:val="center"/>
              <w:rPr>
                <w:rFonts w:hint="eastAsia" w:ascii="宋体" w:hAnsi="宋体"/>
                <w:sz w:val="18"/>
                <w:szCs w:val="18"/>
              </w:rPr>
            </w:pPr>
            <w:r>
              <w:rPr>
                <w:rFonts w:hint="eastAsia"/>
                <w:sz w:val="18"/>
                <w:szCs w:val="18"/>
              </w:rPr>
              <w:t>18</w:t>
            </w:r>
          </w:p>
        </w:tc>
        <w:tc>
          <w:tcPr>
            <w:tcW w:w="3758" w:type="dxa"/>
            <w:tcBorders>
              <w:top w:val="single" w:color="auto" w:sz="4" w:space="0"/>
              <w:left w:val="single" w:color="auto" w:sz="4" w:space="0"/>
              <w:bottom w:val="single" w:color="auto" w:sz="4" w:space="0"/>
              <w:right w:val="single" w:color="auto" w:sz="4" w:space="0"/>
            </w:tcBorders>
            <w:vAlign w:val="center"/>
          </w:tcPr>
          <w:p w14:paraId="184945CA">
            <w:pPr>
              <w:rPr>
                <w:rFonts w:hint="eastAsia" w:ascii="宋体" w:hAnsi="宋体"/>
                <w:sz w:val="18"/>
                <w:szCs w:val="18"/>
              </w:rPr>
            </w:pPr>
            <w:r>
              <w:rPr>
                <w:rFonts w:hint="eastAsia" w:ascii="宋体" w:hAnsi="宋体"/>
                <w:sz w:val="18"/>
                <w:szCs w:val="18"/>
              </w:rPr>
              <w:t>郑州维修部地址</w:t>
            </w:r>
          </w:p>
        </w:tc>
        <w:tc>
          <w:tcPr>
            <w:tcW w:w="4016" w:type="dxa"/>
            <w:tcBorders>
              <w:top w:val="single" w:color="auto" w:sz="4" w:space="0"/>
              <w:left w:val="single" w:color="auto" w:sz="4" w:space="0"/>
              <w:bottom w:val="single" w:color="auto" w:sz="4" w:space="0"/>
              <w:right w:val="single" w:color="auto" w:sz="4" w:space="0"/>
            </w:tcBorders>
            <w:vAlign w:val="center"/>
          </w:tcPr>
          <w:p w14:paraId="4E071FD0">
            <w:pPr>
              <w:rPr>
                <w:rFonts w:hint="eastAsia" w:ascii="宋体" w:hAnsi="宋体"/>
                <w:sz w:val="18"/>
                <w:szCs w:val="18"/>
              </w:rPr>
            </w:pPr>
            <w:r>
              <w:rPr>
                <w:rFonts w:hint="eastAsia" w:ascii="宋体" w:hAnsi="宋体"/>
                <w:sz w:val="18"/>
                <w:szCs w:val="18"/>
              </w:rPr>
              <w:t>河南省郑州市高新技术开发区迎春街1</w:t>
            </w:r>
            <w:r>
              <w:rPr>
                <w:rFonts w:ascii="宋体" w:hAnsi="宋体"/>
                <w:sz w:val="18"/>
                <w:szCs w:val="18"/>
              </w:rPr>
              <w:t>8</w:t>
            </w:r>
            <w:r>
              <w:rPr>
                <w:rFonts w:hint="eastAsia" w:ascii="宋体" w:hAnsi="宋体"/>
                <w:sz w:val="18"/>
                <w:szCs w:val="18"/>
              </w:rPr>
              <w:t>号</w:t>
            </w:r>
          </w:p>
        </w:tc>
        <w:tc>
          <w:tcPr>
            <w:tcW w:w="878" w:type="dxa"/>
            <w:tcBorders>
              <w:top w:val="single" w:color="auto" w:sz="4" w:space="0"/>
              <w:left w:val="single" w:color="auto" w:sz="4" w:space="0"/>
              <w:bottom w:val="single" w:color="auto" w:sz="4" w:space="0"/>
              <w:right w:val="single" w:color="auto" w:sz="4" w:space="0"/>
            </w:tcBorders>
            <w:vAlign w:val="center"/>
          </w:tcPr>
          <w:p w14:paraId="025C48B5">
            <w:pPr>
              <w:rPr>
                <w:rFonts w:hint="eastAsia" w:ascii="宋体" w:hAnsi="宋体"/>
                <w:sz w:val="18"/>
                <w:szCs w:val="18"/>
              </w:rPr>
            </w:pPr>
          </w:p>
        </w:tc>
      </w:tr>
      <w:tr w14:paraId="7403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12B01850">
            <w:pPr>
              <w:jc w:val="center"/>
              <w:rPr>
                <w:rFonts w:hint="eastAsia" w:ascii="宋体" w:hAnsi="宋体"/>
                <w:sz w:val="18"/>
                <w:szCs w:val="18"/>
              </w:rPr>
            </w:pPr>
            <w:r>
              <w:rPr>
                <w:rFonts w:hint="eastAsia"/>
                <w:sz w:val="18"/>
                <w:szCs w:val="18"/>
              </w:rPr>
              <w:t>19</w:t>
            </w:r>
          </w:p>
        </w:tc>
        <w:tc>
          <w:tcPr>
            <w:tcW w:w="3758" w:type="dxa"/>
            <w:tcBorders>
              <w:top w:val="single" w:color="auto" w:sz="4" w:space="0"/>
              <w:left w:val="single" w:color="auto" w:sz="4" w:space="0"/>
              <w:bottom w:val="single" w:color="auto" w:sz="4" w:space="0"/>
              <w:right w:val="single" w:color="auto" w:sz="4" w:space="0"/>
            </w:tcBorders>
            <w:vAlign w:val="center"/>
          </w:tcPr>
          <w:p w14:paraId="08A1756E">
            <w:pPr>
              <w:spacing w:line="360" w:lineRule="auto"/>
              <w:rPr>
                <w:rFonts w:hint="eastAsia" w:ascii="宋体" w:hAnsi="宋体"/>
                <w:sz w:val="18"/>
                <w:szCs w:val="18"/>
              </w:rPr>
            </w:pPr>
            <w:r>
              <w:rPr>
                <w:rFonts w:hint="eastAsia" w:ascii="宋体" w:hAnsi="宋体"/>
                <w:sz w:val="18"/>
                <w:szCs w:val="18"/>
              </w:rPr>
              <w:t>联系人</w:t>
            </w:r>
          </w:p>
        </w:tc>
        <w:tc>
          <w:tcPr>
            <w:tcW w:w="4016" w:type="dxa"/>
            <w:tcBorders>
              <w:top w:val="single" w:color="auto" w:sz="4" w:space="0"/>
              <w:left w:val="single" w:color="auto" w:sz="4" w:space="0"/>
              <w:bottom w:val="single" w:color="auto" w:sz="4" w:space="0"/>
              <w:right w:val="single" w:color="auto" w:sz="4" w:space="0"/>
            </w:tcBorders>
            <w:vAlign w:val="center"/>
          </w:tcPr>
          <w:p w14:paraId="3522B190">
            <w:pPr>
              <w:rPr>
                <w:rFonts w:hint="eastAsia" w:ascii="宋体" w:hAnsi="宋体"/>
                <w:sz w:val="18"/>
                <w:szCs w:val="18"/>
              </w:rPr>
            </w:pPr>
            <w:r>
              <w:rPr>
                <w:rFonts w:hint="eastAsia" w:ascii="宋体" w:hAnsi="宋体"/>
                <w:sz w:val="18"/>
                <w:szCs w:val="18"/>
              </w:rPr>
              <w:t>刘亚东</w:t>
            </w:r>
          </w:p>
        </w:tc>
        <w:tc>
          <w:tcPr>
            <w:tcW w:w="878" w:type="dxa"/>
            <w:tcBorders>
              <w:top w:val="single" w:color="auto" w:sz="4" w:space="0"/>
              <w:left w:val="single" w:color="auto" w:sz="4" w:space="0"/>
              <w:bottom w:val="single" w:color="auto" w:sz="4" w:space="0"/>
              <w:right w:val="single" w:color="auto" w:sz="4" w:space="0"/>
            </w:tcBorders>
            <w:vAlign w:val="center"/>
          </w:tcPr>
          <w:p w14:paraId="0F02A86C">
            <w:pPr>
              <w:rPr>
                <w:rFonts w:hint="eastAsia" w:ascii="宋体" w:hAnsi="宋体"/>
                <w:sz w:val="18"/>
                <w:szCs w:val="18"/>
              </w:rPr>
            </w:pPr>
          </w:p>
        </w:tc>
      </w:tr>
      <w:tr w14:paraId="7B72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577AE0D4">
            <w:pPr>
              <w:jc w:val="center"/>
              <w:rPr>
                <w:rFonts w:hint="eastAsia" w:ascii="宋体" w:hAnsi="宋体"/>
                <w:sz w:val="18"/>
                <w:szCs w:val="18"/>
              </w:rPr>
            </w:pPr>
            <w:r>
              <w:rPr>
                <w:rFonts w:hint="eastAsia"/>
                <w:sz w:val="18"/>
                <w:szCs w:val="18"/>
              </w:rPr>
              <w:t>20</w:t>
            </w:r>
          </w:p>
        </w:tc>
        <w:tc>
          <w:tcPr>
            <w:tcW w:w="3758" w:type="dxa"/>
            <w:tcBorders>
              <w:top w:val="single" w:color="auto" w:sz="4" w:space="0"/>
              <w:left w:val="single" w:color="auto" w:sz="4" w:space="0"/>
              <w:bottom w:val="single" w:color="auto" w:sz="4" w:space="0"/>
              <w:right w:val="single" w:color="auto" w:sz="4" w:space="0"/>
            </w:tcBorders>
            <w:vAlign w:val="center"/>
          </w:tcPr>
          <w:p w14:paraId="201008BF">
            <w:pPr>
              <w:spacing w:line="360" w:lineRule="auto"/>
              <w:rPr>
                <w:rFonts w:hint="eastAsia" w:ascii="宋体" w:hAnsi="宋体"/>
                <w:sz w:val="18"/>
                <w:szCs w:val="18"/>
              </w:rPr>
            </w:pPr>
            <w:r>
              <w:rPr>
                <w:rFonts w:hint="eastAsia" w:ascii="宋体" w:hAnsi="宋体"/>
                <w:sz w:val="18"/>
                <w:szCs w:val="18"/>
              </w:rPr>
              <w:t>联系电话</w:t>
            </w:r>
          </w:p>
        </w:tc>
        <w:tc>
          <w:tcPr>
            <w:tcW w:w="4016" w:type="dxa"/>
            <w:tcBorders>
              <w:top w:val="single" w:color="auto" w:sz="4" w:space="0"/>
              <w:left w:val="single" w:color="auto" w:sz="4" w:space="0"/>
              <w:bottom w:val="single" w:color="auto" w:sz="4" w:space="0"/>
              <w:right w:val="single" w:color="auto" w:sz="4" w:space="0"/>
            </w:tcBorders>
            <w:vAlign w:val="center"/>
          </w:tcPr>
          <w:p w14:paraId="222C5829">
            <w:pPr>
              <w:rPr>
                <w:rFonts w:hint="eastAsia" w:ascii="宋体" w:hAnsi="宋体"/>
                <w:sz w:val="18"/>
                <w:szCs w:val="18"/>
              </w:rPr>
            </w:pPr>
            <w:r>
              <w:rPr>
                <w:rFonts w:ascii="宋体" w:hAnsi="宋体"/>
                <w:sz w:val="18"/>
                <w:szCs w:val="18"/>
              </w:rPr>
              <w:t>17737135965</w:t>
            </w:r>
          </w:p>
        </w:tc>
        <w:tc>
          <w:tcPr>
            <w:tcW w:w="878" w:type="dxa"/>
            <w:tcBorders>
              <w:top w:val="single" w:color="auto" w:sz="4" w:space="0"/>
              <w:left w:val="single" w:color="auto" w:sz="4" w:space="0"/>
              <w:bottom w:val="single" w:color="auto" w:sz="4" w:space="0"/>
              <w:right w:val="single" w:color="auto" w:sz="4" w:space="0"/>
            </w:tcBorders>
            <w:vAlign w:val="center"/>
          </w:tcPr>
          <w:p w14:paraId="1A3EEF65">
            <w:pPr>
              <w:rPr>
                <w:rFonts w:hint="eastAsia" w:ascii="宋体" w:hAnsi="宋体"/>
                <w:sz w:val="18"/>
                <w:szCs w:val="18"/>
              </w:rPr>
            </w:pPr>
          </w:p>
        </w:tc>
      </w:tr>
      <w:tr w14:paraId="37C1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78BC8932">
            <w:pPr>
              <w:jc w:val="center"/>
              <w:rPr>
                <w:rFonts w:hint="eastAsia" w:ascii="宋体" w:hAnsi="宋体"/>
                <w:sz w:val="18"/>
                <w:szCs w:val="18"/>
              </w:rPr>
            </w:pPr>
            <w:r>
              <w:rPr>
                <w:rFonts w:hint="eastAsia"/>
                <w:sz w:val="18"/>
                <w:szCs w:val="18"/>
              </w:rPr>
              <w:t>21</w:t>
            </w:r>
          </w:p>
        </w:tc>
        <w:tc>
          <w:tcPr>
            <w:tcW w:w="3758" w:type="dxa"/>
            <w:tcBorders>
              <w:top w:val="single" w:color="auto" w:sz="4" w:space="0"/>
              <w:left w:val="single" w:color="auto" w:sz="4" w:space="0"/>
              <w:bottom w:val="single" w:color="auto" w:sz="4" w:space="0"/>
              <w:right w:val="single" w:color="auto" w:sz="4" w:space="0"/>
            </w:tcBorders>
            <w:vAlign w:val="center"/>
          </w:tcPr>
          <w:p w14:paraId="73E83979">
            <w:pPr>
              <w:rPr>
                <w:rFonts w:hint="eastAsia" w:ascii="宋体" w:hAnsi="宋体"/>
                <w:sz w:val="18"/>
                <w:szCs w:val="18"/>
              </w:rPr>
            </w:pPr>
            <w:r>
              <w:rPr>
                <w:rFonts w:hint="eastAsia" w:ascii="宋体" w:hAnsi="宋体"/>
                <w:sz w:val="18"/>
                <w:szCs w:val="18"/>
              </w:rPr>
              <w:t>维修服务热线</w:t>
            </w:r>
          </w:p>
        </w:tc>
        <w:tc>
          <w:tcPr>
            <w:tcW w:w="4016" w:type="dxa"/>
            <w:tcBorders>
              <w:top w:val="single" w:color="auto" w:sz="4" w:space="0"/>
              <w:left w:val="single" w:color="auto" w:sz="4" w:space="0"/>
              <w:bottom w:val="single" w:color="auto" w:sz="4" w:space="0"/>
              <w:right w:val="single" w:color="auto" w:sz="4" w:space="0"/>
            </w:tcBorders>
            <w:vAlign w:val="center"/>
          </w:tcPr>
          <w:p w14:paraId="2EF1CFF8">
            <w:pPr>
              <w:rPr>
                <w:rFonts w:hint="eastAsia" w:ascii="宋体" w:hAnsi="宋体"/>
                <w:sz w:val="18"/>
                <w:szCs w:val="18"/>
              </w:rPr>
            </w:pPr>
            <w:r>
              <w:rPr>
                <w:rFonts w:ascii="宋体" w:hAnsi="宋体"/>
                <w:sz w:val="18"/>
                <w:szCs w:val="18"/>
              </w:rPr>
              <w:t>4006-300248</w:t>
            </w:r>
          </w:p>
        </w:tc>
        <w:tc>
          <w:tcPr>
            <w:tcW w:w="878" w:type="dxa"/>
            <w:tcBorders>
              <w:top w:val="single" w:color="auto" w:sz="4" w:space="0"/>
              <w:left w:val="single" w:color="auto" w:sz="4" w:space="0"/>
              <w:bottom w:val="single" w:color="auto" w:sz="4" w:space="0"/>
              <w:right w:val="single" w:color="auto" w:sz="4" w:space="0"/>
            </w:tcBorders>
            <w:vAlign w:val="center"/>
          </w:tcPr>
          <w:p w14:paraId="0DC41E0F">
            <w:pPr>
              <w:rPr>
                <w:rFonts w:hint="eastAsia" w:ascii="宋体" w:hAnsi="宋体"/>
                <w:sz w:val="18"/>
                <w:szCs w:val="18"/>
              </w:rPr>
            </w:pPr>
          </w:p>
        </w:tc>
      </w:tr>
      <w:tr w14:paraId="4FE0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2571CDD4">
            <w:pPr>
              <w:jc w:val="center"/>
              <w:rPr>
                <w:rFonts w:hint="eastAsia" w:ascii="宋体" w:hAnsi="宋体"/>
                <w:sz w:val="18"/>
                <w:szCs w:val="18"/>
              </w:rPr>
            </w:pPr>
            <w:r>
              <w:rPr>
                <w:rFonts w:hint="eastAsia"/>
                <w:sz w:val="18"/>
                <w:szCs w:val="18"/>
              </w:rPr>
              <w:t>22</w:t>
            </w:r>
          </w:p>
        </w:tc>
        <w:tc>
          <w:tcPr>
            <w:tcW w:w="3758" w:type="dxa"/>
            <w:tcBorders>
              <w:top w:val="single" w:color="auto" w:sz="4" w:space="0"/>
              <w:left w:val="single" w:color="auto" w:sz="4" w:space="0"/>
              <w:bottom w:val="single" w:color="auto" w:sz="4" w:space="0"/>
              <w:right w:val="single" w:color="auto" w:sz="4" w:space="0"/>
            </w:tcBorders>
            <w:vAlign w:val="center"/>
          </w:tcPr>
          <w:p w14:paraId="19F202F4">
            <w:pPr>
              <w:rPr>
                <w:rFonts w:hint="eastAsia" w:ascii="宋体" w:hAnsi="宋体"/>
                <w:sz w:val="18"/>
                <w:szCs w:val="18"/>
              </w:rPr>
            </w:pPr>
            <w:r>
              <w:rPr>
                <w:rFonts w:hint="eastAsia" w:ascii="宋体" w:hAnsi="宋体"/>
                <w:sz w:val="18"/>
                <w:szCs w:val="18"/>
              </w:rPr>
              <w:t>其他承诺</w:t>
            </w:r>
          </w:p>
        </w:tc>
        <w:tc>
          <w:tcPr>
            <w:tcW w:w="4016" w:type="dxa"/>
            <w:tcBorders>
              <w:top w:val="single" w:color="auto" w:sz="4" w:space="0"/>
              <w:left w:val="single" w:color="auto" w:sz="4" w:space="0"/>
              <w:bottom w:val="single" w:color="auto" w:sz="4" w:space="0"/>
              <w:right w:val="single" w:color="auto" w:sz="4" w:space="0"/>
            </w:tcBorders>
            <w:vAlign w:val="center"/>
          </w:tcPr>
          <w:p w14:paraId="7468024F">
            <w:pPr>
              <w:rPr>
                <w:rFonts w:hint="eastAsia" w:ascii="宋体" w:hAnsi="宋体"/>
                <w:sz w:val="18"/>
                <w:szCs w:val="18"/>
              </w:rPr>
            </w:pPr>
            <w:r>
              <w:rPr>
                <w:rFonts w:hint="eastAsia" w:ascii="宋体" w:hAnsi="宋体"/>
                <w:sz w:val="18"/>
                <w:szCs w:val="18"/>
              </w:rPr>
              <w:t>无</w:t>
            </w:r>
          </w:p>
        </w:tc>
        <w:tc>
          <w:tcPr>
            <w:tcW w:w="878" w:type="dxa"/>
            <w:tcBorders>
              <w:top w:val="single" w:color="auto" w:sz="4" w:space="0"/>
              <w:left w:val="single" w:color="auto" w:sz="4" w:space="0"/>
              <w:bottom w:val="single" w:color="auto" w:sz="4" w:space="0"/>
              <w:right w:val="single" w:color="auto" w:sz="4" w:space="0"/>
            </w:tcBorders>
            <w:vAlign w:val="center"/>
          </w:tcPr>
          <w:p w14:paraId="552D8F54">
            <w:pPr>
              <w:rPr>
                <w:rFonts w:hint="eastAsia" w:ascii="宋体" w:hAnsi="宋体"/>
                <w:sz w:val="18"/>
                <w:szCs w:val="18"/>
              </w:rPr>
            </w:pPr>
          </w:p>
        </w:tc>
      </w:tr>
    </w:tbl>
    <w:p w14:paraId="61279E13">
      <w:pPr>
        <w:spacing w:line="360" w:lineRule="auto"/>
        <w:rPr>
          <w:rFonts w:hint="eastAsia" w:ascii="宋体" w:hAnsi="宋体" w:eastAsia="宋体" w:cs="Times New Roman"/>
          <w:b/>
          <w:color w:val="auto"/>
          <w:sz w:val="24"/>
          <w:szCs w:val="24"/>
        </w:rPr>
      </w:pPr>
    </w:p>
    <w:p w14:paraId="58BF6297">
      <w:pPr>
        <w:spacing w:line="360" w:lineRule="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承诺公司签字（盖章）：</w:t>
      </w:r>
    </w:p>
    <w:p w14:paraId="07C0D846">
      <w:pPr>
        <w:widowControl/>
        <w:jc w:val="left"/>
      </w:pPr>
      <w:r>
        <w:br w:type="page"/>
      </w:r>
    </w:p>
    <w:p w14:paraId="04494D99">
      <w:pPr>
        <w:pStyle w:val="3"/>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rPr>
        <w:t>附件</w:t>
      </w:r>
      <w:r>
        <w:rPr>
          <w:rFonts w:hint="eastAsia" w:ascii="黑体" w:hAnsi="黑体" w:eastAsia="黑体" w:cs="黑体"/>
          <w:color w:val="auto"/>
          <w:sz w:val="24"/>
          <w:szCs w:val="24"/>
          <w:lang w:val="en-US" w:eastAsia="zh-CN"/>
        </w:rPr>
        <w:t>5</w:t>
      </w:r>
    </w:p>
    <w:p w14:paraId="0F05D573">
      <w:pPr>
        <w:pStyle w:val="3"/>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中标货物安装培训计划</w:t>
      </w:r>
    </w:p>
    <w:p w14:paraId="7C36171F">
      <w:pPr>
        <w:pStyle w:val="75"/>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firstLine="480"/>
        <w:textAlignment w:val="auto"/>
        <w:rPr>
          <w:rFonts w:hint="eastAsia" w:ascii="宋体" w:hAnsi="宋体" w:eastAsia="宋体" w:cs="宋体"/>
          <w:sz w:val="21"/>
          <w:szCs w:val="21"/>
        </w:rPr>
      </w:pPr>
      <w:r>
        <w:rPr>
          <w:rFonts w:hint="eastAsia" w:ascii="宋体" w:hAnsi="宋体" w:eastAsia="宋体" w:cs="宋体"/>
          <w:sz w:val="21"/>
          <w:szCs w:val="21"/>
        </w:rPr>
        <w:t>本项目建设体量大、范围广，所以从项目建设到上线运行的整个业务过程中要做好充足的技术服务培训工作显得尤为重要。培训目标：现场培训，不限人数，所有的培训教员保证用中文授课；根据项目的特点合理安排培训；培训内容使得受训人员能够独立使用和进行产品的维护，能够完成相关设备的安装、配置、调试。</w:t>
      </w:r>
    </w:p>
    <w:p w14:paraId="4221ED35">
      <w:pPr>
        <w:pStyle w:val="75"/>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firstLine="480"/>
        <w:textAlignment w:val="auto"/>
        <w:rPr>
          <w:rFonts w:hint="eastAsia" w:ascii="宋体" w:hAnsi="宋体" w:eastAsia="宋体" w:cs="宋体"/>
          <w:sz w:val="21"/>
          <w:szCs w:val="21"/>
        </w:rPr>
      </w:pPr>
      <w:r>
        <w:rPr>
          <w:rFonts w:hint="eastAsia" w:ascii="宋体" w:hAnsi="宋体" w:eastAsia="宋体" w:cs="宋体"/>
          <w:sz w:val="21"/>
          <w:szCs w:val="21"/>
        </w:rPr>
        <w:t>系统化培训内容主要针对系统管理员、维护人员、在职老师进行培训和宣传。培训内容以具体角色的使用和管理业务需求出发设定，从系统开始试运行开始即组织培训，培训后在试运行期间内将所学内容进行应用并提供业务补充指导。</w:t>
      </w:r>
    </w:p>
    <w:p w14:paraId="2A95E84A">
      <w:pPr>
        <w:pStyle w:val="75"/>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firstLine="480"/>
        <w:textAlignment w:val="auto"/>
        <w:rPr>
          <w:rFonts w:hint="eastAsia" w:ascii="宋体" w:hAnsi="宋体" w:eastAsia="宋体" w:cs="宋体"/>
          <w:sz w:val="21"/>
          <w:szCs w:val="21"/>
        </w:rPr>
      </w:pPr>
      <w:r>
        <w:rPr>
          <w:rFonts w:hint="eastAsia" w:ascii="宋体" w:hAnsi="宋体" w:eastAsia="宋体" w:cs="宋体"/>
          <w:sz w:val="21"/>
          <w:szCs w:val="21"/>
        </w:rPr>
        <w:t>通过理论讲解和试运行指导培训结合的系统化培训方式，使相关业务的使用人员更好的熟悉系统业务，提高使用人员的技术能力和故障处理能力，实现使用人员熟练掌握系统运行及维护方法。</w:t>
      </w:r>
    </w:p>
    <w:p w14:paraId="53FD3726">
      <w:pPr>
        <w:pStyle w:val="75"/>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firstLine="480"/>
        <w:textAlignment w:val="auto"/>
        <w:rPr>
          <w:rFonts w:hint="eastAsia" w:ascii="宋体" w:hAnsi="宋体" w:eastAsia="宋体" w:cs="宋体"/>
          <w:sz w:val="21"/>
          <w:szCs w:val="21"/>
        </w:rPr>
      </w:pPr>
      <w:r>
        <w:rPr>
          <w:rFonts w:hint="eastAsia" w:ascii="宋体" w:hAnsi="宋体" w:eastAsia="宋体" w:cs="宋体"/>
          <w:sz w:val="21"/>
          <w:szCs w:val="21"/>
        </w:rPr>
        <w:t>培训工作需要校方提前安排好对应工作岗位人员并参与培训，培训后进入系统试运行应用，同时通过试运行应用中的再指导培训保证被培训人员适岗。培训公开课由校方组织，在公开会场举行，为老师们更容易的使用当前系统进行使用讲解。</w:t>
      </w:r>
    </w:p>
    <w:p w14:paraId="34398599">
      <w:pPr>
        <w:pStyle w:val="75"/>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firstLine="480"/>
        <w:textAlignment w:val="auto"/>
        <w:rPr>
          <w:rFonts w:hint="eastAsia" w:ascii="宋体" w:hAnsi="宋体" w:eastAsia="宋体" w:cs="宋体"/>
          <w:sz w:val="21"/>
          <w:szCs w:val="21"/>
        </w:rPr>
      </w:pPr>
      <w:r>
        <w:rPr>
          <w:rFonts w:hint="eastAsia" w:ascii="宋体" w:hAnsi="宋体" w:eastAsia="宋体" w:cs="宋体"/>
          <w:sz w:val="21"/>
          <w:szCs w:val="21"/>
        </w:rPr>
        <w:t>为了保证培训效果，项目建设完成后进行培训安排，利用现场实际环境开展针对性培训。培训负责人和学校培训负责人协商，确定培训场地。培训场地要求如下：</w:t>
      </w:r>
    </w:p>
    <w:p w14:paraId="1DC6FB6D">
      <w:pPr>
        <w:pStyle w:val="75"/>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400" w:lineRule="exact"/>
        <w:ind w:firstLine="480"/>
        <w:textAlignment w:val="auto"/>
        <w:rPr>
          <w:rFonts w:hint="eastAsia" w:ascii="宋体" w:hAnsi="宋体" w:eastAsia="宋体" w:cs="宋体"/>
          <w:sz w:val="21"/>
          <w:szCs w:val="21"/>
        </w:rPr>
      </w:pPr>
      <w:r>
        <w:rPr>
          <w:rFonts w:hint="eastAsia" w:ascii="宋体" w:hAnsi="宋体" w:eastAsia="宋体" w:cs="宋体"/>
          <w:sz w:val="21"/>
          <w:szCs w:val="21"/>
        </w:rPr>
        <w:t>需要宽敞明亮，桌椅设施齐全，方便书写笔记</w:t>
      </w:r>
    </w:p>
    <w:p w14:paraId="75A84AF4">
      <w:pPr>
        <w:pStyle w:val="75"/>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40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具备必要的投影仪、网络、电源，满足培训需要</w:t>
      </w:r>
    </w:p>
    <w:p w14:paraId="545061FC">
      <w:pPr>
        <w:pStyle w:val="75"/>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40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具备网络设施，能够接入系统及各应用系统进行操作演示，带宽要满足培训需求。</w:t>
      </w:r>
    </w:p>
    <w:p w14:paraId="4A4961B4">
      <w:pPr>
        <w:pStyle w:val="75"/>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40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具备校内主要硬件，能够满足培训人员实践操作。</w:t>
      </w:r>
    </w:p>
    <w:tbl>
      <w:tblPr>
        <w:tblStyle w:val="3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022"/>
        <w:gridCol w:w="3061"/>
        <w:gridCol w:w="1863"/>
        <w:gridCol w:w="1235"/>
        <w:gridCol w:w="815"/>
      </w:tblGrid>
      <w:tr w14:paraId="65F7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16EDBBC3">
            <w:pPr>
              <w:jc w:val="center"/>
              <w:rPr>
                <w:rFonts w:hint="eastAsia" w:ascii="黑体" w:hAnsi="黑体" w:eastAsia="黑体" w:cs="黑体"/>
                <w:sz w:val="18"/>
                <w:szCs w:val="18"/>
              </w:rPr>
            </w:pPr>
            <w:r>
              <w:rPr>
                <w:rFonts w:hint="eastAsia" w:ascii="黑体" w:hAnsi="黑体" w:eastAsia="黑体" w:cs="黑体"/>
                <w:sz w:val="18"/>
                <w:szCs w:val="18"/>
              </w:rPr>
              <w:t>序号</w:t>
            </w:r>
          </w:p>
        </w:tc>
        <w:tc>
          <w:tcPr>
            <w:tcW w:w="1022" w:type="dxa"/>
            <w:vAlign w:val="center"/>
          </w:tcPr>
          <w:p w14:paraId="3948F145">
            <w:pPr>
              <w:jc w:val="center"/>
              <w:rPr>
                <w:rFonts w:hint="eastAsia" w:ascii="黑体" w:hAnsi="黑体" w:eastAsia="黑体" w:cs="黑体"/>
                <w:sz w:val="18"/>
                <w:szCs w:val="18"/>
              </w:rPr>
            </w:pPr>
            <w:r>
              <w:rPr>
                <w:rFonts w:hint="eastAsia" w:ascii="黑体" w:hAnsi="黑体" w:eastAsia="黑体" w:cs="黑体"/>
                <w:sz w:val="18"/>
                <w:szCs w:val="18"/>
              </w:rPr>
              <w:t>储备对象</w:t>
            </w:r>
          </w:p>
        </w:tc>
        <w:tc>
          <w:tcPr>
            <w:tcW w:w="3061" w:type="dxa"/>
            <w:vAlign w:val="center"/>
          </w:tcPr>
          <w:p w14:paraId="3E5CBE35">
            <w:pPr>
              <w:jc w:val="center"/>
              <w:rPr>
                <w:rFonts w:hint="eastAsia" w:ascii="黑体" w:hAnsi="黑体" w:eastAsia="黑体" w:cs="黑体"/>
                <w:sz w:val="18"/>
                <w:szCs w:val="18"/>
              </w:rPr>
            </w:pPr>
            <w:r>
              <w:rPr>
                <w:rFonts w:hint="eastAsia" w:ascii="黑体" w:hAnsi="黑体" w:eastAsia="黑体" w:cs="黑体"/>
                <w:sz w:val="18"/>
                <w:szCs w:val="18"/>
              </w:rPr>
              <w:t>储备目标能力</w:t>
            </w:r>
          </w:p>
        </w:tc>
        <w:tc>
          <w:tcPr>
            <w:tcW w:w="1863" w:type="dxa"/>
            <w:vAlign w:val="center"/>
          </w:tcPr>
          <w:p w14:paraId="06F9BE71">
            <w:pPr>
              <w:jc w:val="center"/>
              <w:rPr>
                <w:rFonts w:hint="eastAsia" w:ascii="黑体" w:hAnsi="黑体" w:eastAsia="黑体" w:cs="黑体"/>
                <w:sz w:val="18"/>
                <w:szCs w:val="18"/>
              </w:rPr>
            </w:pPr>
            <w:r>
              <w:rPr>
                <w:rFonts w:hint="eastAsia" w:ascii="黑体" w:hAnsi="黑体" w:eastAsia="黑体" w:cs="黑体"/>
                <w:sz w:val="18"/>
                <w:szCs w:val="18"/>
              </w:rPr>
              <w:t>储备部门</w:t>
            </w:r>
          </w:p>
        </w:tc>
        <w:tc>
          <w:tcPr>
            <w:tcW w:w="1235" w:type="dxa"/>
            <w:vAlign w:val="center"/>
          </w:tcPr>
          <w:p w14:paraId="360B9798">
            <w:pPr>
              <w:jc w:val="center"/>
              <w:rPr>
                <w:rFonts w:hint="eastAsia" w:ascii="黑体" w:hAnsi="黑体" w:eastAsia="黑体" w:cs="黑体"/>
                <w:sz w:val="18"/>
                <w:szCs w:val="18"/>
              </w:rPr>
            </w:pPr>
            <w:r>
              <w:rPr>
                <w:rFonts w:hint="eastAsia" w:ascii="黑体" w:hAnsi="黑体" w:eastAsia="黑体" w:cs="黑体"/>
                <w:sz w:val="18"/>
                <w:szCs w:val="18"/>
              </w:rPr>
              <w:t>储备人数</w:t>
            </w:r>
          </w:p>
        </w:tc>
        <w:tc>
          <w:tcPr>
            <w:tcW w:w="815" w:type="dxa"/>
            <w:vAlign w:val="center"/>
          </w:tcPr>
          <w:p w14:paraId="2D84CE81">
            <w:pPr>
              <w:jc w:val="cente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培训</w:t>
            </w:r>
          </w:p>
          <w:p w14:paraId="75C371F1">
            <w:pPr>
              <w:jc w:val="center"/>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时间</w:t>
            </w:r>
          </w:p>
        </w:tc>
      </w:tr>
      <w:tr w14:paraId="06C7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51F7307C">
            <w:pPr>
              <w:jc w:val="center"/>
              <w:rPr>
                <w:sz w:val="18"/>
                <w:szCs w:val="18"/>
              </w:rPr>
            </w:pPr>
            <w:r>
              <w:rPr>
                <w:rFonts w:hint="eastAsia"/>
                <w:sz w:val="18"/>
                <w:szCs w:val="18"/>
              </w:rPr>
              <w:t>1</w:t>
            </w:r>
          </w:p>
        </w:tc>
        <w:tc>
          <w:tcPr>
            <w:tcW w:w="1022" w:type="dxa"/>
            <w:vAlign w:val="center"/>
          </w:tcPr>
          <w:p w14:paraId="37C51A99">
            <w:pPr>
              <w:jc w:val="center"/>
              <w:rPr>
                <w:rFonts w:hint="eastAsia"/>
                <w:sz w:val="18"/>
                <w:szCs w:val="18"/>
              </w:rPr>
            </w:pPr>
            <w:r>
              <w:rPr>
                <w:rFonts w:hint="eastAsia"/>
                <w:sz w:val="18"/>
                <w:szCs w:val="18"/>
              </w:rPr>
              <w:t>消费操</w:t>
            </w:r>
          </w:p>
          <w:p w14:paraId="130BF465">
            <w:pPr>
              <w:jc w:val="center"/>
              <w:rPr>
                <w:sz w:val="18"/>
                <w:szCs w:val="18"/>
              </w:rPr>
            </w:pPr>
            <w:r>
              <w:rPr>
                <w:rFonts w:hint="eastAsia"/>
                <w:sz w:val="18"/>
                <w:szCs w:val="18"/>
              </w:rPr>
              <w:t>作员</w:t>
            </w:r>
          </w:p>
        </w:tc>
        <w:tc>
          <w:tcPr>
            <w:tcW w:w="3061" w:type="dxa"/>
            <w:vAlign w:val="center"/>
          </w:tcPr>
          <w:p w14:paraId="4CAB7705">
            <w:pPr>
              <w:jc w:val="both"/>
              <w:rPr>
                <w:sz w:val="18"/>
                <w:szCs w:val="18"/>
              </w:rPr>
            </w:pPr>
            <w:r>
              <w:rPr>
                <w:rFonts w:hint="eastAsia"/>
                <w:sz w:val="18"/>
                <w:szCs w:val="18"/>
              </w:rPr>
              <w:t>1.熟练掌握消费终端按键消费、定额消费、营业额查询、开关机等业务</w:t>
            </w:r>
          </w:p>
          <w:p w14:paraId="6901DAB9">
            <w:pPr>
              <w:jc w:val="both"/>
              <w:rPr>
                <w:sz w:val="18"/>
                <w:szCs w:val="18"/>
              </w:rPr>
            </w:pPr>
            <w:r>
              <w:rPr>
                <w:rFonts w:hint="eastAsia"/>
                <w:sz w:val="18"/>
                <w:szCs w:val="18"/>
              </w:rPr>
              <w:t>2</w:t>
            </w:r>
            <w:r>
              <w:rPr>
                <w:sz w:val="18"/>
                <w:szCs w:val="18"/>
              </w:rPr>
              <w:t>.</w:t>
            </w:r>
            <w:r>
              <w:rPr>
                <w:rFonts w:hint="eastAsia"/>
                <w:sz w:val="18"/>
                <w:szCs w:val="18"/>
              </w:rPr>
              <w:t>熟知设备保养</w:t>
            </w:r>
          </w:p>
          <w:p w14:paraId="0730D83B">
            <w:pPr>
              <w:jc w:val="both"/>
              <w:rPr>
                <w:sz w:val="18"/>
                <w:szCs w:val="18"/>
              </w:rPr>
            </w:pPr>
            <w:r>
              <w:rPr>
                <w:rFonts w:hint="eastAsia"/>
                <w:sz w:val="18"/>
                <w:szCs w:val="18"/>
              </w:rPr>
              <w:t>3.具备常见问题解决能力</w:t>
            </w:r>
          </w:p>
        </w:tc>
        <w:tc>
          <w:tcPr>
            <w:tcW w:w="1863" w:type="dxa"/>
            <w:vAlign w:val="center"/>
          </w:tcPr>
          <w:p w14:paraId="77E40DEC">
            <w:pPr>
              <w:jc w:val="center"/>
              <w:rPr>
                <w:sz w:val="18"/>
                <w:szCs w:val="18"/>
              </w:rPr>
            </w:pPr>
            <w:r>
              <w:rPr>
                <w:rFonts w:hint="eastAsia"/>
                <w:sz w:val="18"/>
                <w:szCs w:val="18"/>
              </w:rPr>
              <w:t>后勤服务中心以及各个食堂班组</w:t>
            </w:r>
          </w:p>
        </w:tc>
        <w:tc>
          <w:tcPr>
            <w:tcW w:w="1235" w:type="dxa"/>
            <w:vAlign w:val="center"/>
          </w:tcPr>
          <w:p w14:paraId="02F7034F">
            <w:pPr>
              <w:jc w:val="center"/>
              <w:rPr>
                <w:sz w:val="18"/>
                <w:szCs w:val="18"/>
              </w:rPr>
            </w:pPr>
            <w:r>
              <w:rPr>
                <w:rFonts w:hint="eastAsia"/>
                <w:sz w:val="18"/>
                <w:szCs w:val="18"/>
              </w:rPr>
              <w:t>根据学校商户数量确定</w:t>
            </w:r>
          </w:p>
        </w:tc>
        <w:tc>
          <w:tcPr>
            <w:tcW w:w="815" w:type="dxa"/>
            <w:vAlign w:val="center"/>
          </w:tcPr>
          <w:p w14:paraId="5946A8D1">
            <w:pPr>
              <w:jc w:val="center"/>
              <w:rPr>
                <w:sz w:val="18"/>
                <w:szCs w:val="18"/>
              </w:rPr>
            </w:pPr>
            <w:r>
              <w:rPr>
                <w:rFonts w:hint="eastAsia"/>
                <w:sz w:val="18"/>
                <w:szCs w:val="18"/>
              </w:rPr>
              <w:t>试运行前</w:t>
            </w:r>
          </w:p>
        </w:tc>
      </w:tr>
      <w:tr w14:paraId="565C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24E89A0F">
            <w:pPr>
              <w:jc w:val="center"/>
              <w:rPr>
                <w:sz w:val="18"/>
                <w:szCs w:val="18"/>
              </w:rPr>
            </w:pPr>
            <w:r>
              <w:rPr>
                <w:rFonts w:hint="eastAsia"/>
                <w:sz w:val="18"/>
                <w:szCs w:val="18"/>
              </w:rPr>
              <w:t>2</w:t>
            </w:r>
          </w:p>
        </w:tc>
        <w:tc>
          <w:tcPr>
            <w:tcW w:w="1022" w:type="dxa"/>
            <w:vAlign w:val="center"/>
          </w:tcPr>
          <w:p w14:paraId="0A6AF676">
            <w:pPr>
              <w:jc w:val="center"/>
              <w:rPr>
                <w:sz w:val="18"/>
                <w:szCs w:val="18"/>
              </w:rPr>
            </w:pPr>
            <w:r>
              <w:rPr>
                <w:rFonts w:hint="eastAsia"/>
                <w:sz w:val="18"/>
                <w:szCs w:val="18"/>
              </w:rPr>
              <w:t>管理员</w:t>
            </w:r>
          </w:p>
        </w:tc>
        <w:tc>
          <w:tcPr>
            <w:tcW w:w="3061" w:type="dxa"/>
            <w:vAlign w:val="center"/>
          </w:tcPr>
          <w:p w14:paraId="447DCB82">
            <w:pPr>
              <w:jc w:val="both"/>
              <w:rPr>
                <w:sz w:val="18"/>
                <w:szCs w:val="18"/>
              </w:rPr>
            </w:pPr>
            <w:r>
              <w:rPr>
                <w:rFonts w:hint="eastAsia"/>
                <w:sz w:val="18"/>
                <w:szCs w:val="18"/>
              </w:rPr>
              <w:t>1.熟知系统参数设置</w:t>
            </w:r>
          </w:p>
          <w:p w14:paraId="28F50E5F">
            <w:pPr>
              <w:jc w:val="both"/>
              <w:rPr>
                <w:sz w:val="18"/>
                <w:szCs w:val="18"/>
              </w:rPr>
            </w:pPr>
            <w:r>
              <w:rPr>
                <w:rFonts w:hint="eastAsia"/>
                <w:sz w:val="18"/>
                <w:szCs w:val="18"/>
              </w:rPr>
              <w:t>2.熟知设备维护、账号管理、授权管理、信息录入和系统业务架构及业务运行机制</w:t>
            </w:r>
          </w:p>
        </w:tc>
        <w:tc>
          <w:tcPr>
            <w:tcW w:w="1863" w:type="dxa"/>
            <w:vAlign w:val="center"/>
          </w:tcPr>
          <w:p w14:paraId="5C352BAD">
            <w:pPr>
              <w:jc w:val="center"/>
              <w:rPr>
                <w:sz w:val="18"/>
                <w:szCs w:val="18"/>
              </w:rPr>
            </w:pPr>
            <w:r>
              <w:rPr>
                <w:rFonts w:hint="eastAsia"/>
                <w:sz w:val="18"/>
                <w:szCs w:val="18"/>
              </w:rPr>
              <w:t>信息化办公室或后勤服务中心</w:t>
            </w:r>
          </w:p>
        </w:tc>
        <w:tc>
          <w:tcPr>
            <w:tcW w:w="1235" w:type="dxa"/>
            <w:vAlign w:val="center"/>
          </w:tcPr>
          <w:p w14:paraId="7ED96B87">
            <w:pPr>
              <w:jc w:val="center"/>
              <w:rPr>
                <w:sz w:val="18"/>
                <w:szCs w:val="18"/>
              </w:rPr>
            </w:pPr>
            <w:r>
              <w:rPr>
                <w:rFonts w:hint="eastAsia"/>
                <w:sz w:val="18"/>
                <w:szCs w:val="18"/>
              </w:rPr>
              <w:t>1-</w:t>
            </w:r>
            <w:r>
              <w:rPr>
                <w:sz w:val="18"/>
                <w:szCs w:val="18"/>
              </w:rPr>
              <w:t>3</w:t>
            </w:r>
            <w:r>
              <w:rPr>
                <w:rFonts w:hint="eastAsia"/>
                <w:sz w:val="18"/>
                <w:szCs w:val="18"/>
              </w:rPr>
              <w:t>名</w:t>
            </w:r>
          </w:p>
        </w:tc>
        <w:tc>
          <w:tcPr>
            <w:tcW w:w="815" w:type="dxa"/>
            <w:vAlign w:val="center"/>
          </w:tcPr>
          <w:p w14:paraId="75FF1885">
            <w:pPr>
              <w:jc w:val="center"/>
              <w:rPr>
                <w:sz w:val="18"/>
                <w:szCs w:val="18"/>
              </w:rPr>
            </w:pPr>
            <w:r>
              <w:rPr>
                <w:rFonts w:hint="eastAsia"/>
                <w:sz w:val="18"/>
                <w:szCs w:val="18"/>
              </w:rPr>
              <w:t>试运行期间</w:t>
            </w:r>
          </w:p>
        </w:tc>
      </w:tr>
      <w:tr w14:paraId="2C88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392E27EE">
            <w:pPr>
              <w:jc w:val="center"/>
              <w:rPr>
                <w:sz w:val="18"/>
                <w:szCs w:val="18"/>
              </w:rPr>
            </w:pPr>
            <w:r>
              <w:rPr>
                <w:rFonts w:hint="eastAsia"/>
                <w:sz w:val="18"/>
                <w:szCs w:val="18"/>
              </w:rPr>
              <w:t>3</w:t>
            </w:r>
          </w:p>
        </w:tc>
        <w:tc>
          <w:tcPr>
            <w:tcW w:w="1022" w:type="dxa"/>
            <w:vAlign w:val="center"/>
          </w:tcPr>
          <w:p w14:paraId="3ABEA20A">
            <w:pPr>
              <w:jc w:val="center"/>
              <w:rPr>
                <w:sz w:val="18"/>
                <w:szCs w:val="18"/>
              </w:rPr>
            </w:pPr>
            <w:r>
              <w:rPr>
                <w:rFonts w:hint="eastAsia"/>
                <w:sz w:val="18"/>
                <w:szCs w:val="18"/>
              </w:rPr>
              <w:t>系统维护人员</w:t>
            </w:r>
          </w:p>
        </w:tc>
        <w:tc>
          <w:tcPr>
            <w:tcW w:w="3061" w:type="dxa"/>
            <w:vAlign w:val="center"/>
          </w:tcPr>
          <w:p w14:paraId="3E5B2589">
            <w:pPr>
              <w:jc w:val="both"/>
              <w:rPr>
                <w:sz w:val="18"/>
                <w:szCs w:val="18"/>
              </w:rPr>
            </w:pPr>
            <w:r>
              <w:rPr>
                <w:rFonts w:hint="eastAsia"/>
                <w:sz w:val="18"/>
                <w:szCs w:val="18"/>
              </w:rPr>
              <w:t>1.熟知系统平台部署架构</w:t>
            </w:r>
          </w:p>
          <w:p w14:paraId="49BBD2AF">
            <w:pPr>
              <w:jc w:val="both"/>
              <w:rPr>
                <w:sz w:val="18"/>
                <w:szCs w:val="18"/>
              </w:rPr>
            </w:pPr>
            <w:r>
              <w:rPr>
                <w:rFonts w:hint="eastAsia"/>
                <w:sz w:val="18"/>
                <w:szCs w:val="18"/>
              </w:rPr>
              <w:t>2.熟知校内设备终端、用户使用常见问题及解决办法</w:t>
            </w:r>
          </w:p>
        </w:tc>
        <w:tc>
          <w:tcPr>
            <w:tcW w:w="1863" w:type="dxa"/>
            <w:vAlign w:val="center"/>
          </w:tcPr>
          <w:p w14:paraId="458E5C37">
            <w:pPr>
              <w:jc w:val="center"/>
              <w:rPr>
                <w:sz w:val="18"/>
                <w:szCs w:val="18"/>
              </w:rPr>
            </w:pPr>
            <w:r>
              <w:rPr>
                <w:rFonts w:hint="eastAsia"/>
                <w:sz w:val="18"/>
                <w:szCs w:val="18"/>
              </w:rPr>
              <w:t>信息化办公室或后勤服务中心</w:t>
            </w:r>
          </w:p>
        </w:tc>
        <w:tc>
          <w:tcPr>
            <w:tcW w:w="1235" w:type="dxa"/>
            <w:vAlign w:val="center"/>
          </w:tcPr>
          <w:p w14:paraId="01747F41">
            <w:pPr>
              <w:jc w:val="center"/>
              <w:rPr>
                <w:sz w:val="18"/>
                <w:szCs w:val="18"/>
              </w:rPr>
            </w:pPr>
            <w:r>
              <w:rPr>
                <w:sz w:val="18"/>
                <w:szCs w:val="18"/>
              </w:rPr>
              <w:t>1</w:t>
            </w:r>
            <w:r>
              <w:rPr>
                <w:rFonts w:hint="eastAsia"/>
                <w:sz w:val="18"/>
                <w:szCs w:val="18"/>
              </w:rPr>
              <w:t>-</w:t>
            </w:r>
            <w:r>
              <w:rPr>
                <w:sz w:val="18"/>
                <w:szCs w:val="18"/>
              </w:rPr>
              <w:t>15</w:t>
            </w:r>
            <w:r>
              <w:rPr>
                <w:rFonts w:hint="eastAsia"/>
                <w:sz w:val="18"/>
                <w:szCs w:val="18"/>
              </w:rPr>
              <w:t>名</w:t>
            </w:r>
          </w:p>
        </w:tc>
        <w:tc>
          <w:tcPr>
            <w:tcW w:w="815" w:type="dxa"/>
            <w:vAlign w:val="center"/>
          </w:tcPr>
          <w:p w14:paraId="6D4288D9">
            <w:pPr>
              <w:jc w:val="center"/>
              <w:rPr>
                <w:sz w:val="18"/>
                <w:szCs w:val="18"/>
              </w:rPr>
            </w:pPr>
            <w:r>
              <w:rPr>
                <w:rFonts w:hint="eastAsia"/>
                <w:sz w:val="18"/>
                <w:szCs w:val="18"/>
              </w:rPr>
              <w:t>试运行前</w:t>
            </w:r>
          </w:p>
        </w:tc>
      </w:tr>
      <w:tr w14:paraId="2FB5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1956CDE0">
            <w:pPr>
              <w:jc w:val="center"/>
              <w:rPr>
                <w:sz w:val="18"/>
                <w:szCs w:val="18"/>
              </w:rPr>
            </w:pPr>
            <w:r>
              <w:rPr>
                <w:rFonts w:hint="eastAsia"/>
                <w:sz w:val="18"/>
                <w:szCs w:val="18"/>
              </w:rPr>
              <w:t>4</w:t>
            </w:r>
          </w:p>
        </w:tc>
        <w:tc>
          <w:tcPr>
            <w:tcW w:w="1022" w:type="dxa"/>
            <w:vAlign w:val="center"/>
          </w:tcPr>
          <w:p w14:paraId="3224C5B8">
            <w:pPr>
              <w:jc w:val="center"/>
              <w:rPr>
                <w:sz w:val="18"/>
                <w:szCs w:val="18"/>
              </w:rPr>
            </w:pPr>
            <w:r>
              <w:rPr>
                <w:rFonts w:hint="eastAsia"/>
                <w:sz w:val="18"/>
                <w:szCs w:val="18"/>
              </w:rPr>
              <w:t>数据中心维护人员</w:t>
            </w:r>
          </w:p>
        </w:tc>
        <w:tc>
          <w:tcPr>
            <w:tcW w:w="3061" w:type="dxa"/>
            <w:vAlign w:val="center"/>
          </w:tcPr>
          <w:p w14:paraId="47C1F84A">
            <w:pPr>
              <w:jc w:val="both"/>
              <w:rPr>
                <w:sz w:val="18"/>
                <w:szCs w:val="18"/>
              </w:rPr>
            </w:pPr>
            <w:r>
              <w:rPr>
                <w:rFonts w:hint="eastAsia"/>
                <w:sz w:val="18"/>
                <w:szCs w:val="18"/>
              </w:rPr>
              <w:t>1.熟知数据中心的运维，包括数据库的备份、迁移、故障处理等运维内容</w:t>
            </w:r>
          </w:p>
          <w:p w14:paraId="775EFD8E">
            <w:pPr>
              <w:jc w:val="both"/>
              <w:rPr>
                <w:sz w:val="18"/>
                <w:szCs w:val="18"/>
              </w:rPr>
            </w:pPr>
            <w:r>
              <w:rPr>
                <w:rFonts w:hint="eastAsia"/>
                <w:sz w:val="18"/>
                <w:szCs w:val="18"/>
              </w:rPr>
              <w:t>2.熟知数据中心软硬故障判定方法</w:t>
            </w:r>
          </w:p>
        </w:tc>
        <w:tc>
          <w:tcPr>
            <w:tcW w:w="1863" w:type="dxa"/>
            <w:vAlign w:val="center"/>
          </w:tcPr>
          <w:p w14:paraId="12322627">
            <w:pPr>
              <w:jc w:val="center"/>
              <w:rPr>
                <w:sz w:val="18"/>
                <w:szCs w:val="18"/>
              </w:rPr>
            </w:pPr>
            <w:r>
              <w:rPr>
                <w:rFonts w:hint="eastAsia"/>
                <w:sz w:val="18"/>
                <w:szCs w:val="18"/>
              </w:rPr>
              <w:t>信息化办公室</w:t>
            </w:r>
          </w:p>
        </w:tc>
        <w:tc>
          <w:tcPr>
            <w:tcW w:w="1235" w:type="dxa"/>
            <w:vAlign w:val="center"/>
          </w:tcPr>
          <w:p w14:paraId="28EE597F">
            <w:pPr>
              <w:jc w:val="center"/>
              <w:rPr>
                <w:sz w:val="18"/>
                <w:szCs w:val="18"/>
              </w:rPr>
            </w:pPr>
            <w:r>
              <w:rPr>
                <w:rFonts w:hint="eastAsia"/>
                <w:sz w:val="18"/>
                <w:szCs w:val="18"/>
              </w:rPr>
              <w:t>1-</w:t>
            </w:r>
            <w:r>
              <w:rPr>
                <w:sz w:val="18"/>
                <w:szCs w:val="18"/>
              </w:rPr>
              <w:t>3</w:t>
            </w:r>
            <w:r>
              <w:rPr>
                <w:rFonts w:hint="eastAsia"/>
                <w:sz w:val="18"/>
                <w:szCs w:val="18"/>
              </w:rPr>
              <w:t>名</w:t>
            </w:r>
          </w:p>
        </w:tc>
        <w:tc>
          <w:tcPr>
            <w:tcW w:w="815" w:type="dxa"/>
            <w:vAlign w:val="center"/>
          </w:tcPr>
          <w:p w14:paraId="5AEC20DF">
            <w:pPr>
              <w:jc w:val="center"/>
              <w:rPr>
                <w:sz w:val="18"/>
                <w:szCs w:val="18"/>
              </w:rPr>
            </w:pPr>
            <w:r>
              <w:rPr>
                <w:rFonts w:hint="eastAsia"/>
                <w:sz w:val="18"/>
                <w:szCs w:val="18"/>
              </w:rPr>
              <w:t>试运行前</w:t>
            </w:r>
          </w:p>
        </w:tc>
      </w:tr>
      <w:tr w14:paraId="0C5A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7144436A">
            <w:pPr>
              <w:jc w:val="center"/>
              <w:rPr>
                <w:sz w:val="18"/>
                <w:szCs w:val="18"/>
              </w:rPr>
            </w:pPr>
            <w:r>
              <w:rPr>
                <w:sz w:val="18"/>
                <w:szCs w:val="18"/>
              </w:rPr>
              <w:t>5</w:t>
            </w:r>
          </w:p>
        </w:tc>
        <w:tc>
          <w:tcPr>
            <w:tcW w:w="1022" w:type="dxa"/>
            <w:vAlign w:val="center"/>
          </w:tcPr>
          <w:p w14:paraId="62DB32AA">
            <w:pPr>
              <w:jc w:val="center"/>
              <w:rPr>
                <w:sz w:val="18"/>
                <w:szCs w:val="18"/>
              </w:rPr>
            </w:pPr>
            <w:r>
              <w:rPr>
                <w:rFonts w:hint="eastAsia"/>
                <w:sz w:val="18"/>
                <w:szCs w:val="18"/>
              </w:rPr>
              <w:t>财务人员</w:t>
            </w:r>
          </w:p>
        </w:tc>
        <w:tc>
          <w:tcPr>
            <w:tcW w:w="3061" w:type="dxa"/>
            <w:vAlign w:val="center"/>
          </w:tcPr>
          <w:p w14:paraId="0E339906">
            <w:pPr>
              <w:jc w:val="both"/>
              <w:rPr>
                <w:sz w:val="18"/>
                <w:szCs w:val="18"/>
              </w:rPr>
            </w:pPr>
            <w:r>
              <w:rPr>
                <w:rFonts w:hint="eastAsia"/>
                <w:sz w:val="18"/>
                <w:szCs w:val="18"/>
              </w:rPr>
              <w:t>1.熟悉终端消费报表、结算部门报表、明细报表查询、打印等操作</w:t>
            </w:r>
          </w:p>
          <w:p w14:paraId="6C8238EB">
            <w:pPr>
              <w:jc w:val="both"/>
              <w:rPr>
                <w:sz w:val="18"/>
                <w:szCs w:val="18"/>
              </w:rPr>
            </w:pPr>
            <w:r>
              <w:rPr>
                <w:rFonts w:hint="eastAsia"/>
                <w:sz w:val="18"/>
                <w:szCs w:val="18"/>
              </w:rPr>
              <w:t>2.了解系统入账和出账业务逻辑</w:t>
            </w:r>
          </w:p>
          <w:p w14:paraId="5ACE82FC">
            <w:pPr>
              <w:jc w:val="both"/>
              <w:rPr>
                <w:sz w:val="18"/>
                <w:szCs w:val="18"/>
              </w:rPr>
            </w:pPr>
            <w:r>
              <w:rPr>
                <w:rFonts w:hint="eastAsia"/>
                <w:sz w:val="18"/>
                <w:szCs w:val="18"/>
              </w:rPr>
              <w:t>3.可实现系统内圈存帐、消费结算等账目的核算</w:t>
            </w:r>
          </w:p>
        </w:tc>
        <w:tc>
          <w:tcPr>
            <w:tcW w:w="1863" w:type="dxa"/>
            <w:vAlign w:val="center"/>
          </w:tcPr>
          <w:p w14:paraId="3F83E1E0">
            <w:pPr>
              <w:jc w:val="center"/>
              <w:rPr>
                <w:sz w:val="18"/>
                <w:szCs w:val="18"/>
              </w:rPr>
            </w:pPr>
            <w:r>
              <w:rPr>
                <w:rFonts w:hint="eastAsia"/>
                <w:sz w:val="18"/>
                <w:szCs w:val="18"/>
              </w:rPr>
              <w:t>财务处</w:t>
            </w:r>
          </w:p>
        </w:tc>
        <w:tc>
          <w:tcPr>
            <w:tcW w:w="1235" w:type="dxa"/>
            <w:vAlign w:val="center"/>
          </w:tcPr>
          <w:p w14:paraId="417D3088">
            <w:pPr>
              <w:jc w:val="center"/>
              <w:rPr>
                <w:sz w:val="18"/>
                <w:szCs w:val="18"/>
              </w:rPr>
            </w:pPr>
            <w:r>
              <w:rPr>
                <w:rFonts w:hint="eastAsia"/>
                <w:sz w:val="18"/>
                <w:szCs w:val="18"/>
              </w:rPr>
              <w:t>1-</w:t>
            </w:r>
            <w:r>
              <w:rPr>
                <w:sz w:val="18"/>
                <w:szCs w:val="18"/>
              </w:rPr>
              <w:t>3</w:t>
            </w:r>
            <w:r>
              <w:rPr>
                <w:rFonts w:hint="eastAsia"/>
                <w:sz w:val="18"/>
                <w:szCs w:val="18"/>
              </w:rPr>
              <w:t>名</w:t>
            </w:r>
          </w:p>
        </w:tc>
        <w:tc>
          <w:tcPr>
            <w:tcW w:w="815" w:type="dxa"/>
            <w:vAlign w:val="center"/>
          </w:tcPr>
          <w:p w14:paraId="7ABBA94B">
            <w:pPr>
              <w:jc w:val="center"/>
              <w:rPr>
                <w:sz w:val="18"/>
                <w:szCs w:val="18"/>
              </w:rPr>
            </w:pPr>
            <w:r>
              <w:rPr>
                <w:rFonts w:hint="eastAsia"/>
                <w:sz w:val="18"/>
                <w:szCs w:val="18"/>
              </w:rPr>
              <w:t>试运行期间</w:t>
            </w:r>
          </w:p>
        </w:tc>
      </w:tr>
      <w:tr w14:paraId="3710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0C75C32F">
            <w:pPr>
              <w:jc w:val="center"/>
              <w:rPr>
                <w:sz w:val="18"/>
                <w:szCs w:val="18"/>
              </w:rPr>
            </w:pPr>
            <w:r>
              <w:rPr>
                <w:sz w:val="18"/>
                <w:szCs w:val="18"/>
              </w:rPr>
              <w:t>6</w:t>
            </w:r>
          </w:p>
        </w:tc>
        <w:tc>
          <w:tcPr>
            <w:tcW w:w="1022" w:type="dxa"/>
            <w:vAlign w:val="center"/>
          </w:tcPr>
          <w:p w14:paraId="1CCDA690">
            <w:pPr>
              <w:jc w:val="center"/>
              <w:rPr>
                <w:sz w:val="18"/>
                <w:szCs w:val="18"/>
              </w:rPr>
            </w:pPr>
            <w:r>
              <w:rPr>
                <w:rFonts w:hint="eastAsia"/>
                <w:sz w:val="18"/>
                <w:szCs w:val="18"/>
              </w:rPr>
              <w:t>卡务人员</w:t>
            </w:r>
          </w:p>
        </w:tc>
        <w:tc>
          <w:tcPr>
            <w:tcW w:w="3061" w:type="dxa"/>
            <w:vAlign w:val="center"/>
          </w:tcPr>
          <w:p w14:paraId="187B968A">
            <w:pPr>
              <w:jc w:val="both"/>
              <w:rPr>
                <w:sz w:val="18"/>
                <w:szCs w:val="18"/>
              </w:rPr>
            </w:pPr>
            <w:r>
              <w:rPr>
                <w:rFonts w:hint="eastAsia"/>
                <w:sz w:val="18"/>
                <w:szCs w:val="18"/>
              </w:rPr>
              <w:t>1.熟练操作实体卡开户、虚拟卡开户、充值、挂失、解挂、补卡、照片采集、信息修改、证卡打印等业务</w:t>
            </w:r>
          </w:p>
          <w:p w14:paraId="584AF6C3">
            <w:pPr>
              <w:jc w:val="both"/>
              <w:rPr>
                <w:sz w:val="18"/>
                <w:szCs w:val="18"/>
              </w:rPr>
            </w:pPr>
            <w:r>
              <w:rPr>
                <w:rFonts w:hint="eastAsia"/>
                <w:sz w:val="18"/>
                <w:szCs w:val="18"/>
              </w:rPr>
              <w:t>2.熟悉卡务日常问题处理</w:t>
            </w:r>
          </w:p>
        </w:tc>
        <w:tc>
          <w:tcPr>
            <w:tcW w:w="1863" w:type="dxa"/>
            <w:vAlign w:val="center"/>
          </w:tcPr>
          <w:p w14:paraId="4EE96D62">
            <w:pPr>
              <w:jc w:val="center"/>
              <w:rPr>
                <w:sz w:val="18"/>
                <w:szCs w:val="18"/>
              </w:rPr>
            </w:pPr>
            <w:r>
              <w:rPr>
                <w:rFonts w:hint="eastAsia"/>
                <w:sz w:val="18"/>
                <w:szCs w:val="18"/>
              </w:rPr>
              <w:t>信息化办公室或后勤服务中心</w:t>
            </w:r>
          </w:p>
        </w:tc>
        <w:tc>
          <w:tcPr>
            <w:tcW w:w="1235" w:type="dxa"/>
            <w:vAlign w:val="center"/>
          </w:tcPr>
          <w:p w14:paraId="6C161A92">
            <w:pPr>
              <w:jc w:val="center"/>
              <w:rPr>
                <w:sz w:val="18"/>
                <w:szCs w:val="18"/>
              </w:rPr>
            </w:pPr>
            <w:r>
              <w:rPr>
                <w:sz w:val="18"/>
                <w:szCs w:val="18"/>
              </w:rPr>
              <w:t>2</w:t>
            </w:r>
            <w:r>
              <w:rPr>
                <w:rFonts w:hint="eastAsia"/>
                <w:sz w:val="18"/>
                <w:szCs w:val="18"/>
              </w:rPr>
              <w:t>-</w:t>
            </w:r>
            <w:r>
              <w:rPr>
                <w:sz w:val="18"/>
                <w:szCs w:val="18"/>
              </w:rPr>
              <w:t>15</w:t>
            </w:r>
            <w:r>
              <w:rPr>
                <w:rFonts w:hint="eastAsia"/>
                <w:sz w:val="18"/>
                <w:szCs w:val="18"/>
              </w:rPr>
              <w:t>名</w:t>
            </w:r>
          </w:p>
        </w:tc>
        <w:tc>
          <w:tcPr>
            <w:tcW w:w="815" w:type="dxa"/>
            <w:vAlign w:val="center"/>
          </w:tcPr>
          <w:p w14:paraId="2706484E">
            <w:pPr>
              <w:jc w:val="center"/>
              <w:rPr>
                <w:sz w:val="18"/>
                <w:szCs w:val="18"/>
              </w:rPr>
            </w:pPr>
            <w:r>
              <w:rPr>
                <w:rFonts w:hint="eastAsia"/>
                <w:sz w:val="18"/>
                <w:szCs w:val="18"/>
              </w:rPr>
              <w:t>试运行前</w:t>
            </w:r>
          </w:p>
        </w:tc>
      </w:tr>
      <w:tr w14:paraId="27E4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125D2A64">
            <w:pPr>
              <w:jc w:val="center"/>
              <w:rPr>
                <w:sz w:val="18"/>
                <w:szCs w:val="18"/>
              </w:rPr>
            </w:pPr>
            <w:r>
              <w:rPr>
                <w:rFonts w:hint="eastAsia"/>
                <w:sz w:val="18"/>
                <w:szCs w:val="18"/>
              </w:rPr>
              <w:t>7</w:t>
            </w:r>
          </w:p>
        </w:tc>
        <w:tc>
          <w:tcPr>
            <w:tcW w:w="1022" w:type="dxa"/>
            <w:vAlign w:val="center"/>
          </w:tcPr>
          <w:p w14:paraId="1B2FF81A">
            <w:pPr>
              <w:jc w:val="center"/>
              <w:rPr>
                <w:sz w:val="18"/>
                <w:szCs w:val="18"/>
              </w:rPr>
            </w:pPr>
            <w:r>
              <w:rPr>
                <w:rFonts w:hint="eastAsia"/>
                <w:sz w:val="18"/>
                <w:szCs w:val="18"/>
              </w:rPr>
              <w:t>各三方系统管理员</w:t>
            </w:r>
          </w:p>
        </w:tc>
        <w:tc>
          <w:tcPr>
            <w:tcW w:w="3061" w:type="dxa"/>
            <w:vAlign w:val="center"/>
          </w:tcPr>
          <w:p w14:paraId="1A4DB2A6">
            <w:pPr>
              <w:jc w:val="both"/>
              <w:rPr>
                <w:sz w:val="18"/>
                <w:szCs w:val="18"/>
              </w:rPr>
            </w:pPr>
            <w:r>
              <w:rPr>
                <w:rFonts w:hint="eastAsia"/>
                <w:sz w:val="18"/>
                <w:szCs w:val="18"/>
              </w:rPr>
              <w:t>理解系统对接原理，掌握使用过程中常见问题解决办法</w:t>
            </w:r>
          </w:p>
        </w:tc>
        <w:tc>
          <w:tcPr>
            <w:tcW w:w="1863" w:type="dxa"/>
            <w:vAlign w:val="center"/>
          </w:tcPr>
          <w:p w14:paraId="31CB3C6F">
            <w:pPr>
              <w:jc w:val="center"/>
              <w:rPr>
                <w:sz w:val="18"/>
                <w:szCs w:val="18"/>
              </w:rPr>
            </w:pPr>
            <w:r>
              <w:rPr>
                <w:rFonts w:hint="eastAsia"/>
                <w:sz w:val="18"/>
                <w:szCs w:val="18"/>
              </w:rPr>
              <w:t>各应用系统管理员</w:t>
            </w:r>
          </w:p>
        </w:tc>
        <w:tc>
          <w:tcPr>
            <w:tcW w:w="1235" w:type="dxa"/>
            <w:vAlign w:val="center"/>
          </w:tcPr>
          <w:p w14:paraId="5CDA35A8">
            <w:pPr>
              <w:jc w:val="center"/>
              <w:rPr>
                <w:sz w:val="18"/>
                <w:szCs w:val="18"/>
              </w:rPr>
            </w:pPr>
            <w:r>
              <w:rPr>
                <w:rFonts w:hint="eastAsia"/>
                <w:sz w:val="18"/>
                <w:szCs w:val="18"/>
              </w:rPr>
              <w:t>1</w:t>
            </w:r>
            <w:r>
              <w:rPr>
                <w:sz w:val="18"/>
                <w:szCs w:val="18"/>
              </w:rPr>
              <w:t>5</w:t>
            </w:r>
          </w:p>
        </w:tc>
        <w:tc>
          <w:tcPr>
            <w:tcW w:w="815" w:type="dxa"/>
            <w:vAlign w:val="center"/>
          </w:tcPr>
          <w:p w14:paraId="3A4944E0">
            <w:pPr>
              <w:jc w:val="center"/>
              <w:rPr>
                <w:sz w:val="18"/>
                <w:szCs w:val="18"/>
              </w:rPr>
            </w:pPr>
            <w:r>
              <w:rPr>
                <w:rFonts w:hint="eastAsia"/>
                <w:sz w:val="18"/>
                <w:szCs w:val="18"/>
              </w:rPr>
              <w:t>上线前</w:t>
            </w:r>
          </w:p>
        </w:tc>
      </w:tr>
      <w:tr w14:paraId="37A8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72CE1256">
            <w:pPr>
              <w:jc w:val="center"/>
              <w:rPr>
                <w:sz w:val="18"/>
                <w:szCs w:val="18"/>
              </w:rPr>
            </w:pPr>
            <w:r>
              <w:rPr>
                <w:sz w:val="18"/>
                <w:szCs w:val="18"/>
              </w:rPr>
              <w:t>8</w:t>
            </w:r>
          </w:p>
        </w:tc>
        <w:tc>
          <w:tcPr>
            <w:tcW w:w="1022" w:type="dxa"/>
            <w:vAlign w:val="center"/>
          </w:tcPr>
          <w:p w14:paraId="66A252D8">
            <w:pPr>
              <w:jc w:val="center"/>
              <w:rPr>
                <w:sz w:val="18"/>
                <w:szCs w:val="18"/>
              </w:rPr>
            </w:pPr>
            <w:r>
              <w:rPr>
                <w:rFonts w:hint="eastAsia"/>
                <w:sz w:val="18"/>
                <w:szCs w:val="18"/>
              </w:rPr>
              <w:t>学生、老师</w:t>
            </w:r>
          </w:p>
        </w:tc>
        <w:tc>
          <w:tcPr>
            <w:tcW w:w="3061" w:type="dxa"/>
            <w:vAlign w:val="center"/>
          </w:tcPr>
          <w:p w14:paraId="7C510DFE">
            <w:pPr>
              <w:jc w:val="both"/>
              <w:rPr>
                <w:sz w:val="18"/>
                <w:szCs w:val="18"/>
              </w:rPr>
            </w:pPr>
            <w:r>
              <w:rPr>
                <w:rFonts w:hint="eastAsia"/>
                <w:sz w:val="18"/>
                <w:szCs w:val="18"/>
              </w:rPr>
              <w:t>1.在线充值使用宣传</w:t>
            </w:r>
          </w:p>
          <w:p w14:paraId="4C92CE32">
            <w:pPr>
              <w:jc w:val="both"/>
              <w:rPr>
                <w:sz w:val="18"/>
                <w:szCs w:val="18"/>
              </w:rPr>
            </w:pPr>
            <w:r>
              <w:rPr>
                <w:sz w:val="18"/>
                <w:szCs w:val="18"/>
              </w:rPr>
              <w:t>2</w:t>
            </w:r>
            <w:r>
              <w:rPr>
                <w:rFonts w:hint="eastAsia"/>
                <w:sz w:val="18"/>
                <w:szCs w:val="18"/>
              </w:rPr>
              <w:t>.虚拟卡消费、实体卡消费、购水购电使用宣传</w:t>
            </w:r>
          </w:p>
        </w:tc>
        <w:tc>
          <w:tcPr>
            <w:tcW w:w="1863" w:type="dxa"/>
            <w:vAlign w:val="center"/>
          </w:tcPr>
          <w:p w14:paraId="36FD36FF">
            <w:pPr>
              <w:jc w:val="center"/>
              <w:rPr>
                <w:sz w:val="18"/>
                <w:szCs w:val="18"/>
              </w:rPr>
            </w:pPr>
            <w:r>
              <w:rPr>
                <w:rFonts w:hint="eastAsia"/>
                <w:sz w:val="18"/>
                <w:szCs w:val="18"/>
              </w:rPr>
              <w:t>全校师生</w:t>
            </w:r>
          </w:p>
        </w:tc>
        <w:tc>
          <w:tcPr>
            <w:tcW w:w="1235" w:type="dxa"/>
            <w:vAlign w:val="center"/>
          </w:tcPr>
          <w:p w14:paraId="2B339E85">
            <w:pPr>
              <w:jc w:val="center"/>
              <w:rPr>
                <w:sz w:val="18"/>
                <w:szCs w:val="18"/>
              </w:rPr>
            </w:pPr>
            <w:r>
              <w:rPr>
                <w:rFonts w:hint="eastAsia"/>
                <w:sz w:val="18"/>
                <w:szCs w:val="18"/>
              </w:rPr>
              <w:t>若干</w:t>
            </w:r>
          </w:p>
        </w:tc>
        <w:tc>
          <w:tcPr>
            <w:tcW w:w="815" w:type="dxa"/>
            <w:vAlign w:val="center"/>
          </w:tcPr>
          <w:p w14:paraId="76550B89">
            <w:pPr>
              <w:jc w:val="center"/>
              <w:rPr>
                <w:sz w:val="18"/>
                <w:szCs w:val="18"/>
              </w:rPr>
            </w:pPr>
            <w:r>
              <w:rPr>
                <w:rFonts w:hint="eastAsia"/>
                <w:sz w:val="18"/>
                <w:szCs w:val="18"/>
              </w:rPr>
              <w:t>试运行期间</w:t>
            </w:r>
          </w:p>
        </w:tc>
      </w:tr>
    </w:tbl>
    <w:p w14:paraId="139D6B91">
      <w:pPr>
        <w:spacing w:line="360" w:lineRule="auto"/>
        <w:rPr>
          <w:rFonts w:hint="eastAsia" w:ascii="宋体" w:hAnsi="宋体" w:eastAsia="宋体" w:cs="Times New Roman"/>
          <w:b/>
          <w:color w:val="auto"/>
          <w:sz w:val="24"/>
          <w:szCs w:val="24"/>
        </w:rPr>
      </w:pPr>
    </w:p>
    <w:p w14:paraId="57FAD553">
      <w:pPr>
        <w:spacing w:line="360" w:lineRule="auto"/>
        <w:rPr>
          <w:rFonts w:hint="eastAsia" w:ascii="宋体" w:hAnsi="宋体" w:eastAsia="宋体" w:cs="Times New Roman"/>
          <w:b/>
          <w:bCs w:val="0"/>
          <w:color w:val="auto"/>
          <w:sz w:val="21"/>
          <w:szCs w:val="21"/>
        </w:rPr>
      </w:pPr>
      <w:r>
        <w:rPr>
          <w:rFonts w:hint="eastAsia" w:ascii="宋体" w:hAnsi="宋体" w:eastAsia="宋体" w:cs="Times New Roman"/>
          <w:b/>
          <w:bCs w:val="0"/>
          <w:color w:val="auto"/>
          <w:sz w:val="21"/>
          <w:szCs w:val="21"/>
        </w:rPr>
        <w:t xml:space="preserve">承诺公司签字（盖章）： </w:t>
      </w:r>
    </w:p>
    <w:p w14:paraId="7F172F7C">
      <w:pPr>
        <w:rPr>
          <w:rFonts w:hint="eastAsia" w:ascii="黑体" w:hAnsi="黑体" w:eastAsia="黑体" w:cs="黑体"/>
          <w:color w:val="auto"/>
          <w:sz w:val="24"/>
          <w:szCs w:val="24"/>
        </w:rPr>
      </w:pPr>
    </w:p>
    <w:p w14:paraId="0707C662"/>
    <w:sectPr>
      <w:pgSz w:w="11906" w:h="16838"/>
      <w:pgMar w:top="1440" w:right="1797" w:bottom="1440" w:left="1797" w:header="113" w:footer="992" w:gutter="0"/>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F84D49-F46A-43C8-894E-63F9689ED00E}"/>
  </w:font>
  <w:font w:name="Courier New">
    <w:panose1 w:val="02070309020205020404"/>
    <w:charset w:val="01"/>
    <w:family w:val="modern"/>
    <w:pitch w:val="default"/>
    <w:sig w:usb0="E0002EFF" w:usb1="C0007843" w:usb2="00000009" w:usb3="00000000" w:csb0="400001FF" w:csb1="FFFF0000"/>
    <w:embedRegular r:id="rId2" w:fontKey="{FF789159-0E13-4A00-B32D-9BA241801A5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52CF6903-A169-4165-9F15-568109D7EB34}"/>
  </w:font>
  <w:font w:name="微软雅黑">
    <w:panose1 w:val="020B0503020204020204"/>
    <w:charset w:val="86"/>
    <w:family w:val="swiss"/>
    <w:pitch w:val="default"/>
    <w:sig w:usb0="80000287" w:usb1="2ACF3C50" w:usb2="00000016" w:usb3="00000000" w:csb0="0004001F" w:csb1="00000000"/>
    <w:embedRegular r:id="rId4" w:fontKey="{02BAB512-A4F7-438A-96EA-BEE0DBAC44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197B4">
    <w:pPr>
      <w:pStyle w:val="23"/>
      <w:jc w:val="center"/>
    </w:pPr>
  </w:p>
  <w:p w14:paraId="0CFF228A">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589E7">
                          <w:pPr>
                            <w:rPr>
                              <w:sz w:val="20"/>
                              <w:szCs w:val="22"/>
                            </w:rPr>
                          </w:pPr>
                          <w:r>
                            <w:rPr>
                              <w:sz w:val="20"/>
                              <w:szCs w:val="22"/>
                            </w:rPr>
                            <w:t xml:space="preserve">第 </w:t>
                          </w:r>
                          <w:r>
                            <w:rPr>
                              <w:sz w:val="20"/>
                              <w:szCs w:val="22"/>
                            </w:rPr>
                            <w:fldChar w:fldCharType="begin"/>
                          </w:r>
                          <w:r>
                            <w:rPr>
                              <w:sz w:val="20"/>
                              <w:szCs w:val="22"/>
                            </w:rPr>
                            <w:instrText xml:space="preserve"> PAGE  \* MERGEFORMAT </w:instrText>
                          </w:r>
                          <w:r>
                            <w:rPr>
                              <w:sz w:val="20"/>
                              <w:szCs w:val="22"/>
                            </w:rPr>
                            <w:fldChar w:fldCharType="separate"/>
                          </w:r>
                          <w:r>
                            <w:rPr>
                              <w:sz w:val="20"/>
                              <w:szCs w:val="22"/>
                            </w:rPr>
                            <w:t>1</w:t>
                          </w:r>
                          <w:r>
                            <w:rPr>
                              <w:sz w:val="20"/>
                              <w:szCs w:val="22"/>
                            </w:rPr>
                            <w:fldChar w:fldCharType="end"/>
                          </w:r>
                          <w:r>
                            <w:rPr>
                              <w:sz w:val="20"/>
                              <w:szCs w:val="22"/>
                            </w:rPr>
                            <w:t xml:space="preserve"> 页 共 </w:t>
                          </w:r>
                          <w:r>
                            <w:rPr>
                              <w:sz w:val="20"/>
                              <w:szCs w:val="22"/>
                            </w:rPr>
                            <w:fldChar w:fldCharType="begin"/>
                          </w:r>
                          <w:r>
                            <w:rPr>
                              <w:sz w:val="20"/>
                              <w:szCs w:val="22"/>
                            </w:rPr>
                            <w:instrText xml:space="preserve"> NUMPAGES  \* MERGEFORMAT </w:instrText>
                          </w:r>
                          <w:r>
                            <w:rPr>
                              <w:sz w:val="20"/>
                              <w:szCs w:val="22"/>
                            </w:rPr>
                            <w:fldChar w:fldCharType="separate"/>
                          </w:r>
                          <w:r>
                            <w:rPr>
                              <w:sz w:val="20"/>
                              <w:szCs w:val="22"/>
                            </w:rPr>
                            <w:t>31</w:t>
                          </w:r>
                          <w:r>
                            <w:rPr>
                              <w:sz w:val="20"/>
                              <w:szCs w:val="22"/>
                            </w:rPr>
                            <w:fldChar w:fldCharType="end"/>
                          </w:r>
                          <w:r>
                            <w:rPr>
                              <w:sz w:val="20"/>
                              <w:szCs w:val="22"/>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32589E7">
                    <w:pPr>
                      <w:rPr>
                        <w:sz w:val="20"/>
                        <w:szCs w:val="22"/>
                      </w:rPr>
                    </w:pPr>
                    <w:r>
                      <w:rPr>
                        <w:sz w:val="20"/>
                        <w:szCs w:val="22"/>
                      </w:rPr>
                      <w:t xml:space="preserve">第 </w:t>
                    </w:r>
                    <w:r>
                      <w:rPr>
                        <w:sz w:val="20"/>
                        <w:szCs w:val="22"/>
                      </w:rPr>
                      <w:fldChar w:fldCharType="begin"/>
                    </w:r>
                    <w:r>
                      <w:rPr>
                        <w:sz w:val="20"/>
                        <w:szCs w:val="22"/>
                      </w:rPr>
                      <w:instrText xml:space="preserve"> PAGE  \* MERGEFORMAT </w:instrText>
                    </w:r>
                    <w:r>
                      <w:rPr>
                        <w:sz w:val="20"/>
                        <w:szCs w:val="22"/>
                      </w:rPr>
                      <w:fldChar w:fldCharType="separate"/>
                    </w:r>
                    <w:r>
                      <w:rPr>
                        <w:sz w:val="20"/>
                        <w:szCs w:val="22"/>
                      </w:rPr>
                      <w:t>1</w:t>
                    </w:r>
                    <w:r>
                      <w:rPr>
                        <w:sz w:val="20"/>
                        <w:szCs w:val="22"/>
                      </w:rPr>
                      <w:fldChar w:fldCharType="end"/>
                    </w:r>
                    <w:r>
                      <w:rPr>
                        <w:sz w:val="20"/>
                        <w:szCs w:val="22"/>
                      </w:rPr>
                      <w:t xml:space="preserve"> 页 共 </w:t>
                    </w:r>
                    <w:r>
                      <w:rPr>
                        <w:sz w:val="20"/>
                        <w:szCs w:val="22"/>
                      </w:rPr>
                      <w:fldChar w:fldCharType="begin"/>
                    </w:r>
                    <w:r>
                      <w:rPr>
                        <w:sz w:val="20"/>
                        <w:szCs w:val="22"/>
                      </w:rPr>
                      <w:instrText xml:space="preserve"> NUMPAGES  \* MERGEFORMAT </w:instrText>
                    </w:r>
                    <w:r>
                      <w:rPr>
                        <w:sz w:val="20"/>
                        <w:szCs w:val="22"/>
                      </w:rPr>
                      <w:fldChar w:fldCharType="separate"/>
                    </w:r>
                    <w:r>
                      <w:rPr>
                        <w:sz w:val="20"/>
                        <w:szCs w:val="22"/>
                      </w:rPr>
                      <w:t>31</w:t>
                    </w:r>
                    <w:r>
                      <w:rPr>
                        <w:sz w:val="20"/>
                        <w:szCs w:val="22"/>
                      </w:rPr>
                      <w:fldChar w:fldCharType="end"/>
                    </w:r>
                    <w:r>
                      <w:rPr>
                        <w:sz w:val="20"/>
                        <w:szCs w:val="22"/>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35222">
    <w:pPr>
      <w:pageBreakBefore w:val="0"/>
      <w:widowControl w:val="0"/>
      <w:pBdr>
        <w:bottom w:val="none" w:color="auto" w:sz="0" w:space="0"/>
      </w:pBdr>
      <w:kinsoku/>
      <w:wordWrap/>
      <w:overflowPunct/>
      <w:topLinePunct w:val="0"/>
      <w:autoSpaceDE/>
      <w:autoSpaceDN/>
      <w:bidi w:val="0"/>
      <w:adjustRightInd/>
      <w:snapToGrid/>
      <w:spacing w:line="480" w:lineRule="exact"/>
      <w:textAlignment w:val="auto"/>
      <w:rPr>
        <w:rFonts w:hint="default" w:ascii="宋体" w:hAnsi="宋体" w:eastAsia="宋体"/>
        <w:color w:val="auto"/>
        <w:sz w:val="20"/>
        <w:szCs w:val="20"/>
        <w:lang w:val="en-US" w:eastAsia="zh-CN"/>
      </w:rPr>
    </w:pPr>
  </w:p>
  <w:p w14:paraId="36C43568">
    <w:pPr>
      <w:pStyle w:val="24"/>
      <w:pBdr>
        <w:bottom w:val="single" w:color="auto" w:sz="4" w:space="0"/>
      </w:pBdr>
      <w:jc w:val="both"/>
      <w:rPr>
        <w:rFonts w:hint="default" w:eastAsia="宋体"/>
        <w:lang w:val="en-US" w:eastAsia="zh-CN"/>
      </w:rPr>
    </w:pPr>
    <w:r>
      <w:rPr>
        <w:rFonts w:hint="eastAsia"/>
        <w:lang w:val="en-US" w:eastAsia="zh-CN"/>
      </w:rPr>
      <w:t>合同编号：</w:t>
    </w:r>
    <w:r>
      <w:rPr>
        <w:rFonts w:hint="eastAsia" w:ascii="宋体" w:hAnsi="宋体"/>
        <w:color w:val="auto"/>
        <w:sz w:val="20"/>
        <w:szCs w:val="20"/>
      </w:rPr>
      <w:t>豫财磋商采购-2025-614</w:t>
    </w:r>
    <w:r>
      <w:rPr>
        <w:rFonts w:hint="eastAsia" w:ascii="宋体" w:hAnsi="宋体"/>
        <w:color w:val="auto"/>
        <w:sz w:val="20"/>
        <w:szCs w:val="20"/>
        <w:lang w:val="en-US" w:eastAsia="zh-CN"/>
      </w:rPr>
      <w:t>-包一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308A07"/>
    <w:multiLevelType w:val="singleLevel"/>
    <w:tmpl w:val="95308A07"/>
    <w:lvl w:ilvl="0" w:tentative="0">
      <w:start w:val="1"/>
      <w:numFmt w:val="decimal"/>
      <w:suff w:val="space"/>
      <w:lvlText w:val="%1."/>
      <w:lvlJc w:val="left"/>
    </w:lvl>
  </w:abstractNum>
  <w:abstractNum w:abstractNumId="1">
    <w:nsid w:val="A11E2FEA"/>
    <w:multiLevelType w:val="singleLevel"/>
    <w:tmpl w:val="A11E2FEA"/>
    <w:lvl w:ilvl="0" w:tentative="0">
      <w:start w:val="1"/>
      <w:numFmt w:val="decimal"/>
      <w:suff w:val="space"/>
      <w:lvlText w:val="%1."/>
      <w:lvlJc w:val="left"/>
    </w:lvl>
  </w:abstractNum>
  <w:abstractNum w:abstractNumId="2">
    <w:nsid w:val="AE302C7E"/>
    <w:multiLevelType w:val="singleLevel"/>
    <w:tmpl w:val="AE302C7E"/>
    <w:lvl w:ilvl="0" w:tentative="0">
      <w:start w:val="1"/>
      <w:numFmt w:val="decimal"/>
      <w:suff w:val="space"/>
      <w:lvlText w:val="%1."/>
      <w:lvlJc w:val="left"/>
    </w:lvl>
  </w:abstractNum>
  <w:abstractNum w:abstractNumId="3">
    <w:nsid w:val="B0132783"/>
    <w:multiLevelType w:val="singleLevel"/>
    <w:tmpl w:val="B0132783"/>
    <w:lvl w:ilvl="0" w:tentative="0">
      <w:start w:val="1"/>
      <w:numFmt w:val="decimal"/>
      <w:suff w:val="space"/>
      <w:lvlText w:val="%1."/>
      <w:lvlJc w:val="left"/>
    </w:lvl>
  </w:abstractNum>
  <w:abstractNum w:abstractNumId="4">
    <w:nsid w:val="BAED0E45"/>
    <w:multiLevelType w:val="singleLevel"/>
    <w:tmpl w:val="BAED0E45"/>
    <w:lvl w:ilvl="0" w:tentative="0">
      <w:start w:val="10"/>
      <w:numFmt w:val="decimal"/>
      <w:suff w:val="space"/>
      <w:lvlText w:val="%1."/>
      <w:lvlJc w:val="left"/>
    </w:lvl>
  </w:abstractNum>
  <w:abstractNum w:abstractNumId="5">
    <w:nsid w:val="EDBD5AA9"/>
    <w:multiLevelType w:val="singleLevel"/>
    <w:tmpl w:val="EDBD5AA9"/>
    <w:lvl w:ilvl="0" w:tentative="0">
      <w:start w:val="1"/>
      <w:numFmt w:val="decimal"/>
      <w:suff w:val="space"/>
      <w:lvlText w:val="%1."/>
      <w:lvlJc w:val="left"/>
    </w:lvl>
  </w:abstractNum>
  <w:abstractNum w:abstractNumId="6">
    <w:nsid w:val="EE7A8CB5"/>
    <w:multiLevelType w:val="singleLevel"/>
    <w:tmpl w:val="EE7A8CB5"/>
    <w:lvl w:ilvl="0" w:tentative="0">
      <w:start w:val="1"/>
      <w:numFmt w:val="decimal"/>
      <w:suff w:val="space"/>
      <w:lvlText w:val="%1."/>
      <w:lvlJc w:val="left"/>
    </w:lvl>
  </w:abstractNum>
  <w:abstractNum w:abstractNumId="7">
    <w:nsid w:val="F87D8E2C"/>
    <w:multiLevelType w:val="singleLevel"/>
    <w:tmpl w:val="F87D8E2C"/>
    <w:lvl w:ilvl="0" w:tentative="0">
      <w:start w:val="1"/>
      <w:numFmt w:val="decimal"/>
      <w:suff w:val="space"/>
      <w:lvlText w:val="%1."/>
      <w:lvlJc w:val="left"/>
    </w:lvl>
  </w:abstractNum>
  <w:num w:numId="1">
    <w:abstractNumId w:val="0"/>
  </w:num>
  <w:num w:numId="2">
    <w:abstractNumId w:val="4"/>
  </w:num>
  <w:num w:numId="3">
    <w:abstractNumId w:val="2"/>
  </w:num>
  <w:num w:numId="4">
    <w:abstractNumId w:val="5"/>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211B"/>
    <w:rsid w:val="000A5855"/>
    <w:rsid w:val="000A66C9"/>
    <w:rsid w:val="000C645B"/>
    <w:rsid w:val="0010637C"/>
    <w:rsid w:val="0016777A"/>
    <w:rsid w:val="0026555A"/>
    <w:rsid w:val="00266FD3"/>
    <w:rsid w:val="002B3C5B"/>
    <w:rsid w:val="002F4741"/>
    <w:rsid w:val="00371537"/>
    <w:rsid w:val="0039791A"/>
    <w:rsid w:val="003B6AA2"/>
    <w:rsid w:val="003D586C"/>
    <w:rsid w:val="003E42A9"/>
    <w:rsid w:val="004970A8"/>
    <w:rsid w:val="00556B7C"/>
    <w:rsid w:val="00567B7B"/>
    <w:rsid w:val="00652ADA"/>
    <w:rsid w:val="006908B6"/>
    <w:rsid w:val="007513F9"/>
    <w:rsid w:val="0075229C"/>
    <w:rsid w:val="00763ECE"/>
    <w:rsid w:val="00795CA3"/>
    <w:rsid w:val="007A2217"/>
    <w:rsid w:val="007D6A53"/>
    <w:rsid w:val="007E5362"/>
    <w:rsid w:val="007F37C7"/>
    <w:rsid w:val="008145D5"/>
    <w:rsid w:val="0082084F"/>
    <w:rsid w:val="008305FD"/>
    <w:rsid w:val="0085571F"/>
    <w:rsid w:val="00870E82"/>
    <w:rsid w:val="008804C1"/>
    <w:rsid w:val="008813ED"/>
    <w:rsid w:val="008E30D7"/>
    <w:rsid w:val="009032BE"/>
    <w:rsid w:val="00905E66"/>
    <w:rsid w:val="00996A60"/>
    <w:rsid w:val="009A5963"/>
    <w:rsid w:val="009B68D7"/>
    <w:rsid w:val="009C60BD"/>
    <w:rsid w:val="00AB756C"/>
    <w:rsid w:val="00AB7DBF"/>
    <w:rsid w:val="00B007D3"/>
    <w:rsid w:val="00B24402"/>
    <w:rsid w:val="00B7483A"/>
    <w:rsid w:val="00B75228"/>
    <w:rsid w:val="00B81EAA"/>
    <w:rsid w:val="00BC4590"/>
    <w:rsid w:val="00C21166"/>
    <w:rsid w:val="00C63F0C"/>
    <w:rsid w:val="00C80A26"/>
    <w:rsid w:val="00D22603"/>
    <w:rsid w:val="00D7119F"/>
    <w:rsid w:val="00D85EF1"/>
    <w:rsid w:val="00E227CB"/>
    <w:rsid w:val="00E60037"/>
    <w:rsid w:val="00E6774B"/>
    <w:rsid w:val="00E91F8C"/>
    <w:rsid w:val="00EA7CBC"/>
    <w:rsid w:val="00ED65B8"/>
    <w:rsid w:val="00F86BE1"/>
    <w:rsid w:val="00F95A59"/>
    <w:rsid w:val="00FE50B0"/>
    <w:rsid w:val="04931CF2"/>
    <w:rsid w:val="073E518E"/>
    <w:rsid w:val="08FD35AE"/>
    <w:rsid w:val="09236347"/>
    <w:rsid w:val="0B7E09F0"/>
    <w:rsid w:val="0F2E2DA5"/>
    <w:rsid w:val="101B4662"/>
    <w:rsid w:val="157E32BF"/>
    <w:rsid w:val="16EF62F8"/>
    <w:rsid w:val="177E3384"/>
    <w:rsid w:val="17BA7516"/>
    <w:rsid w:val="18820C52"/>
    <w:rsid w:val="19DE1BE9"/>
    <w:rsid w:val="1B53558D"/>
    <w:rsid w:val="1FA53BA4"/>
    <w:rsid w:val="20591AB7"/>
    <w:rsid w:val="213351E0"/>
    <w:rsid w:val="257B0F03"/>
    <w:rsid w:val="27934193"/>
    <w:rsid w:val="29C966E1"/>
    <w:rsid w:val="2A685B09"/>
    <w:rsid w:val="2B053749"/>
    <w:rsid w:val="2D8017AD"/>
    <w:rsid w:val="2DEA1143"/>
    <w:rsid w:val="2E3F51C4"/>
    <w:rsid w:val="30D819F7"/>
    <w:rsid w:val="31717D8A"/>
    <w:rsid w:val="37FA215C"/>
    <w:rsid w:val="382D7A11"/>
    <w:rsid w:val="3BDE1917"/>
    <w:rsid w:val="3FE5737C"/>
    <w:rsid w:val="47F66224"/>
    <w:rsid w:val="49115557"/>
    <w:rsid w:val="4D3034DD"/>
    <w:rsid w:val="4E191136"/>
    <w:rsid w:val="4FF27E90"/>
    <w:rsid w:val="518671EE"/>
    <w:rsid w:val="51E30665"/>
    <w:rsid w:val="52500E9E"/>
    <w:rsid w:val="54AA0D3A"/>
    <w:rsid w:val="57D95790"/>
    <w:rsid w:val="5AAE0AB4"/>
    <w:rsid w:val="5B6E1E6C"/>
    <w:rsid w:val="5C417C77"/>
    <w:rsid w:val="5E532442"/>
    <w:rsid w:val="5F566234"/>
    <w:rsid w:val="60114363"/>
    <w:rsid w:val="606C1599"/>
    <w:rsid w:val="612C27D0"/>
    <w:rsid w:val="62051CA5"/>
    <w:rsid w:val="67C95523"/>
    <w:rsid w:val="6A4315BC"/>
    <w:rsid w:val="6C32457B"/>
    <w:rsid w:val="6CD13CB4"/>
    <w:rsid w:val="6D9D5488"/>
    <w:rsid w:val="74235D29"/>
    <w:rsid w:val="794C2677"/>
    <w:rsid w:val="7AC60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qFormat="1"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56"/>
    <w:unhideWhenUsed/>
    <w:qFormat/>
    <w:uiPriority w:val="0"/>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57"/>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58"/>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59"/>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60"/>
    <w:unhideWhenUsed/>
    <w:qFormat/>
    <w:uiPriority w:val="0"/>
    <w:pPr>
      <w:keepNext/>
      <w:keepLines/>
      <w:spacing w:before="40"/>
      <w:outlineLvl w:val="5"/>
    </w:pPr>
    <w:rPr>
      <w:rFonts w:cstheme="majorBidi"/>
      <w:b/>
      <w:bCs/>
      <w:color w:val="104862" w:themeColor="accent1" w:themeShade="BF"/>
    </w:rPr>
  </w:style>
  <w:style w:type="paragraph" w:styleId="8">
    <w:name w:val="heading 7"/>
    <w:basedOn w:val="1"/>
    <w:next w:val="1"/>
    <w:link w:val="61"/>
    <w:unhideWhenUsed/>
    <w:qFormat/>
    <w:uiPriority w:val="0"/>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62"/>
    <w:unhideWhenUsed/>
    <w:qFormat/>
    <w:uiPriority w:val="0"/>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63"/>
    <w:unhideWhenUsed/>
    <w:qFormat/>
    <w:uiPriority w:val="0"/>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46">
    <w:name w:val="Default Paragraph Font"/>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link w:val="115"/>
    <w:autoRedefine/>
    <w:qFormat/>
    <w:uiPriority w:val="0"/>
    <w:pPr>
      <w:spacing w:before="50" w:beforeLines="50" w:after="50" w:afterLines="50" w:line="360" w:lineRule="auto"/>
      <w:ind w:firstLine="420"/>
    </w:pPr>
    <w:rPr>
      <w:color w:val="000000"/>
      <w:kern w:val="0"/>
      <w:sz w:val="24"/>
      <w:szCs w:val="20"/>
    </w:rPr>
  </w:style>
  <w:style w:type="paragraph" w:styleId="13">
    <w:name w:val="caption"/>
    <w:basedOn w:val="1"/>
    <w:next w:val="1"/>
    <w:unhideWhenUsed/>
    <w:qFormat/>
    <w:uiPriority w:val="35"/>
    <w:pPr>
      <w:spacing w:line="360" w:lineRule="auto"/>
      <w:ind w:firstLine="200" w:firstLineChars="200"/>
    </w:pPr>
    <w:rPr>
      <w:rFonts w:eastAsia="黑体" w:asciiTheme="majorHAnsi" w:hAnsiTheme="majorHAnsi" w:cstheme="majorBidi"/>
      <w:sz w:val="20"/>
      <w:szCs w:val="20"/>
    </w:rPr>
  </w:style>
  <w:style w:type="paragraph" w:styleId="14">
    <w:name w:val="annotation text"/>
    <w:basedOn w:val="1"/>
    <w:link w:val="84"/>
    <w:unhideWhenUsed/>
    <w:qFormat/>
    <w:uiPriority w:val="99"/>
    <w:pPr>
      <w:jc w:val="left"/>
    </w:pPr>
    <w:rPr>
      <w:rFonts w:asciiTheme="minorHAnsi" w:hAnsiTheme="minorHAnsi" w:eastAsiaTheme="minorEastAsia" w:cstheme="minorBidi"/>
      <w:szCs w:val="21"/>
    </w:rPr>
  </w:style>
  <w:style w:type="paragraph" w:styleId="15">
    <w:name w:val="Body Text"/>
    <w:basedOn w:val="1"/>
    <w:link w:val="101"/>
    <w:unhideWhenUsed/>
    <w:qFormat/>
    <w:uiPriority w:val="0"/>
    <w:pPr>
      <w:spacing w:after="120"/>
    </w:pPr>
  </w:style>
  <w:style w:type="paragraph" w:styleId="16">
    <w:name w:val="Body Text Indent"/>
    <w:basedOn w:val="1"/>
    <w:link w:val="108"/>
    <w:semiHidden/>
    <w:unhideWhenUsed/>
    <w:qFormat/>
    <w:uiPriority w:val="99"/>
    <w:pPr>
      <w:spacing w:after="120"/>
      <w:ind w:left="420" w:leftChars="200"/>
    </w:pPr>
    <w:rPr>
      <w:rFonts w:asciiTheme="minorHAnsi" w:hAnsiTheme="minorHAnsi" w:eastAsiaTheme="minorEastAsia" w:cstheme="minorBidi"/>
      <w:szCs w:val="21"/>
    </w:rPr>
  </w:style>
  <w:style w:type="paragraph" w:styleId="17">
    <w:name w:val="toc 5"/>
    <w:basedOn w:val="1"/>
    <w:next w:val="1"/>
    <w:autoRedefine/>
    <w:unhideWhenUsed/>
    <w:qFormat/>
    <w:uiPriority w:val="39"/>
    <w:pPr>
      <w:ind w:left="1680" w:leftChars="800"/>
    </w:pPr>
    <w:rPr>
      <w:rFonts w:asciiTheme="minorHAnsi" w:hAnsiTheme="minorHAnsi" w:eastAsiaTheme="minorEastAsia" w:cstheme="minorBidi"/>
      <w:szCs w:val="22"/>
    </w:rPr>
  </w:style>
  <w:style w:type="paragraph" w:styleId="18">
    <w:name w:val="toc 3"/>
    <w:basedOn w:val="1"/>
    <w:next w:val="1"/>
    <w:autoRedefine/>
    <w:unhideWhenUsed/>
    <w:qFormat/>
    <w:uiPriority w:val="39"/>
    <w:pPr>
      <w:spacing w:line="276" w:lineRule="auto"/>
      <w:ind w:left="400" w:leftChars="400"/>
    </w:pPr>
    <w:rPr>
      <w:rFonts w:asciiTheme="minorHAnsi" w:hAnsiTheme="minorHAnsi" w:eastAsiaTheme="minorEastAsia" w:cstheme="minorBidi"/>
      <w:szCs w:val="21"/>
    </w:rPr>
  </w:style>
  <w:style w:type="paragraph" w:styleId="19">
    <w:name w:val="Plain Text"/>
    <w:basedOn w:val="1"/>
    <w:link w:val="91"/>
    <w:qFormat/>
    <w:uiPriority w:val="99"/>
    <w:rPr>
      <w:rFonts w:ascii="宋体" w:hAnsi="Courier New" w:cs="Courier New"/>
      <w:szCs w:val="21"/>
    </w:rPr>
  </w:style>
  <w:style w:type="paragraph" w:styleId="20">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21">
    <w:name w:val="endnote text"/>
    <w:basedOn w:val="1"/>
    <w:link w:val="102"/>
    <w:semiHidden/>
    <w:unhideWhenUsed/>
    <w:qFormat/>
    <w:uiPriority w:val="99"/>
    <w:pPr>
      <w:snapToGrid w:val="0"/>
      <w:jc w:val="left"/>
    </w:pPr>
    <w:rPr>
      <w:rFonts w:asciiTheme="minorHAnsi" w:hAnsiTheme="minorHAnsi" w:eastAsiaTheme="minorEastAsia" w:cstheme="minorBidi"/>
      <w:szCs w:val="22"/>
    </w:rPr>
  </w:style>
  <w:style w:type="paragraph" w:styleId="22">
    <w:name w:val="Balloon Text"/>
    <w:basedOn w:val="1"/>
    <w:link w:val="80"/>
    <w:unhideWhenUsed/>
    <w:qFormat/>
    <w:uiPriority w:val="99"/>
    <w:rPr>
      <w:rFonts w:asciiTheme="minorHAnsi" w:hAnsiTheme="minorHAnsi" w:eastAsiaTheme="minorEastAsia" w:cstheme="minorBidi"/>
      <w:sz w:val="18"/>
      <w:szCs w:val="18"/>
    </w:rPr>
  </w:style>
  <w:style w:type="paragraph" w:styleId="23">
    <w:name w:val="footer"/>
    <w:basedOn w:val="1"/>
    <w:link w:val="74"/>
    <w:unhideWhenUsed/>
    <w:qFormat/>
    <w:uiPriority w:val="99"/>
    <w:pPr>
      <w:tabs>
        <w:tab w:val="center" w:pos="4153"/>
        <w:tab w:val="right" w:pos="8306"/>
      </w:tabs>
      <w:snapToGrid w:val="0"/>
      <w:jc w:val="left"/>
    </w:pPr>
    <w:rPr>
      <w:sz w:val="18"/>
      <w:szCs w:val="18"/>
    </w:rPr>
  </w:style>
  <w:style w:type="paragraph" w:styleId="24">
    <w:name w:val="header"/>
    <w:basedOn w:val="1"/>
    <w:link w:val="73"/>
    <w:unhideWhenUsed/>
    <w:qFormat/>
    <w:uiPriority w:val="99"/>
    <w:pPr>
      <w:tabs>
        <w:tab w:val="center" w:pos="4153"/>
        <w:tab w:val="right" w:pos="8306"/>
      </w:tabs>
      <w:snapToGrid w:val="0"/>
      <w:jc w:val="center"/>
    </w:pPr>
    <w:rPr>
      <w:sz w:val="18"/>
      <w:szCs w:val="18"/>
    </w:rPr>
  </w:style>
  <w:style w:type="paragraph" w:styleId="25">
    <w:name w:val="toc 1"/>
    <w:basedOn w:val="1"/>
    <w:next w:val="1"/>
    <w:autoRedefine/>
    <w:unhideWhenUsed/>
    <w:qFormat/>
    <w:uiPriority w:val="39"/>
    <w:pPr>
      <w:tabs>
        <w:tab w:val="left" w:pos="840"/>
        <w:tab w:val="right" w:leader="dot" w:pos="8296"/>
      </w:tabs>
      <w:spacing w:line="276" w:lineRule="auto"/>
    </w:pPr>
    <w:rPr>
      <w:rFonts w:asciiTheme="minorHAnsi" w:hAnsiTheme="minorHAnsi" w:eastAsiaTheme="minorEastAsia" w:cstheme="minorBidi"/>
      <w:szCs w:val="21"/>
    </w:rPr>
  </w:style>
  <w:style w:type="paragraph" w:styleId="26">
    <w:name w:val="toc 4"/>
    <w:basedOn w:val="1"/>
    <w:next w:val="1"/>
    <w:autoRedefine/>
    <w:unhideWhenUsed/>
    <w:qFormat/>
    <w:uiPriority w:val="39"/>
    <w:pPr>
      <w:spacing w:line="276" w:lineRule="auto"/>
      <w:ind w:left="600" w:leftChars="600"/>
    </w:pPr>
    <w:rPr>
      <w:rFonts w:asciiTheme="minorHAnsi" w:hAnsiTheme="minorHAnsi" w:eastAsiaTheme="minorEastAsia" w:cstheme="minorBidi"/>
      <w:szCs w:val="21"/>
    </w:rPr>
  </w:style>
  <w:style w:type="paragraph" w:styleId="27">
    <w:name w:val="Subtitle"/>
    <w:basedOn w:val="1"/>
    <w:next w:val="1"/>
    <w:link w:val="6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footnote text"/>
    <w:basedOn w:val="1"/>
    <w:link w:val="103"/>
    <w:semiHidden/>
    <w:unhideWhenUsed/>
    <w:qFormat/>
    <w:uiPriority w:val="99"/>
    <w:pPr>
      <w:snapToGrid w:val="0"/>
      <w:jc w:val="left"/>
    </w:pPr>
    <w:rPr>
      <w:rFonts w:asciiTheme="minorHAnsi" w:hAnsiTheme="minorHAnsi" w:eastAsiaTheme="minorEastAsia" w:cstheme="minorBidi"/>
      <w:sz w:val="18"/>
      <w:szCs w:val="18"/>
    </w:rPr>
  </w:style>
  <w:style w:type="paragraph" w:styleId="29">
    <w:name w:val="toc 6"/>
    <w:basedOn w:val="1"/>
    <w:next w:val="1"/>
    <w:autoRedefine/>
    <w:unhideWhenUsed/>
    <w:qFormat/>
    <w:uiPriority w:val="39"/>
    <w:pPr>
      <w:ind w:left="2100" w:leftChars="1000"/>
    </w:pPr>
    <w:rPr>
      <w:rFonts w:asciiTheme="minorHAnsi" w:hAnsiTheme="minorHAnsi" w:eastAsiaTheme="minorEastAsia" w:cstheme="minorBidi"/>
      <w:szCs w:val="22"/>
    </w:rPr>
  </w:style>
  <w:style w:type="paragraph" w:styleId="30">
    <w:name w:val="toc 2"/>
    <w:basedOn w:val="1"/>
    <w:next w:val="1"/>
    <w:autoRedefine/>
    <w:unhideWhenUsed/>
    <w:qFormat/>
    <w:uiPriority w:val="39"/>
    <w:pPr>
      <w:tabs>
        <w:tab w:val="left" w:pos="1260"/>
        <w:tab w:val="right" w:leader="dot" w:pos="8295"/>
      </w:tabs>
      <w:spacing w:line="276" w:lineRule="auto"/>
      <w:ind w:left="200" w:leftChars="200"/>
    </w:pPr>
    <w:rPr>
      <w:rFonts w:asciiTheme="minorHAnsi" w:hAnsiTheme="minorHAnsi" w:eastAsiaTheme="minorEastAsia" w:cstheme="minorBidi"/>
      <w:szCs w:val="21"/>
    </w:rPr>
  </w:style>
  <w:style w:type="paragraph" w:styleId="31">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32">
    <w:name w:val="HTML Preformatted"/>
    <w:basedOn w:val="1"/>
    <w:link w:val="11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firstLine="420"/>
      <w:jc w:val="left"/>
    </w:pPr>
    <w:rPr>
      <w:rFonts w:ascii="宋体" w:hAnsi="宋体"/>
      <w:kern w:val="0"/>
      <w:sz w:val="24"/>
    </w:rPr>
  </w:style>
  <w:style w:type="paragraph" w:styleId="3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4">
    <w:name w:val="index 1"/>
    <w:basedOn w:val="1"/>
    <w:next w:val="1"/>
    <w:semiHidden/>
    <w:unhideWhenUsed/>
    <w:qFormat/>
    <w:uiPriority w:val="99"/>
    <w:pPr>
      <w:spacing w:before="120" w:after="120" w:line="360" w:lineRule="auto"/>
      <w:ind w:firstLine="420"/>
    </w:pPr>
    <w:rPr>
      <w:rFonts w:asciiTheme="minorHAnsi" w:hAnsiTheme="minorHAnsi" w:eastAsiaTheme="minorEastAsia"/>
      <w:kern w:val="0"/>
      <w:sz w:val="24"/>
    </w:rPr>
  </w:style>
  <w:style w:type="paragraph" w:styleId="35">
    <w:name w:val="Title"/>
    <w:basedOn w:val="1"/>
    <w:next w:val="1"/>
    <w:link w:val="64"/>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36">
    <w:name w:val="annotation subject"/>
    <w:basedOn w:val="14"/>
    <w:next w:val="14"/>
    <w:link w:val="85"/>
    <w:semiHidden/>
    <w:unhideWhenUsed/>
    <w:qFormat/>
    <w:uiPriority w:val="99"/>
    <w:rPr>
      <w:b/>
      <w:bCs/>
    </w:rPr>
  </w:style>
  <w:style w:type="paragraph" w:styleId="37">
    <w:name w:val="Body Text First Indent"/>
    <w:basedOn w:val="15"/>
    <w:link w:val="110"/>
    <w:unhideWhenUsed/>
    <w:qFormat/>
    <w:uiPriority w:val="0"/>
    <w:pPr>
      <w:ind w:firstLine="420" w:firstLineChars="100"/>
    </w:pPr>
    <w:rPr>
      <w:rFonts w:asciiTheme="minorHAnsi" w:hAnsiTheme="minorHAnsi" w:eastAsiaTheme="minorEastAsia" w:cstheme="minorBidi"/>
      <w:szCs w:val="21"/>
    </w:rPr>
  </w:style>
  <w:style w:type="paragraph" w:styleId="38">
    <w:name w:val="Body Text First Indent 2"/>
    <w:basedOn w:val="16"/>
    <w:link w:val="109"/>
    <w:qFormat/>
    <w:uiPriority w:val="99"/>
    <w:pPr>
      <w:ind w:firstLine="420" w:firstLineChars="200"/>
    </w:pPr>
    <w:rPr>
      <w:rFonts w:ascii="Times New Roman" w:hAnsi="Times New Roman" w:eastAsia="宋体" w:cs="Times New Roman"/>
      <w:szCs w:val="24"/>
    </w:rPr>
  </w:style>
  <w:style w:type="table" w:styleId="40">
    <w:name w:val="Table Grid"/>
    <w:basedOn w:val="39"/>
    <w:qFormat/>
    <w:uiPriority w:val="5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Professional"/>
    <w:basedOn w:val="39"/>
    <w:semiHidden/>
    <w:unhideWhenUsed/>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42">
    <w:name w:val="Light Shading"/>
    <w:basedOn w:val="39"/>
    <w:qFormat/>
    <w:uiPriority w:val="60"/>
    <w:rPr>
      <w:color w:val="000000" w:themeColor="text1" w:themeShade="BF"/>
      <w:szCs w:val="21"/>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3">
    <w:name w:val="Light Shading Accent 1"/>
    <w:basedOn w:val="39"/>
    <w:qFormat/>
    <w:uiPriority w:val="60"/>
    <w:rPr>
      <w:color w:val="104862" w:themeColor="accent1" w:themeShade="BF"/>
      <w:szCs w:val="21"/>
    </w:rPr>
    <w:tblPr>
      <w:tblBorders>
        <w:top w:val="single" w:color="156082" w:themeColor="accent1" w:sz="8" w:space="0"/>
        <w:bottom w:val="single" w:color="156082" w:themeColor="accent1" w:sz="8" w:space="0"/>
      </w:tblBorders>
    </w:tblPr>
    <w:tblStylePr w:type="fir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la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44">
    <w:name w:val="Light Shading Accent 2"/>
    <w:basedOn w:val="39"/>
    <w:qFormat/>
    <w:uiPriority w:val="60"/>
    <w:rPr>
      <w:color w:val="C04F15" w:themeColor="accent2" w:themeShade="BF"/>
      <w:szCs w:val="21"/>
    </w:rPr>
    <w:tblPr>
      <w:tblBorders>
        <w:top w:val="single" w:color="E97132" w:themeColor="accent2" w:sz="8" w:space="0"/>
        <w:bottom w:val="single" w:color="E97132" w:themeColor="accent2" w:sz="8" w:space="0"/>
      </w:tblBorders>
    </w:tblPr>
    <w:tblStylePr w:type="fir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la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45">
    <w:name w:val="Light Grid Accent 3"/>
    <w:basedOn w:val="39"/>
    <w:qFormat/>
    <w:uiPriority w:val="62"/>
    <w:rPr>
      <w:szCs w:val="21"/>
    </w:rPr>
    <w:tblPr>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18" w:space="0"/>
          <w:right w:val="single" w:color="196B24"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shd w:val="clear" w:color="auto" w:fill="B3EDBB" w:themeFill="accent3" w:themeFillTint="3F"/>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sz="8" w:space="0"/>
        </w:tcBorders>
        <w:shd w:val="clear" w:color="auto" w:fill="B3EDBB" w:themeFill="accent3" w:themeFillTint="3F"/>
      </w:tcPr>
    </w:tblStylePr>
    <w:tblStylePr w:type="band2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sz="8" w:space="0"/>
        </w:tcBorders>
      </w:tcPr>
    </w:tblStylePr>
  </w:style>
  <w:style w:type="character" w:styleId="47">
    <w:name w:val="Strong"/>
    <w:basedOn w:val="46"/>
    <w:qFormat/>
    <w:uiPriority w:val="22"/>
    <w:rPr>
      <w:b/>
      <w:bCs/>
    </w:rPr>
  </w:style>
  <w:style w:type="character" w:styleId="48">
    <w:name w:val="endnote reference"/>
    <w:basedOn w:val="46"/>
    <w:semiHidden/>
    <w:unhideWhenUsed/>
    <w:qFormat/>
    <w:uiPriority w:val="99"/>
    <w:rPr>
      <w:vertAlign w:val="superscript"/>
    </w:rPr>
  </w:style>
  <w:style w:type="character" w:styleId="49">
    <w:name w:val="page number"/>
    <w:basedOn w:val="46"/>
    <w:semiHidden/>
    <w:unhideWhenUsed/>
    <w:qFormat/>
    <w:uiPriority w:val="99"/>
  </w:style>
  <w:style w:type="character" w:styleId="50">
    <w:name w:val="FollowedHyperlink"/>
    <w:basedOn w:val="46"/>
    <w:semiHidden/>
    <w:unhideWhenUsed/>
    <w:qFormat/>
    <w:uiPriority w:val="99"/>
    <w:rPr>
      <w:color w:val="96607D" w:themeColor="followedHyperlink"/>
      <w:u w:val="single"/>
      <w14:textFill>
        <w14:solidFill>
          <w14:schemeClr w14:val="folHlink"/>
        </w14:solidFill>
      </w14:textFill>
    </w:rPr>
  </w:style>
  <w:style w:type="character" w:styleId="51">
    <w:name w:val="Hyperlink"/>
    <w:basedOn w:val="46"/>
    <w:unhideWhenUsed/>
    <w:qFormat/>
    <w:uiPriority w:val="99"/>
    <w:rPr>
      <w:color w:val="467886" w:themeColor="hyperlink"/>
      <w:u w:val="single"/>
      <w14:textFill>
        <w14:solidFill>
          <w14:schemeClr w14:val="hlink"/>
        </w14:solidFill>
      </w14:textFill>
    </w:rPr>
  </w:style>
  <w:style w:type="character" w:styleId="52">
    <w:name w:val="HTML Code"/>
    <w:basedOn w:val="46"/>
    <w:semiHidden/>
    <w:unhideWhenUsed/>
    <w:qFormat/>
    <w:uiPriority w:val="99"/>
    <w:rPr>
      <w:rFonts w:hint="default" w:ascii="Courier New" w:hAnsi="Courier New" w:eastAsia="Times New Roman" w:cs="Times New Roman"/>
      <w:sz w:val="24"/>
      <w:szCs w:val="24"/>
    </w:rPr>
  </w:style>
  <w:style w:type="character" w:styleId="53">
    <w:name w:val="annotation reference"/>
    <w:basedOn w:val="46"/>
    <w:unhideWhenUsed/>
    <w:qFormat/>
    <w:uiPriority w:val="99"/>
    <w:rPr>
      <w:sz w:val="21"/>
      <w:szCs w:val="21"/>
    </w:rPr>
  </w:style>
  <w:style w:type="character" w:styleId="54">
    <w:name w:val="footnote reference"/>
    <w:basedOn w:val="46"/>
    <w:semiHidden/>
    <w:unhideWhenUsed/>
    <w:qFormat/>
    <w:uiPriority w:val="99"/>
    <w:rPr>
      <w:vertAlign w:val="superscript"/>
    </w:rPr>
  </w:style>
  <w:style w:type="character" w:customStyle="1" w:styleId="55">
    <w:name w:val="标题 1 字符"/>
    <w:basedOn w:val="46"/>
    <w:link w:val="2"/>
    <w:qFormat/>
    <w:uiPriority w:val="0"/>
    <w:rPr>
      <w:rFonts w:asciiTheme="majorHAnsi" w:hAnsiTheme="majorHAnsi" w:eastAsiaTheme="majorEastAsia" w:cstheme="majorBidi"/>
      <w:color w:val="104862" w:themeColor="accent1" w:themeShade="BF"/>
      <w:sz w:val="48"/>
      <w:szCs w:val="48"/>
    </w:rPr>
  </w:style>
  <w:style w:type="character" w:customStyle="1" w:styleId="56">
    <w:name w:val="标题 2 字符"/>
    <w:basedOn w:val="46"/>
    <w:link w:val="3"/>
    <w:qFormat/>
    <w:uiPriority w:val="0"/>
    <w:rPr>
      <w:rFonts w:asciiTheme="majorHAnsi" w:hAnsiTheme="majorHAnsi" w:eastAsiaTheme="majorEastAsia" w:cstheme="majorBidi"/>
      <w:color w:val="104862" w:themeColor="accent1" w:themeShade="BF"/>
      <w:sz w:val="40"/>
      <w:szCs w:val="40"/>
    </w:rPr>
  </w:style>
  <w:style w:type="character" w:customStyle="1" w:styleId="57">
    <w:name w:val="标题 3 字符"/>
    <w:basedOn w:val="46"/>
    <w:link w:val="4"/>
    <w:qFormat/>
    <w:uiPriority w:val="9"/>
    <w:rPr>
      <w:rFonts w:asciiTheme="majorHAnsi" w:hAnsiTheme="majorHAnsi" w:eastAsiaTheme="majorEastAsia" w:cstheme="majorBidi"/>
      <w:color w:val="104862" w:themeColor="accent1" w:themeShade="BF"/>
      <w:sz w:val="32"/>
      <w:szCs w:val="32"/>
    </w:rPr>
  </w:style>
  <w:style w:type="character" w:customStyle="1" w:styleId="58">
    <w:name w:val="标题 4 字符"/>
    <w:basedOn w:val="46"/>
    <w:link w:val="5"/>
    <w:qFormat/>
    <w:uiPriority w:val="9"/>
    <w:rPr>
      <w:rFonts w:cstheme="majorBidi"/>
      <w:color w:val="104862" w:themeColor="accent1" w:themeShade="BF"/>
      <w:sz w:val="28"/>
      <w:szCs w:val="28"/>
    </w:rPr>
  </w:style>
  <w:style w:type="character" w:customStyle="1" w:styleId="59">
    <w:name w:val="标题 5 字符"/>
    <w:basedOn w:val="46"/>
    <w:link w:val="6"/>
    <w:qFormat/>
    <w:uiPriority w:val="9"/>
    <w:rPr>
      <w:rFonts w:cstheme="majorBidi"/>
      <w:color w:val="104862" w:themeColor="accent1" w:themeShade="BF"/>
      <w:sz w:val="24"/>
      <w:szCs w:val="24"/>
    </w:rPr>
  </w:style>
  <w:style w:type="character" w:customStyle="1" w:styleId="60">
    <w:name w:val="标题 6 字符"/>
    <w:basedOn w:val="46"/>
    <w:link w:val="7"/>
    <w:qFormat/>
    <w:uiPriority w:val="0"/>
    <w:rPr>
      <w:rFonts w:cstheme="majorBidi"/>
      <w:b/>
      <w:bCs/>
      <w:color w:val="104862" w:themeColor="accent1" w:themeShade="BF"/>
    </w:rPr>
  </w:style>
  <w:style w:type="character" w:customStyle="1" w:styleId="61">
    <w:name w:val="标题 7 字符"/>
    <w:basedOn w:val="46"/>
    <w:link w:val="8"/>
    <w:qFormat/>
    <w:uiPriority w:val="0"/>
    <w:rPr>
      <w:rFonts w:cstheme="majorBidi"/>
      <w:b/>
      <w:bCs/>
      <w:color w:val="595959" w:themeColor="text1" w:themeTint="A6"/>
      <w14:textFill>
        <w14:solidFill>
          <w14:schemeClr w14:val="tx1">
            <w14:lumMod w14:val="65000"/>
            <w14:lumOff w14:val="35000"/>
          </w14:schemeClr>
        </w14:solidFill>
      </w14:textFill>
    </w:rPr>
  </w:style>
  <w:style w:type="character" w:customStyle="1" w:styleId="62">
    <w:name w:val="标题 8 字符"/>
    <w:basedOn w:val="46"/>
    <w:link w:val="9"/>
    <w:qFormat/>
    <w:uiPriority w:val="0"/>
    <w:rPr>
      <w:rFonts w:cstheme="majorBidi"/>
      <w:color w:val="595959" w:themeColor="text1" w:themeTint="A6"/>
      <w14:textFill>
        <w14:solidFill>
          <w14:schemeClr w14:val="tx1">
            <w14:lumMod w14:val="65000"/>
            <w14:lumOff w14:val="35000"/>
          </w14:schemeClr>
        </w14:solidFill>
      </w14:textFill>
    </w:rPr>
  </w:style>
  <w:style w:type="character" w:customStyle="1" w:styleId="63">
    <w:name w:val="标题 9 字符"/>
    <w:basedOn w:val="46"/>
    <w:link w:val="10"/>
    <w:qFormat/>
    <w:uiPriority w:val="0"/>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64">
    <w:name w:val="标题 字符"/>
    <w:basedOn w:val="46"/>
    <w:link w:val="35"/>
    <w:qFormat/>
    <w:uiPriority w:val="10"/>
    <w:rPr>
      <w:rFonts w:asciiTheme="majorHAnsi" w:hAnsiTheme="majorHAnsi" w:eastAsiaTheme="majorEastAsia" w:cstheme="majorBidi"/>
      <w:spacing w:val="-10"/>
      <w:kern w:val="28"/>
      <w:sz w:val="56"/>
      <w:szCs w:val="56"/>
    </w:rPr>
  </w:style>
  <w:style w:type="character" w:customStyle="1" w:styleId="65">
    <w:name w:val="副标题 字符"/>
    <w:basedOn w:val="46"/>
    <w:link w:val="27"/>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66">
    <w:name w:val="Quote"/>
    <w:basedOn w:val="1"/>
    <w:next w:val="1"/>
    <w:link w:val="6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67">
    <w:name w:val="引用 字符"/>
    <w:basedOn w:val="46"/>
    <w:link w:val="66"/>
    <w:qFormat/>
    <w:uiPriority w:val="29"/>
    <w:rPr>
      <w:i/>
      <w:iCs/>
      <w:color w:val="404040" w:themeColor="text1" w:themeTint="BF"/>
      <w14:textFill>
        <w14:solidFill>
          <w14:schemeClr w14:val="tx1">
            <w14:lumMod w14:val="75000"/>
            <w14:lumOff w14:val="25000"/>
          </w14:schemeClr>
        </w14:solidFill>
      </w14:textFill>
    </w:rPr>
  </w:style>
  <w:style w:type="paragraph" w:styleId="68">
    <w:name w:val="List Paragraph"/>
    <w:basedOn w:val="1"/>
    <w:qFormat/>
    <w:uiPriority w:val="99"/>
    <w:pPr>
      <w:ind w:left="720"/>
      <w:contextualSpacing/>
    </w:pPr>
  </w:style>
  <w:style w:type="character" w:customStyle="1" w:styleId="69">
    <w:name w:val="Intense Emphasis"/>
    <w:basedOn w:val="46"/>
    <w:qFormat/>
    <w:uiPriority w:val="21"/>
    <w:rPr>
      <w:i/>
      <w:iCs/>
      <w:color w:val="104862" w:themeColor="accent1" w:themeShade="BF"/>
    </w:rPr>
  </w:style>
  <w:style w:type="paragraph" w:styleId="70">
    <w:name w:val="Intense Quote"/>
    <w:basedOn w:val="1"/>
    <w:next w:val="1"/>
    <w:link w:val="7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71">
    <w:name w:val="明显引用 字符"/>
    <w:basedOn w:val="46"/>
    <w:link w:val="70"/>
    <w:qFormat/>
    <w:uiPriority w:val="30"/>
    <w:rPr>
      <w:i/>
      <w:iCs/>
      <w:color w:val="104862" w:themeColor="accent1" w:themeShade="BF"/>
    </w:rPr>
  </w:style>
  <w:style w:type="character" w:customStyle="1" w:styleId="72">
    <w:name w:val="Intense Reference"/>
    <w:basedOn w:val="46"/>
    <w:qFormat/>
    <w:uiPriority w:val="32"/>
    <w:rPr>
      <w:b/>
      <w:bCs/>
      <w:smallCaps/>
      <w:color w:val="104862" w:themeColor="accent1" w:themeShade="BF"/>
      <w:spacing w:val="5"/>
    </w:rPr>
  </w:style>
  <w:style w:type="character" w:customStyle="1" w:styleId="73">
    <w:name w:val="页眉 字符"/>
    <w:basedOn w:val="46"/>
    <w:link w:val="24"/>
    <w:qFormat/>
    <w:uiPriority w:val="99"/>
    <w:rPr>
      <w:sz w:val="18"/>
      <w:szCs w:val="18"/>
    </w:rPr>
  </w:style>
  <w:style w:type="character" w:customStyle="1" w:styleId="74">
    <w:name w:val="页脚 字符"/>
    <w:basedOn w:val="46"/>
    <w:link w:val="23"/>
    <w:qFormat/>
    <w:uiPriority w:val="99"/>
    <w:rPr>
      <w:sz w:val="18"/>
      <w:szCs w:val="18"/>
    </w:rPr>
  </w:style>
  <w:style w:type="paragraph" w:customStyle="1" w:styleId="75">
    <w:name w:val="段落"/>
    <w:basedOn w:val="1"/>
    <w:link w:val="76"/>
    <w:qFormat/>
    <w:uiPriority w:val="0"/>
    <w:pPr>
      <w:spacing w:before="50" w:beforeLines="50" w:after="50" w:afterLines="50" w:line="276" w:lineRule="auto"/>
      <w:ind w:firstLine="200" w:firstLineChars="200"/>
    </w:pPr>
    <w:rPr>
      <w:rFonts w:asciiTheme="minorHAnsi" w:hAnsiTheme="minorHAnsi" w:eastAsiaTheme="minorEastAsia" w:cstheme="minorBidi"/>
      <w:sz w:val="24"/>
      <w:szCs w:val="21"/>
    </w:rPr>
  </w:style>
  <w:style w:type="character" w:customStyle="1" w:styleId="76">
    <w:name w:val="段落 字符"/>
    <w:basedOn w:val="46"/>
    <w:link w:val="75"/>
    <w:qFormat/>
    <w:uiPriority w:val="99"/>
    <w:rPr>
      <w:sz w:val="24"/>
      <w:szCs w:val="21"/>
    </w:rPr>
  </w:style>
  <w:style w:type="paragraph" w:customStyle="1" w:styleId="77">
    <w:name w:val="段落 无缩进"/>
    <w:basedOn w:val="1"/>
    <w:qFormat/>
    <w:uiPriority w:val="0"/>
    <w:pPr>
      <w:spacing w:before="50" w:beforeLines="50" w:after="50" w:afterLines="50" w:line="276" w:lineRule="auto"/>
    </w:pPr>
    <w:rPr>
      <w:rFonts w:asciiTheme="minorHAnsi" w:hAnsiTheme="minorHAnsi" w:eastAsiaTheme="minorEastAsia" w:cstheme="minorBidi"/>
      <w:sz w:val="24"/>
      <w:szCs w:val="21"/>
    </w:rPr>
  </w:style>
  <w:style w:type="table" w:customStyle="1" w:styleId="78">
    <w:name w:val="常规表格"/>
    <w:basedOn w:val="39"/>
    <w:qFormat/>
    <w:uiPriority w:val="99"/>
    <w:pPr>
      <w:jc w:val="both"/>
    </w:pPr>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rPr>
      <w:tblPr>
        <w:jc w:val="center"/>
      </w:tblPr>
      <w:trPr>
        <w:jc w:val="center"/>
      </w:trPr>
    </w:tblStylePr>
  </w:style>
  <w:style w:type="character" w:styleId="79">
    <w:name w:val="Placeholder Text"/>
    <w:basedOn w:val="46"/>
    <w:semiHidden/>
    <w:qFormat/>
    <w:uiPriority w:val="99"/>
    <w:rPr>
      <w:color w:val="808080"/>
    </w:rPr>
  </w:style>
  <w:style w:type="character" w:customStyle="1" w:styleId="80">
    <w:name w:val="批注框文本 字符"/>
    <w:basedOn w:val="46"/>
    <w:link w:val="22"/>
    <w:qFormat/>
    <w:uiPriority w:val="99"/>
    <w:rPr>
      <w:sz w:val="18"/>
      <w:szCs w:val="18"/>
    </w:rPr>
  </w:style>
  <w:style w:type="paragraph" w:customStyle="1" w:styleId="81">
    <w:name w:val="段落 要点"/>
    <w:basedOn w:val="75"/>
    <w:qFormat/>
    <w:uiPriority w:val="0"/>
    <w:pPr>
      <w:spacing w:before="156" w:after="156"/>
      <w:ind w:firstLine="482"/>
    </w:pPr>
    <w:rPr>
      <w:b/>
    </w:rPr>
  </w:style>
  <w:style w:type="paragraph" w:customStyle="1" w:styleId="82">
    <w:name w:val="段落 无缩进 要点"/>
    <w:basedOn w:val="77"/>
    <w:qFormat/>
    <w:uiPriority w:val="0"/>
    <w:pPr>
      <w:spacing w:before="156" w:after="156"/>
    </w:pPr>
    <w:rPr>
      <w:b/>
    </w:rPr>
  </w:style>
  <w:style w:type="paragraph" w:customStyle="1" w:styleId="83">
    <w:name w:val="图示"/>
    <w:basedOn w:val="1"/>
    <w:next w:val="75"/>
    <w:link w:val="88"/>
    <w:qFormat/>
    <w:uiPriority w:val="0"/>
    <w:pPr>
      <w:spacing w:before="50" w:beforeLines="50" w:after="50" w:afterLines="50" w:line="360" w:lineRule="auto"/>
      <w:jc w:val="center"/>
    </w:pPr>
    <w:rPr>
      <w:rFonts w:asciiTheme="minorHAnsi" w:hAnsiTheme="minorHAnsi" w:eastAsiaTheme="minorEastAsia" w:cstheme="minorBidi"/>
      <w:szCs w:val="21"/>
    </w:rPr>
  </w:style>
  <w:style w:type="character" w:customStyle="1" w:styleId="84">
    <w:name w:val="批注文字 字符"/>
    <w:basedOn w:val="46"/>
    <w:link w:val="14"/>
    <w:qFormat/>
    <w:uiPriority w:val="99"/>
    <w:rPr>
      <w:szCs w:val="21"/>
    </w:rPr>
  </w:style>
  <w:style w:type="character" w:customStyle="1" w:styleId="85">
    <w:name w:val="批注主题 字符"/>
    <w:basedOn w:val="84"/>
    <w:link w:val="36"/>
    <w:semiHidden/>
    <w:qFormat/>
    <w:uiPriority w:val="99"/>
    <w:rPr>
      <w:b/>
      <w:bCs/>
      <w:szCs w:val="21"/>
    </w:rPr>
  </w:style>
  <w:style w:type="paragraph" w:customStyle="1" w:styleId="86">
    <w:name w:val="图片"/>
    <w:basedOn w:val="1"/>
    <w:next w:val="1"/>
    <w:link w:val="87"/>
    <w:autoRedefine/>
    <w:qFormat/>
    <w:uiPriority w:val="0"/>
    <w:pPr>
      <w:spacing w:line="360" w:lineRule="auto"/>
      <w:jc w:val="center"/>
    </w:pPr>
    <w:rPr>
      <w:rFonts w:cstheme="minorBidi"/>
      <w:sz w:val="24"/>
      <w:szCs w:val="22"/>
    </w:rPr>
  </w:style>
  <w:style w:type="character" w:customStyle="1" w:styleId="87">
    <w:name w:val="图片 字符"/>
    <w:basedOn w:val="46"/>
    <w:link w:val="86"/>
    <w:qFormat/>
    <w:uiPriority w:val="0"/>
    <w:rPr>
      <w:rFonts w:ascii="Times New Roman" w:hAnsi="Times New Roman" w:eastAsia="宋体"/>
      <w:sz w:val="24"/>
    </w:rPr>
  </w:style>
  <w:style w:type="character" w:customStyle="1" w:styleId="88">
    <w:name w:val="图示 字符"/>
    <w:basedOn w:val="46"/>
    <w:link w:val="83"/>
    <w:qFormat/>
    <w:uiPriority w:val="0"/>
    <w:rPr>
      <w:szCs w:val="21"/>
    </w:rPr>
  </w:style>
  <w:style w:type="character" w:customStyle="1" w:styleId="89">
    <w:name w:val="未处理的提及1"/>
    <w:basedOn w:val="46"/>
    <w:semiHidden/>
    <w:unhideWhenUsed/>
    <w:qFormat/>
    <w:uiPriority w:val="99"/>
    <w:rPr>
      <w:color w:val="605E5C"/>
      <w:shd w:val="clear" w:color="auto" w:fill="E1DFDD"/>
    </w:rPr>
  </w:style>
  <w:style w:type="character" w:customStyle="1" w:styleId="90">
    <w:name w:val="纯文本 Char1"/>
    <w:qFormat/>
    <w:uiPriority w:val="0"/>
    <w:rPr>
      <w:rFonts w:ascii="宋体" w:hAnsi="Courier New"/>
      <w:kern w:val="2"/>
      <w:sz w:val="21"/>
    </w:rPr>
  </w:style>
  <w:style w:type="character" w:customStyle="1" w:styleId="91">
    <w:name w:val="纯文本 字符"/>
    <w:basedOn w:val="46"/>
    <w:link w:val="19"/>
    <w:qFormat/>
    <w:uiPriority w:val="99"/>
    <w:rPr>
      <w:rFonts w:ascii="宋体" w:hAnsi="Courier New" w:eastAsia="宋体" w:cs="Courier New"/>
      <w:szCs w:val="21"/>
    </w:rPr>
  </w:style>
  <w:style w:type="paragraph" w:customStyle="1" w:styleId="92">
    <w:name w:val="Revision"/>
    <w:hidden/>
    <w:semiHidden/>
    <w:qFormat/>
    <w:uiPriority w:val="99"/>
    <w:rPr>
      <w:rFonts w:asciiTheme="minorHAnsi" w:hAnsiTheme="minorHAnsi" w:eastAsiaTheme="minorEastAsia" w:cstheme="minorBidi"/>
      <w:kern w:val="2"/>
      <w:sz w:val="21"/>
      <w:szCs w:val="21"/>
      <w:lang w:val="en-US" w:eastAsia="zh-CN" w:bidi="ar-SA"/>
    </w:rPr>
  </w:style>
  <w:style w:type="character" w:customStyle="1" w:styleId="93">
    <w:name w:val="批注文字 字符2"/>
    <w:basedOn w:val="46"/>
    <w:qFormat/>
    <w:uiPriority w:val="99"/>
    <w:rPr>
      <w:rFonts w:ascii="Calibri" w:hAnsi="Calibri"/>
      <w:kern w:val="2"/>
      <w:sz w:val="21"/>
      <w:szCs w:val="21"/>
    </w:rPr>
  </w:style>
  <w:style w:type="paragraph" w:customStyle="1" w:styleId="94">
    <w:name w:val="标准段落"/>
    <w:basedOn w:val="1"/>
    <w:qFormat/>
    <w:uiPriority w:val="0"/>
    <w:pPr>
      <w:adjustRightInd w:val="0"/>
      <w:spacing w:beforeLines="50" w:afterLines="50" w:line="300" w:lineRule="auto"/>
      <w:ind w:firstLine="454"/>
      <w:jc w:val="left"/>
    </w:pPr>
    <w:rPr>
      <w:rFonts w:asciiTheme="minorHAnsi" w:hAnsiTheme="minorHAnsi" w:eastAsiaTheme="minorEastAsia" w:cstheme="minorBidi"/>
      <w:sz w:val="24"/>
      <w:szCs w:val="21"/>
    </w:rPr>
  </w:style>
  <w:style w:type="character" w:customStyle="1" w:styleId="95">
    <w:name w:val="未处理的提及11"/>
    <w:basedOn w:val="46"/>
    <w:semiHidden/>
    <w:unhideWhenUsed/>
    <w:qFormat/>
    <w:uiPriority w:val="99"/>
    <w:rPr>
      <w:color w:val="605E5C"/>
      <w:shd w:val="clear" w:color="auto" w:fill="E1DFDD"/>
    </w:rPr>
  </w:style>
  <w:style w:type="paragraph" w:styleId="96">
    <w:name w:val="No Spacing"/>
    <w:qFormat/>
    <w:uiPriority w:val="1"/>
    <w:pPr>
      <w:widowControl w:val="0"/>
      <w:jc w:val="both"/>
    </w:pPr>
    <w:rPr>
      <w:rFonts w:ascii="Times New Roman" w:hAnsi="Times New Roman" w:eastAsia="宋体" w:cstheme="minorBidi"/>
      <w:kern w:val="2"/>
      <w:sz w:val="24"/>
      <w:szCs w:val="21"/>
      <w:lang w:val="en-US" w:eastAsia="zh-CN" w:bidi="ar-SA"/>
    </w:rPr>
  </w:style>
  <w:style w:type="character" w:customStyle="1" w:styleId="97">
    <w:name w:val="批注文字 字符1"/>
    <w:basedOn w:val="46"/>
    <w:qFormat/>
    <w:uiPriority w:val="99"/>
    <w:rPr>
      <w:rFonts w:ascii="Calibri" w:hAnsi="Calibri" w:eastAsia="宋体" w:cs="Times New Roman"/>
    </w:rPr>
  </w:style>
  <w:style w:type="table" w:customStyle="1" w:styleId="98">
    <w:name w:val="无格式表格 31"/>
    <w:basedOn w:val="39"/>
    <w:qFormat/>
    <w:uiPriority w:val="43"/>
    <w:rPr>
      <w:rFonts w:ascii="Times New Roman" w:hAnsi="Times New Roman" w:eastAsia="宋体" w:cs="Times New Roman"/>
      <w:kern w:val="0"/>
      <w:sz w:val="20"/>
      <w:szCs w:val="20"/>
    </w:r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99">
    <w:name w:val="无格式表格 41"/>
    <w:basedOn w:val="39"/>
    <w:qFormat/>
    <w:uiPriority w:val="44"/>
    <w:rPr>
      <w:rFonts w:ascii="Times New Roman" w:hAnsi="Times New Roman" w:eastAsia="宋体" w:cs="Times New Roman"/>
      <w:kern w:val="0"/>
      <w:sz w:val="20"/>
      <w:szCs w:val="20"/>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00">
    <w:name w:val="网格表 1 浅色 - 着色 41"/>
    <w:basedOn w:val="39"/>
    <w:qFormat/>
    <w:uiPriority w:val="46"/>
    <w:rPr>
      <w:rFonts w:ascii="Times New Roman" w:hAnsi="Times New Roman" w:eastAsia="宋体" w:cs="Times New Roman"/>
      <w:kern w:val="0"/>
      <w:sz w:val="20"/>
      <w:szCs w:val="20"/>
    </w:rPr>
    <w:tblPr>
      <w:tblBorders>
        <w:top w:val="single" w:color="95DCF7" w:themeColor="accent4" w:themeTint="66" w:sz="4" w:space="0"/>
        <w:left w:val="single" w:color="95DCF7" w:themeColor="accent4" w:themeTint="66" w:sz="4" w:space="0"/>
        <w:bottom w:val="single" w:color="95DCF7" w:themeColor="accent4" w:themeTint="66" w:sz="4" w:space="0"/>
        <w:right w:val="single" w:color="95DCF7" w:themeColor="accent4" w:themeTint="66" w:sz="4" w:space="0"/>
        <w:insideH w:val="single" w:color="95DCF7" w:themeColor="accent4" w:themeTint="66" w:sz="4" w:space="0"/>
        <w:insideV w:val="single" w:color="95DCF7" w:themeColor="accent4" w:themeTint="66" w:sz="4" w:space="0"/>
      </w:tblBorders>
    </w:tblPr>
    <w:tblStylePr w:type="firstRow">
      <w:rPr>
        <w:b/>
        <w:bCs/>
      </w:rPr>
      <w:tcPr>
        <w:tcBorders>
          <w:bottom w:val="single" w:color="60CBF3" w:themeColor="accent4" w:themeTint="99" w:sz="12" w:space="0"/>
        </w:tcBorders>
      </w:tcPr>
    </w:tblStylePr>
    <w:tblStylePr w:type="lastRow">
      <w:rPr>
        <w:b/>
        <w:bCs/>
      </w:rPr>
      <w:tcPr>
        <w:tcBorders>
          <w:top w:val="double" w:color="60CBF3" w:themeColor="accent4" w:themeTint="99" w:sz="2" w:space="0"/>
        </w:tcBorders>
      </w:tcPr>
    </w:tblStylePr>
    <w:tblStylePr w:type="firstCol">
      <w:rPr>
        <w:b/>
        <w:bCs/>
      </w:rPr>
    </w:tblStylePr>
    <w:tblStylePr w:type="lastCol">
      <w:rPr>
        <w:b/>
        <w:bCs/>
      </w:rPr>
    </w:tblStylePr>
  </w:style>
  <w:style w:type="character" w:customStyle="1" w:styleId="101">
    <w:name w:val="正文文本 字符"/>
    <w:basedOn w:val="46"/>
    <w:link w:val="15"/>
    <w:qFormat/>
    <w:uiPriority w:val="0"/>
    <w:rPr>
      <w:rFonts w:ascii="Times New Roman" w:hAnsi="Times New Roman" w:eastAsia="宋体" w:cs="Times New Roman"/>
      <w:szCs w:val="24"/>
    </w:rPr>
  </w:style>
  <w:style w:type="character" w:customStyle="1" w:styleId="102">
    <w:name w:val="尾注文本 字符"/>
    <w:basedOn w:val="46"/>
    <w:link w:val="21"/>
    <w:semiHidden/>
    <w:qFormat/>
    <w:uiPriority w:val="99"/>
  </w:style>
  <w:style w:type="character" w:customStyle="1" w:styleId="103">
    <w:name w:val="脚注文本 字符"/>
    <w:basedOn w:val="46"/>
    <w:link w:val="28"/>
    <w:semiHidden/>
    <w:qFormat/>
    <w:uiPriority w:val="99"/>
    <w:rPr>
      <w:sz w:val="18"/>
      <w:szCs w:val="18"/>
    </w:rPr>
  </w:style>
  <w:style w:type="table" w:customStyle="1" w:styleId="104">
    <w:name w:val="网格表 21"/>
    <w:basedOn w:val="39"/>
    <w:qFormat/>
    <w:uiPriority w:val="47"/>
    <w:rPr>
      <w:rFonts w:ascii="Times New Roman" w:hAnsi="Times New Roman" w:eastAsia="宋体" w:cs="Times New Roman"/>
      <w:kern w:val="0"/>
      <w:sz w:val="20"/>
      <w:szCs w:val="20"/>
    </w:r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105">
    <w:name w:val="清单表 21"/>
    <w:basedOn w:val="39"/>
    <w:qFormat/>
    <w:uiPriority w:val="47"/>
    <w:rPr>
      <w:rFonts w:ascii="Times New Roman" w:hAnsi="Times New Roman" w:eastAsia="宋体" w:cs="Times New Roman"/>
      <w:kern w:val="0"/>
      <w:sz w:val="20"/>
      <w:szCs w:val="20"/>
    </w:rPr>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106">
    <w:name w:val="网格表 2 - 着色 31"/>
    <w:basedOn w:val="39"/>
    <w:qFormat/>
    <w:uiPriority w:val="47"/>
    <w:rPr>
      <w:rFonts w:ascii="Times New Roman" w:hAnsi="Times New Roman" w:eastAsia="宋体" w:cs="Times New Roman"/>
      <w:kern w:val="0"/>
      <w:sz w:val="20"/>
      <w:szCs w:val="20"/>
    </w:rPr>
    <w:tblPr>
      <w:tblBorders>
        <w:top w:val="single" w:color="47D45A" w:themeColor="accent3" w:themeTint="99" w:sz="2" w:space="0"/>
        <w:bottom w:val="single" w:color="47D45A" w:themeColor="accent3" w:themeTint="99" w:sz="2" w:space="0"/>
        <w:insideH w:val="single" w:color="47D45A" w:themeColor="accent3" w:themeTint="99" w:sz="2" w:space="0"/>
        <w:insideV w:val="single" w:color="47D45A" w:themeColor="accent3" w:themeTint="99" w:sz="2" w:space="0"/>
      </w:tblBorders>
    </w:tblPr>
    <w:tblStylePr w:type="firstRow">
      <w:rPr>
        <w:b/>
        <w:bCs/>
      </w:rPr>
      <w:tcPr>
        <w:tcBorders>
          <w:top w:val="nil"/>
          <w:bottom w:val="single" w:color="47D45A" w:themeColor="accent3" w:themeTint="99" w:sz="12" w:space="0"/>
          <w:insideH w:val="nil"/>
          <w:insideV w:val="nil"/>
        </w:tcBorders>
        <w:shd w:val="clear" w:color="auto" w:fill="FFFFFF" w:themeFill="background1"/>
      </w:tcPr>
    </w:tblStylePr>
    <w:tblStylePr w:type="lastRow">
      <w:rPr>
        <w:b/>
        <w:bCs/>
      </w:rPr>
      <w:tcPr>
        <w:tcBorders>
          <w:top w:val="double" w:color="47D45A"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1F0C8" w:themeFill="accent3" w:themeFillTint="33"/>
      </w:tcPr>
    </w:tblStylePr>
    <w:tblStylePr w:type="band1Horz">
      <w:tcPr>
        <w:shd w:val="clear" w:color="auto" w:fill="C1F0C8" w:themeFill="accent3" w:themeFillTint="33"/>
      </w:tcPr>
    </w:tblStylePr>
  </w:style>
  <w:style w:type="table" w:customStyle="1" w:styleId="107">
    <w:name w:val="清单表 1 浅色1"/>
    <w:basedOn w:val="39"/>
    <w:qFormat/>
    <w:uiPriority w:val="46"/>
    <w:rPr>
      <w:rFonts w:ascii="Times New Roman" w:hAnsi="Times New Roman" w:eastAsia="宋体" w:cs="Times New Roman"/>
      <w:kern w:val="0"/>
      <w:sz w:val="20"/>
      <w:szCs w:val="20"/>
    </w:r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08">
    <w:name w:val="正文文本缩进 字符"/>
    <w:basedOn w:val="46"/>
    <w:link w:val="16"/>
    <w:semiHidden/>
    <w:qFormat/>
    <w:uiPriority w:val="99"/>
    <w:rPr>
      <w:szCs w:val="21"/>
    </w:rPr>
  </w:style>
  <w:style w:type="character" w:customStyle="1" w:styleId="109">
    <w:name w:val="正文文本首行缩进 2 字符"/>
    <w:basedOn w:val="108"/>
    <w:link w:val="38"/>
    <w:qFormat/>
    <w:uiPriority w:val="99"/>
    <w:rPr>
      <w:rFonts w:ascii="Times New Roman" w:hAnsi="Times New Roman" w:eastAsia="宋体" w:cs="Times New Roman"/>
      <w:szCs w:val="24"/>
    </w:rPr>
  </w:style>
  <w:style w:type="character" w:customStyle="1" w:styleId="110">
    <w:name w:val="正文文本首行缩进 字符"/>
    <w:basedOn w:val="101"/>
    <w:link w:val="37"/>
    <w:qFormat/>
    <w:uiPriority w:val="0"/>
    <w:rPr>
      <w:rFonts w:ascii="Times New Roman" w:hAnsi="Times New Roman" w:eastAsia="宋体" w:cs="Times New Roman"/>
      <w:szCs w:val="21"/>
    </w:rPr>
  </w:style>
  <w:style w:type="character" w:customStyle="1" w:styleId="111">
    <w:name w:val="HTML 预设格式 字符"/>
    <w:basedOn w:val="46"/>
    <w:link w:val="32"/>
    <w:semiHidden/>
    <w:qFormat/>
    <w:uiPriority w:val="99"/>
    <w:rPr>
      <w:rFonts w:ascii="宋体" w:hAnsi="宋体" w:eastAsia="宋体" w:cs="Times New Roman"/>
      <w:kern w:val="0"/>
      <w:sz w:val="24"/>
      <w:szCs w:val="24"/>
    </w:rPr>
  </w:style>
  <w:style w:type="table" w:customStyle="1" w:styleId="112">
    <w:name w:val="Table Normal"/>
    <w:semiHidden/>
    <w:unhideWhenUsed/>
    <w:qFormat/>
    <w:uiPriority w:val="0"/>
    <w:pPr>
      <w:spacing w:after="160" w:line="278" w:lineRule="auto"/>
    </w:pPr>
    <w:rPr>
      <w:rFonts w:ascii="Arial" w:hAnsi="Arial" w:cs="Arial"/>
      <w:snapToGrid w:val="0"/>
      <w:color w:val="000000"/>
      <w:kern w:val="0"/>
      <w:sz w:val="20"/>
      <w:szCs w:val="20"/>
      <w:lang w:eastAsia="en-US"/>
    </w:rPr>
    <w:tblPr>
      <w:tblCellMar>
        <w:top w:w="0" w:type="dxa"/>
        <w:left w:w="0" w:type="dxa"/>
        <w:bottom w:w="0" w:type="dxa"/>
        <w:right w:w="0" w:type="dxa"/>
      </w:tblCellMar>
    </w:tblPr>
  </w:style>
  <w:style w:type="paragraph" w:customStyle="1" w:styleId="113">
    <w:name w:val="Table Text"/>
    <w:basedOn w:val="1"/>
    <w:semiHidden/>
    <w:qFormat/>
    <w:uiPriority w:val="0"/>
    <w:pPr>
      <w:widowControl/>
      <w:kinsoku w:val="0"/>
      <w:autoSpaceDE w:val="0"/>
      <w:autoSpaceDN w:val="0"/>
      <w:adjustRightInd w:val="0"/>
      <w:snapToGrid w:val="0"/>
      <w:spacing w:before="120" w:after="160" w:line="360" w:lineRule="auto"/>
      <w:ind w:firstLine="420"/>
      <w:jc w:val="left"/>
      <w:textAlignment w:val="baseline"/>
    </w:pPr>
    <w:rPr>
      <w:rFonts w:ascii="仿宋" w:hAnsi="仿宋" w:eastAsia="仿宋" w:cs="仿宋"/>
      <w:snapToGrid w:val="0"/>
      <w:color w:val="000000"/>
      <w:kern w:val="0"/>
      <w:sz w:val="24"/>
      <w:lang w:eastAsia="en-US"/>
    </w:rPr>
  </w:style>
  <w:style w:type="table" w:customStyle="1" w:styleId="114">
    <w:name w:val="网格表 4 - 着色 11"/>
    <w:basedOn w:val="39"/>
    <w:qFormat/>
    <w:uiPriority w:val="49"/>
    <w:rPr>
      <w:rFonts w:ascii="Times New Roman" w:hAnsi="Times New Roman" w:eastAsia="宋体" w:cs="Times New Roman"/>
      <w:kern w:val="0"/>
      <w:sz w:val="20"/>
      <w:szCs w:val="20"/>
    </w:rPr>
    <w:tblPr>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14:textFill>
          <w14:solidFill>
            <w14:schemeClr w14:val="bg1"/>
          </w14:solidFill>
        </w14:textFill>
      </w:r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cPr>
        <w:tcBorders>
          <w:top w:val="double" w:color="156082" w:themeColor="accent1" w:sz="4" w:space="0"/>
        </w:tcBorders>
      </w:tc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character" w:customStyle="1" w:styleId="115">
    <w:name w:val="正文缩进 字符"/>
    <w:link w:val="12"/>
    <w:autoRedefine/>
    <w:qFormat/>
    <w:uiPriority w:val="0"/>
    <w:rPr>
      <w:rFonts w:ascii="Times New Roman" w:hAnsi="Times New Roman" w:eastAsia="宋体" w:cs="Times New Roman"/>
      <w:color w:val="000000"/>
      <w:kern w:val="0"/>
      <w:sz w:val="24"/>
      <w:szCs w:val="20"/>
    </w:rPr>
  </w:style>
  <w:style w:type="table" w:customStyle="1" w:styleId="116">
    <w:name w:val="Table"/>
    <w:basedOn w:val="41"/>
    <w:qFormat/>
    <w:uiPriority w:val="0"/>
    <w:pPr>
      <w:jc w:val="left"/>
    </w:pPr>
    <w:rPr>
      <w:rFonts w:ascii="Times New Roman" w:hAnsi="Times New Roman" w:eastAsia="宋体" w:cs="Arial"/>
      <w:lang w:eastAsia="en-US"/>
    </w:rP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117">
    <w:name w:val="TOC 标题1"/>
    <w:basedOn w:val="2"/>
    <w:next w:val="1"/>
    <w:unhideWhenUsed/>
    <w:qFormat/>
    <w:uiPriority w:val="39"/>
    <w:pPr>
      <w:widowControl/>
      <w:spacing w:before="240" w:after="120" w:line="259" w:lineRule="auto"/>
      <w:jc w:val="left"/>
      <w:outlineLvl w:val="9"/>
    </w:pPr>
    <w:rPr>
      <w:kern w:val="0"/>
      <w:sz w:val="32"/>
      <w:szCs w:val="32"/>
    </w:rPr>
  </w:style>
  <w:style w:type="paragraph" w:customStyle="1" w:styleId="118">
    <w:name w:val="样式1"/>
    <w:basedOn w:val="1"/>
    <w:qFormat/>
    <w:uiPriority w:val="99"/>
    <w:pPr>
      <w:widowControl/>
      <w:spacing w:before="120" w:after="120" w:line="360" w:lineRule="auto"/>
      <w:ind w:firstLine="480" w:firstLineChars="200"/>
      <w:jc w:val="left"/>
    </w:pPr>
    <w:rPr>
      <w:rFonts w:asciiTheme="minorEastAsia" w:hAnsiTheme="minorEastAsia" w:eastAsiaTheme="minorEastAsia"/>
      <w:bCs/>
      <w:color w:val="000000" w:themeColor="text1"/>
      <w:kern w:val="0"/>
      <w:sz w:val="24"/>
      <w14:textFill>
        <w14:solidFill>
          <w14:schemeClr w14:val="tx1"/>
        </w14:solidFill>
      </w14:textFill>
    </w:rPr>
  </w:style>
  <w:style w:type="character" w:customStyle="1" w:styleId="119">
    <w:name w:val="正文文本 字符1"/>
    <w:basedOn w:val="46"/>
    <w:semiHidden/>
    <w:qFormat/>
    <w:uiPriority w:val="99"/>
  </w:style>
  <w:style w:type="paragraph" w:customStyle="1" w:styleId="120">
    <w:name w:val="无格式无间隔"/>
    <w:qFormat/>
    <w:uiPriority w:val="0"/>
    <w:rPr>
      <w:rFonts w:ascii="Calibri" w:hAnsi="Calibri" w:eastAsia="宋体" w:cs="Times New Roman"/>
      <w:kern w:val="2"/>
      <w:sz w:val="21"/>
      <w:szCs w:val="21"/>
      <w:lang w:val="en-US" w:eastAsia="zh-CN" w:bidi="ar-SA"/>
    </w:rPr>
  </w:style>
  <w:style w:type="character" w:customStyle="1" w:styleId="121">
    <w:name w:val="未处理的提及2"/>
    <w:basedOn w:val="46"/>
    <w:semiHidden/>
    <w:unhideWhenUsed/>
    <w:qFormat/>
    <w:uiPriority w:val="99"/>
    <w:rPr>
      <w:color w:val="605E5C"/>
      <w:shd w:val="clear" w:color="auto" w:fill="E1DFDD"/>
    </w:rPr>
  </w:style>
  <w:style w:type="paragraph" w:customStyle="1" w:styleId="122">
    <w:name w:val="列出段落4"/>
    <w:basedOn w:val="1"/>
    <w:qFormat/>
    <w:uiPriority w:val="34"/>
    <w:pPr>
      <w:spacing w:before="120" w:after="120" w:line="360" w:lineRule="auto"/>
      <w:ind w:firstLine="200" w:firstLineChars="200"/>
    </w:pPr>
    <w:rPr>
      <w:rFonts w:eastAsiaTheme="minorEastAsia"/>
      <w:kern w:val="0"/>
      <w:sz w:val="24"/>
    </w:rPr>
  </w:style>
  <w:style w:type="paragraph" w:customStyle="1" w:styleId="123">
    <w:name w:val="p0"/>
    <w:basedOn w:val="1"/>
    <w:qFormat/>
    <w:uiPriority w:val="99"/>
    <w:pPr>
      <w:widowControl/>
      <w:spacing w:before="120" w:after="120" w:line="360" w:lineRule="auto"/>
      <w:ind w:firstLine="420"/>
    </w:pPr>
    <w:rPr>
      <w:rFonts w:ascii="Calibri" w:hAnsi="Calibri" w:cs="宋体"/>
      <w:kern w:val="0"/>
      <w:sz w:val="24"/>
    </w:rPr>
  </w:style>
  <w:style w:type="character" w:customStyle="1" w:styleId="124">
    <w:name w:val="text_jc0vx"/>
    <w:basedOn w:val="46"/>
    <w:qFormat/>
    <w:uiPriority w:val="0"/>
  </w:style>
  <w:style w:type="character" w:customStyle="1" w:styleId="125">
    <w:name w:val="supwrap_ua_c1"/>
    <w:basedOn w:val="46"/>
    <w:qFormat/>
    <w:uiPriority w:val="0"/>
  </w:style>
  <w:style w:type="character" w:customStyle="1" w:styleId="126">
    <w:name w:val="段落 Char"/>
    <w:autoRedefine/>
    <w:qFormat/>
    <w:uiPriority w:val="0"/>
    <w:rPr>
      <w:rFonts w:ascii="Times New Roman" w:hAnsi="Times New Roman" w:eastAsia="宋体"/>
      <w:sz w:val="24"/>
      <w:szCs w:val="21"/>
      <w14:ligatures w14:val="none"/>
    </w:rPr>
  </w:style>
  <w:style w:type="paragraph" w:customStyle="1" w:styleId="127">
    <w:name w:val="A正文"/>
    <w:qFormat/>
    <w:uiPriority w:val="0"/>
    <w:pPr>
      <w:spacing w:before="156" w:beforeLines="50" w:after="156" w:afterLines="50" w:line="360" w:lineRule="auto"/>
      <w:ind w:firstLine="480" w:firstLineChars="200"/>
    </w:pPr>
    <w:rPr>
      <w:rFonts w:ascii="宋体" w:hAnsi="宋体" w:eastAsia="宋体" w:cs="Times New Roman"/>
      <w:bCs/>
      <w:kern w:val="0"/>
      <w:sz w:val="24"/>
      <w:szCs w:val="3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4500</Words>
  <Characters>4744</Characters>
  <Lines>1922</Lines>
  <Paragraphs>1449</Paragraphs>
  <TotalTime>3</TotalTime>
  <ScaleCrop>false</ScaleCrop>
  <LinksUpToDate>false</LinksUpToDate>
  <CharactersWithSpaces>4801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2025-10-20T07:50:00Z</dcterms:created>
  <dc:creator>军辉 李</dc:creator>
  <cp:lastModifiedBy>袁晓晓</cp:lastModifiedBy>
  <cp:lastPrinted>2025-10-27T04:04:00Z</cp:lastPrinted>
  <dcterms:modified xsi:type="dcterms:W3CDTF">2025-11-06T08:18:35Z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eyJoZGlkIjoiYTcyNmEyYjBhYjJiOTA4NGIxYTUyNmU5NDViYTMzZWQiLCJ1c2VySWQiOiIxNjg0NjMyNDU4In0=</vt:lpwstr>
  </property>
  <property fmtid="{D5CDD505-2E9C-101B-9397-08002B2CF9AE}" pid="3" name="KSOProductBuildVer">
    <vt:lpwstr>2052-12.1.0.22529</vt:lpwstr>
  </property>
  <property fmtid="{D5CDD505-2E9C-101B-9397-08002B2CF9AE}" pid="4" name="ICV">
    <vt:lpwstr>533EAA0141D849298B6A420B599E41F7_12</vt:lpwstr>
  </property>
</Properties>
</file>