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ED2D49">
      <w:pPr>
        <w:pStyle w:val="18"/>
        <w:ind w:firstLine="0" w:firstLineChars="0"/>
        <w:jc w:val="center"/>
        <w:rPr>
          <w:rFonts w:hint="eastAsia" w:ascii="新宋体" w:hAnsi="新宋体" w:eastAsia="新宋体" w:cs="新宋体"/>
          <w:b/>
          <w:bCs/>
          <w:sz w:val="36"/>
          <w:szCs w:val="36"/>
          <w:lang w:bidi="ar-SA"/>
        </w:rPr>
      </w:pPr>
      <w:r>
        <w:rPr>
          <w:rFonts w:hint="eastAsia" w:ascii="新宋体" w:hAnsi="新宋体" w:eastAsia="新宋体" w:cs="新宋体"/>
          <w:b/>
          <w:bCs/>
          <w:sz w:val="36"/>
          <w:szCs w:val="36"/>
          <w:lang w:eastAsia="zh-CN" w:bidi="ar-SA"/>
        </w:rPr>
        <w:t>长葛市教育体育局市一高新建综合楼配套电子教学设备等采购项目</w:t>
      </w:r>
      <w:r>
        <w:rPr>
          <w:rFonts w:hint="eastAsia" w:ascii="新宋体" w:hAnsi="新宋体" w:eastAsia="新宋体" w:cs="新宋体"/>
          <w:b/>
          <w:bCs/>
          <w:sz w:val="36"/>
          <w:szCs w:val="36"/>
          <w:lang w:bidi="ar-SA"/>
        </w:rPr>
        <w:t xml:space="preserve"> （不见面开标）</w:t>
      </w:r>
    </w:p>
    <w:p w14:paraId="6C843759">
      <w:pPr>
        <w:adjustRightInd w:val="0"/>
        <w:snapToGrid w:val="0"/>
        <w:spacing w:line="273" w:lineRule="auto"/>
        <w:jc w:val="center"/>
        <w:rPr>
          <w:rFonts w:hint="eastAsia" w:ascii="新宋体" w:hAnsi="新宋体" w:eastAsia="新宋体" w:cs="新宋体"/>
          <w:b/>
          <w:bCs/>
          <w:sz w:val="36"/>
          <w:szCs w:val="36"/>
          <w:lang w:bidi="ar-SA"/>
        </w:rPr>
      </w:pPr>
    </w:p>
    <w:p w14:paraId="41A20AB9">
      <w:pPr>
        <w:adjustRightInd w:val="0"/>
        <w:snapToGrid w:val="0"/>
        <w:spacing w:line="360" w:lineRule="auto"/>
        <w:ind w:firstLine="3092" w:firstLineChars="700"/>
        <w:rPr>
          <w:rFonts w:hint="eastAsia" w:ascii="新宋体" w:hAnsi="新宋体" w:eastAsia="新宋体" w:cs="新宋体"/>
          <w:b/>
          <w:bCs/>
          <w:sz w:val="44"/>
          <w:szCs w:val="44"/>
          <w:lang w:bidi="ar-SA"/>
        </w:rPr>
      </w:pPr>
      <w:r>
        <w:rPr>
          <w:rFonts w:hint="eastAsia" w:ascii="新宋体" w:hAnsi="新宋体" w:eastAsia="新宋体" w:cs="新宋体"/>
          <w:b/>
          <w:bCs/>
          <w:sz w:val="44"/>
          <w:szCs w:val="44"/>
          <w:lang w:bidi="ar-SA"/>
        </w:rPr>
        <w:t>招 标 文 件</w:t>
      </w:r>
    </w:p>
    <w:p w14:paraId="1C937B83">
      <w:pPr>
        <w:adjustRightInd w:val="0"/>
        <w:snapToGrid w:val="0"/>
        <w:spacing w:line="273" w:lineRule="auto"/>
        <w:jc w:val="center"/>
        <w:rPr>
          <w:rFonts w:hint="eastAsia" w:ascii="宋体"/>
          <w:b/>
          <w:bCs/>
          <w:sz w:val="36"/>
          <w:szCs w:val="36"/>
        </w:rPr>
      </w:pPr>
    </w:p>
    <w:p w14:paraId="2F8EAAFA">
      <w:pPr>
        <w:jc w:val="center"/>
        <w:rPr>
          <w:rFonts w:hint="eastAsia" w:ascii="宋体"/>
          <w:sz w:val="36"/>
          <w:szCs w:val="36"/>
        </w:rPr>
      </w:pPr>
    </w:p>
    <w:p w14:paraId="4F5F65F7">
      <w:pPr>
        <w:rPr>
          <w:rFonts w:hint="eastAsia" w:ascii="宋体"/>
          <w:sz w:val="36"/>
          <w:szCs w:val="36"/>
        </w:rPr>
      </w:pPr>
    </w:p>
    <w:p w14:paraId="0967552F">
      <w:pPr>
        <w:rPr>
          <w:rFonts w:hint="eastAsia" w:ascii="宋体"/>
          <w:sz w:val="36"/>
          <w:szCs w:val="36"/>
        </w:rPr>
      </w:pPr>
    </w:p>
    <w:p w14:paraId="5CDB61E0">
      <w:pPr>
        <w:pStyle w:val="18"/>
        <w:rPr>
          <w:rFonts w:hint="eastAsia"/>
        </w:rPr>
      </w:pPr>
    </w:p>
    <w:p w14:paraId="2A385052">
      <w:pPr>
        <w:pStyle w:val="11"/>
        <w:rPr>
          <w:rFonts w:hint="eastAsia"/>
        </w:rPr>
      </w:pPr>
    </w:p>
    <w:p w14:paraId="39010736">
      <w:pPr>
        <w:rPr>
          <w:sz w:val="36"/>
          <w:szCs w:val="36"/>
        </w:rPr>
      </w:pPr>
    </w:p>
    <w:p w14:paraId="3347929A">
      <w:pPr>
        <w:adjustRightInd w:val="0"/>
        <w:snapToGrid w:val="0"/>
        <w:spacing w:line="360" w:lineRule="auto"/>
        <w:ind w:firstLine="723" w:firstLineChars="200"/>
        <w:rPr>
          <w:rFonts w:cs="新宋体"/>
          <w:b/>
          <w:sz w:val="36"/>
          <w:szCs w:val="36"/>
          <w:lang w:bidi="ar-SA"/>
        </w:rPr>
      </w:pPr>
    </w:p>
    <w:p w14:paraId="5ABF4F9E">
      <w:pPr>
        <w:adjustRightInd w:val="0"/>
        <w:snapToGrid w:val="0"/>
        <w:spacing w:line="360" w:lineRule="auto"/>
        <w:ind w:firstLine="1446" w:firstLineChars="400"/>
        <w:rPr>
          <w:rFonts w:hint="eastAsia" w:cs="新宋体"/>
          <w:b/>
          <w:sz w:val="36"/>
          <w:szCs w:val="36"/>
          <w:lang w:bidi="ar-SA"/>
        </w:rPr>
      </w:pPr>
      <w:r>
        <w:rPr>
          <w:rFonts w:hint="eastAsia" w:cs="新宋体"/>
          <w:b/>
          <w:sz w:val="36"/>
          <w:szCs w:val="36"/>
          <w:lang w:bidi="ar-SA"/>
        </w:rPr>
        <w:t>项目编号：长招采公字【202</w:t>
      </w:r>
      <w:r>
        <w:rPr>
          <w:rFonts w:hint="eastAsia" w:cs="新宋体"/>
          <w:b/>
          <w:sz w:val="36"/>
          <w:szCs w:val="36"/>
          <w:lang w:val="en-US" w:eastAsia="zh-CN" w:bidi="ar-SA"/>
        </w:rPr>
        <w:t>5</w:t>
      </w:r>
      <w:r>
        <w:rPr>
          <w:rFonts w:hint="eastAsia" w:cs="新宋体"/>
          <w:b/>
          <w:sz w:val="36"/>
          <w:szCs w:val="36"/>
          <w:lang w:bidi="ar-SA"/>
        </w:rPr>
        <w:t>】0</w:t>
      </w:r>
      <w:r>
        <w:rPr>
          <w:rFonts w:hint="eastAsia" w:cs="新宋体"/>
          <w:b/>
          <w:sz w:val="36"/>
          <w:szCs w:val="36"/>
          <w:lang w:val="en-US" w:eastAsia="zh-CN" w:bidi="ar-SA"/>
        </w:rPr>
        <w:t>03</w:t>
      </w:r>
      <w:r>
        <w:rPr>
          <w:rFonts w:hint="eastAsia" w:cs="新宋体"/>
          <w:b/>
          <w:sz w:val="36"/>
          <w:szCs w:val="36"/>
          <w:lang w:bidi="ar-SA"/>
        </w:rPr>
        <w:t>号</w:t>
      </w:r>
    </w:p>
    <w:p w14:paraId="114CFAFF">
      <w:pPr>
        <w:adjustRightInd w:val="0"/>
        <w:snapToGrid w:val="0"/>
        <w:spacing w:line="360" w:lineRule="auto"/>
        <w:ind w:firstLine="1446" w:firstLineChars="400"/>
        <w:rPr>
          <w:rFonts w:cs="新宋体"/>
          <w:b/>
          <w:bCs/>
          <w:sz w:val="36"/>
          <w:szCs w:val="36"/>
          <w:lang w:bidi="ar-SA"/>
        </w:rPr>
      </w:pPr>
      <w:r>
        <w:rPr>
          <w:rFonts w:hint="eastAsia" w:cs="新宋体"/>
          <w:b/>
          <w:sz w:val="36"/>
          <w:szCs w:val="36"/>
          <w:lang w:bidi="ar-SA"/>
        </w:rPr>
        <w:t>招标单位：</w:t>
      </w:r>
      <w:r>
        <w:rPr>
          <w:rFonts w:cs="新宋体"/>
          <w:b/>
          <w:bCs/>
          <w:sz w:val="36"/>
          <w:szCs w:val="36"/>
          <w:lang w:bidi="ar-SA"/>
        </w:rPr>
        <w:t>长葛市</w:t>
      </w:r>
      <w:r>
        <w:rPr>
          <w:rFonts w:hint="eastAsia" w:cs="新宋体"/>
          <w:b/>
          <w:sz w:val="36"/>
          <w:szCs w:val="36"/>
          <w:lang w:bidi="ar-SA"/>
        </w:rPr>
        <w:t>教育体育局</w:t>
      </w:r>
    </w:p>
    <w:p w14:paraId="6D1B9ED3">
      <w:pPr>
        <w:adjustRightInd w:val="0"/>
        <w:snapToGrid w:val="0"/>
        <w:spacing w:line="360" w:lineRule="auto"/>
        <w:ind w:firstLine="1446" w:firstLineChars="400"/>
        <w:rPr>
          <w:rFonts w:hint="eastAsia" w:ascii="新宋体" w:hAnsi="新宋体" w:eastAsia="新宋体" w:cs="新宋体"/>
          <w:b/>
          <w:sz w:val="36"/>
          <w:szCs w:val="36"/>
          <w:lang w:bidi="ar-SA"/>
        </w:rPr>
      </w:pPr>
      <w:r>
        <w:rPr>
          <w:rFonts w:hint="eastAsia" w:ascii="新宋体" w:hAnsi="新宋体" w:eastAsia="新宋体" w:cs="新宋体"/>
          <w:b/>
          <w:sz w:val="36"/>
          <w:szCs w:val="36"/>
          <w:lang w:bidi="ar-SA"/>
        </w:rPr>
        <w:t>集采机构：长葛市公共资源交易中心</w:t>
      </w:r>
    </w:p>
    <w:p w14:paraId="1FA72384">
      <w:pPr>
        <w:adjustRightInd w:val="0"/>
        <w:snapToGrid w:val="0"/>
        <w:spacing w:line="360" w:lineRule="auto"/>
        <w:ind w:firstLine="3534" w:firstLineChars="800"/>
        <w:rPr>
          <w:rFonts w:hint="eastAsia" w:ascii="新宋体" w:hAnsi="新宋体" w:eastAsia="新宋体" w:cs="新宋体"/>
          <w:b/>
          <w:sz w:val="44"/>
          <w:szCs w:val="44"/>
          <w:lang w:bidi="ar-SA"/>
        </w:rPr>
      </w:pPr>
    </w:p>
    <w:p w14:paraId="553D742D">
      <w:pPr>
        <w:adjustRightInd w:val="0"/>
        <w:snapToGrid w:val="0"/>
        <w:spacing w:line="360" w:lineRule="auto"/>
        <w:ind w:firstLine="3534" w:firstLineChars="800"/>
        <w:rPr>
          <w:rFonts w:hint="eastAsia" w:ascii="新宋体" w:hAnsi="新宋体" w:eastAsia="新宋体" w:cs="新宋体"/>
          <w:b/>
          <w:sz w:val="44"/>
          <w:szCs w:val="44"/>
          <w:lang w:bidi="ar-SA"/>
        </w:rPr>
      </w:pPr>
    </w:p>
    <w:p w14:paraId="47EC9C7F">
      <w:pPr>
        <w:adjustRightInd w:val="0"/>
        <w:snapToGrid w:val="0"/>
        <w:spacing w:line="360" w:lineRule="auto"/>
        <w:ind w:firstLine="2891" w:firstLineChars="800"/>
        <w:rPr>
          <w:sz w:val="36"/>
          <w:szCs w:val="36"/>
        </w:rPr>
      </w:pPr>
      <w:r>
        <w:rPr>
          <w:rFonts w:hint="eastAsia" w:ascii="新宋体" w:hAnsi="新宋体" w:eastAsia="新宋体" w:cs="新宋体"/>
          <w:b/>
          <w:sz w:val="36"/>
          <w:szCs w:val="36"/>
          <w:lang w:bidi="ar-SA"/>
        </w:rPr>
        <w:t>二〇二五年</w:t>
      </w:r>
      <w:r>
        <w:rPr>
          <w:rFonts w:hint="eastAsia" w:ascii="新宋体" w:hAnsi="新宋体" w:eastAsia="新宋体" w:cs="新宋体"/>
          <w:b/>
          <w:sz w:val="36"/>
          <w:szCs w:val="36"/>
          <w:lang w:eastAsia="zh-CN" w:bidi="ar-SA"/>
        </w:rPr>
        <w:t>二</w:t>
      </w:r>
      <w:r>
        <w:rPr>
          <w:rFonts w:hint="eastAsia" w:ascii="新宋体" w:hAnsi="新宋体" w:eastAsia="新宋体" w:cs="新宋体"/>
          <w:b/>
          <w:sz w:val="36"/>
          <w:szCs w:val="36"/>
          <w:lang w:bidi="ar-SA"/>
        </w:rPr>
        <w:t>月</w:t>
      </w:r>
    </w:p>
    <w:p w14:paraId="4AE569B5">
      <w:pPr>
        <w:autoSpaceDE w:val="0"/>
        <w:autoSpaceDN w:val="0"/>
        <w:adjustRightInd w:val="0"/>
        <w:spacing w:line="700" w:lineRule="exact"/>
        <w:jc w:val="center"/>
        <w:rPr>
          <w:rFonts w:hint="eastAsia" w:ascii="宋体" w:cs="黑体"/>
          <w:b/>
          <w:bCs/>
          <w:lang w:bidi="ar-SA"/>
        </w:rPr>
        <w:sectPr>
          <w:pgSz w:w="11906" w:h="16838"/>
          <w:pgMar w:top="1531" w:right="1474" w:bottom="1361" w:left="1587" w:header="851" w:footer="992" w:gutter="0"/>
          <w:cols w:space="720" w:num="1"/>
          <w:docGrid w:type="lines" w:linePitch="324" w:charSpace="0"/>
        </w:sectPr>
      </w:pPr>
    </w:p>
    <w:p w14:paraId="5F15F11E">
      <w:pPr>
        <w:autoSpaceDE w:val="0"/>
        <w:autoSpaceDN w:val="0"/>
        <w:adjustRightInd w:val="0"/>
        <w:spacing w:line="700" w:lineRule="exact"/>
        <w:jc w:val="center"/>
        <w:rPr>
          <w:rFonts w:hint="eastAsia" w:ascii="宋体"/>
          <w:b/>
          <w:bCs/>
          <w:sz w:val="30"/>
          <w:szCs w:val="30"/>
        </w:rPr>
      </w:pPr>
      <w:r>
        <w:rPr>
          <w:rFonts w:hint="eastAsia" w:ascii="宋体"/>
          <w:b/>
          <w:bCs/>
          <w:sz w:val="30"/>
          <w:szCs w:val="30"/>
        </w:rPr>
        <w:t>目    录</w:t>
      </w:r>
    </w:p>
    <w:p w14:paraId="7EAC4DA6">
      <w:pPr>
        <w:autoSpaceDE w:val="0"/>
        <w:autoSpaceDN w:val="0"/>
        <w:adjustRightInd w:val="0"/>
        <w:spacing w:line="700" w:lineRule="exact"/>
        <w:rPr>
          <w:rFonts w:hint="eastAsia" w:ascii="宋体"/>
          <w:b/>
          <w:bCs/>
          <w:sz w:val="30"/>
          <w:szCs w:val="30"/>
        </w:rPr>
      </w:pPr>
    </w:p>
    <w:p w14:paraId="44BE7342">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第一章  投标邀请</w:t>
      </w:r>
    </w:p>
    <w:p w14:paraId="59494E76">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第二章  项目需求</w:t>
      </w:r>
    </w:p>
    <w:p w14:paraId="6D74AA66">
      <w:pPr>
        <w:autoSpaceDE w:val="0"/>
        <w:autoSpaceDN w:val="0"/>
        <w:adjustRightInd w:val="0"/>
        <w:spacing w:line="700" w:lineRule="exact"/>
        <w:ind w:firstLine="560"/>
        <w:rPr>
          <w:rFonts w:hint="eastAsia" w:ascii="宋体" w:cs="宋体"/>
          <w:b/>
          <w:kern w:val="0"/>
          <w:sz w:val="30"/>
          <w:szCs w:val="30"/>
          <w:lang w:bidi="ar-SA"/>
        </w:rPr>
      </w:pPr>
      <w:r>
        <w:rPr>
          <w:rFonts w:hint="eastAsia" w:ascii="宋体" w:cs="宋体"/>
          <w:b/>
          <w:bCs/>
          <w:sz w:val="30"/>
          <w:szCs w:val="30"/>
          <w:lang w:val="zh-CN" w:eastAsia="zh-CN" w:bidi="ar-SA"/>
        </w:rPr>
        <w:t>第三章  投标人</w:t>
      </w:r>
      <w:r>
        <w:rPr>
          <w:rFonts w:hint="eastAsia" w:ascii="宋体" w:cs="宋体"/>
          <w:b/>
          <w:kern w:val="0"/>
          <w:sz w:val="30"/>
          <w:szCs w:val="30"/>
          <w:lang w:bidi="ar-SA"/>
        </w:rPr>
        <w:t>须知前附表</w:t>
      </w:r>
    </w:p>
    <w:p w14:paraId="06538D33">
      <w:pPr>
        <w:autoSpaceDE w:val="0"/>
        <w:autoSpaceDN w:val="0"/>
        <w:adjustRightInd w:val="0"/>
        <w:spacing w:line="700" w:lineRule="exact"/>
        <w:ind w:firstLine="560"/>
        <w:rPr>
          <w:rFonts w:hint="eastAsia" w:ascii="宋体" w:cs="宋体"/>
          <w:b/>
          <w:kern w:val="0"/>
          <w:sz w:val="30"/>
          <w:szCs w:val="30"/>
          <w:lang w:bidi="ar-SA"/>
        </w:rPr>
      </w:pPr>
      <w:r>
        <w:rPr>
          <w:rFonts w:hint="eastAsia" w:ascii="宋体" w:cs="宋体"/>
          <w:b/>
          <w:bCs/>
          <w:sz w:val="30"/>
          <w:szCs w:val="30"/>
          <w:lang w:val="zh-CN" w:eastAsia="zh-CN" w:bidi="ar-SA"/>
        </w:rPr>
        <w:t>第四章  投标人</w:t>
      </w:r>
      <w:r>
        <w:rPr>
          <w:rFonts w:hint="eastAsia" w:ascii="宋体" w:cs="宋体"/>
          <w:b/>
          <w:kern w:val="0"/>
          <w:sz w:val="30"/>
          <w:szCs w:val="30"/>
          <w:lang w:bidi="ar-SA"/>
        </w:rPr>
        <w:t>须知</w:t>
      </w:r>
    </w:p>
    <w:p w14:paraId="74F03634">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一、概念释义</w:t>
      </w:r>
    </w:p>
    <w:p w14:paraId="7A815ECE">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二、招标文件说明</w:t>
      </w:r>
    </w:p>
    <w:p w14:paraId="563DA6FD">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三、投标文件的编制</w:t>
      </w:r>
    </w:p>
    <w:p w14:paraId="51B598A8">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四、投标文件的递交</w:t>
      </w:r>
    </w:p>
    <w:p w14:paraId="79437109">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五、开标和评标</w:t>
      </w:r>
    </w:p>
    <w:p w14:paraId="22E09063">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sz w:val="30"/>
          <w:szCs w:val="30"/>
          <w:lang w:val="zh-CN" w:eastAsia="zh-CN" w:bidi="ar-SA"/>
        </w:rPr>
        <w:t>六、定标和授予合同</w:t>
      </w:r>
    </w:p>
    <w:p w14:paraId="4FCBEB16">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 xml:space="preserve">第五章  </w:t>
      </w:r>
      <w:r>
        <w:rPr>
          <w:rFonts w:hint="eastAsia" w:ascii="宋体" w:cs="宋体"/>
          <w:b/>
          <w:kern w:val="0"/>
          <w:sz w:val="30"/>
          <w:szCs w:val="30"/>
          <w:lang w:bidi="ar-SA"/>
        </w:rPr>
        <w:t>政府采购政策功能</w:t>
      </w:r>
    </w:p>
    <w:p w14:paraId="12EE0FE5">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 xml:space="preserve">第六章  </w:t>
      </w:r>
      <w:r>
        <w:rPr>
          <w:rFonts w:hint="eastAsia" w:ascii="宋体" w:cs="宋体"/>
          <w:b/>
          <w:kern w:val="0"/>
          <w:sz w:val="30"/>
          <w:szCs w:val="30"/>
          <w:lang w:bidi="ar-SA"/>
        </w:rPr>
        <w:t>资格审查与评标</w:t>
      </w:r>
    </w:p>
    <w:p w14:paraId="4235B2B1">
      <w:pPr>
        <w:autoSpaceDE w:val="0"/>
        <w:autoSpaceDN w:val="0"/>
        <w:adjustRightInd w:val="0"/>
        <w:spacing w:line="700" w:lineRule="exact"/>
        <w:ind w:firstLine="551"/>
        <w:outlineLvl w:val="0"/>
        <w:rPr>
          <w:rFonts w:hint="eastAsia" w:ascii="宋体" w:cs="宋体"/>
          <w:b/>
          <w:bCs/>
          <w:sz w:val="30"/>
          <w:szCs w:val="30"/>
          <w:lang w:val="zh-CN" w:eastAsia="zh-CN" w:bidi="ar-SA"/>
        </w:rPr>
      </w:pPr>
      <w:r>
        <w:rPr>
          <w:rFonts w:hint="eastAsia" w:ascii="宋体" w:cs="宋体"/>
          <w:b/>
          <w:bCs/>
          <w:sz w:val="30"/>
          <w:szCs w:val="30"/>
          <w:lang w:val="zh-CN" w:eastAsia="zh-CN" w:bidi="ar-SA"/>
        </w:rPr>
        <w:t>第七章  拟签订的</w:t>
      </w:r>
      <w:r>
        <w:rPr>
          <w:rFonts w:hint="eastAsia" w:ascii="宋体" w:cs="宋体"/>
          <w:b/>
          <w:kern w:val="0"/>
          <w:sz w:val="30"/>
          <w:szCs w:val="30"/>
          <w:lang w:bidi="ar-SA"/>
        </w:rPr>
        <w:t>合同文本</w:t>
      </w:r>
    </w:p>
    <w:p w14:paraId="09008A4F">
      <w:pPr>
        <w:autoSpaceDE w:val="0"/>
        <w:autoSpaceDN w:val="0"/>
        <w:adjustRightInd w:val="0"/>
        <w:spacing w:line="700" w:lineRule="exact"/>
        <w:ind w:firstLine="551"/>
        <w:rPr>
          <w:rFonts w:hint="eastAsia" w:ascii="宋体" w:cs="宋体"/>
          <w:b/>
          <w:kern w:val="0"/>
          <w:sz w:val="30"/>
          <w:szCs w:val="30"/>
          <w:lang w:bidi="ar-SA"/>
        </w:rPr>
      </w:pPr>
      <w:r>
        <w:rPr>
          <w:rFonts w:hint="eastAsia" w:ascii="宋体" w:cs="宋体"/>
          <w:b/>
          <w:bCs/>
          <w:sz w:val="30"/>
          <w:szCs w:val="30"/>
          <w:lang w:val="zh-CN" w:eastAsia="zh-CN" w:bidi="ar-SA"/>
        </w:rPr>
        <w:t xml:space="preserve">第八章  </w:t>
      </w:r>
      <w:r>
        <w:rPr>
          <w:rFonts w:hint="eastAsia" w:ascii="宋体" w:cs="宋体"/>
          <w:b/>
          <w:kern w:val="0"/>
          <w:sz w:val="30"/>
          <w:szCs w:val="30"/>
          <w:lang w:bidi="ar-SA"/>
        </w:rPr>
        <w:t>投标文件有关格式</w:t>
      </w:r>
    </w:p>
    <w:p w14:paraId="7D81F153">
      <w:pPr>
        <w:autoSpaceDE w:val="0"/>
        <w:autoSpaceDN w:val="0"/>
        <w:adjustRightInd w:val="0"/>
        <w:spacing w:line="700" w:lineRule="exact"/>
        <w:ind w:firstLine="551"/>
        <w:rPr>
          <w:rFonts w:hint="eastAsia" w:ascii="宋体"/>
          <w:b/>
          <w:sz w:val="30"/>
          <w:szCs w:val="30"/>
          <w:shd w:val="clear" w:color="auto" w:fill="FFFFFF"/>
        </w:rPr>
      </w:pPr>
    </w:p>
    <w:p w14:paraId="7A04D60C">
      <w:pPr>
        <w:jc w:val="center"/>
        <w:rPr>
          <w:rFonts w:hint="eastAsia" w:ascii="宋体"/>
          <w:b/>
          <w:kern w:val="0"/>
        </w:rPr>
      </w:pPr>
    </w:p>
    <w:p w14:paraId="0A4E9C52">
      <w:pPr>
        <w:pStyle w:val="18"/>
        <w:rPr>
          <w:b/>
          <w:sz w:val="21"/>
          <w:szCs w:val="21"/>
        </w:rPr>
      </w:pPr>
    </w:p>
    <w:p w14:paraId="1AB5DC0A"/>
    <w:p w14:paraId="7D97B1CD"/>
    <w:p w14:paraId="2BCDA3B9">
      <w:pPr>
        <w:rPr>
          <w:rFonts w:hint="eastAsia" w:ascii="宋体"/>
          <w:b/>
          <w:kern w:val="0"/>
          <w:sz w:val="24"/>
          <w:szCs w:val="24"/>
        </w:rPr>
      </w:pPr>
    </w:p>
    <w:p w14:paraId="2A118029">
      <w:pPr>
        <w:numPr>
          <w:ilvl w:val="0"/>
          <w:numId w:val="1"/>
        </w:numPr>
        <w:jc w:val="center"/>
        <w:rPr>
          <w:rFonts w:hint="eastAsia" w:ascii="宋体"/>
          <w:b/>
          <w:kern w:val="0"/>
          <w:sz w:val="24"/>
          <w:szCs w:val="24"/>
        </w:rPr>
      </w:pPr>
      <w:r>
        <w:rPr>
          <w:rFonts w:hint="eastAsia" w:ascii="宋体"/>
          <w:b/>
          <w:kern w:val="0"/>
          <w:sz w:val="24"/>
          <w:szCs w:val="24"/>
        </w:rPr>
        <w:t xml:space="preserve"> 投标邀请</w:t>
      </w:r>
    </w:p>
    <w:p w14:paraId="0EA167EA">
      <w:pPr>
        <w:rPr>
          <w:rFonts w:hint="eastAsia" w:ascii="宋体"/>
          <w:b/>
          <w:kern w:val="0"/>
          <w:sz w:val="24"/>
          <w:szCs w:val="24"/>
        </w:rPr>
      </w:pPr>
    </w:p>
    <w:p w14:paraId="1732ED6C">
      <w:pPr>
        <w:spacing w:line="360" w:lineRule="auto"/>
        <w:ind w:firstLine="315" w:firstLineChars="150"/>
        <w:jc w:val="left"/>
        <w:rPr>
          <w:rFonts w:hint="eastAsia" w:ascii="宋体"/>
          <w:bCs/>
          <w:kern w:val="0"/>
        </w:rPr>
      </w:pPr>
      <w:r>
        <w:rPr>
          <w:rFonts w:hint="eastAsia" w:ascii="宋体"/>
          <w:bCs/>
          <w:kern w:val="0"/>
        </w:rPr>
        <w:t>长葛市公共资源交易中心受长葛市教育体育局的委托，就</w:t>
      </w:r>
      <w:r>
        <w:rPr>
          <w:rFonts w:hint="eastAsia" w:ascii="宋体"/>
          <w:bCs/>
          <w:kern w:val="0"/>
          <w:lang w:eastAsia="zh-CN"/>
        </w:rPr>
        <w:t>长葛市教育体育局市一高新建综合楼配套电子教学设备等采购项目</w:t>
      </w:r>
      <w:r>
        <w:rPr>
          <w:rFonts w:hint="eastAsia" w:ascii="宋体"/>
          <w:bCs/>
          <w:kern w:val="0"/>
        </w:rPr>
        <w:t>（不见面开标）进行公开招标，现邀请合格的投标人前来投标。</w:t>
      </w:r>
    </w:p>
    <w:p w14:paraId="576F31F2">
      <w:pPr>
        <w:spacing w:line="360" w:lineRule="auto"/>
        <w:jc w:val="left"/>
        <w:rPr>
          <w:rFonts w:hint="eastAsia" w:ascii="宋体"/>
          <w:b/>
          <w:kern w:val="0"/>
        </w:rPr>
      </w:pPr>
      <w:r>
        <w:rPr>
          <w:rFonts w:hint="eastAsia" w:ascii="宋体"/>
          <w:b/>
          <w:kern w:val="0"/>
        </w:rPr>
        <w:t xml:space="preserve">一、项目基本情况 </w:t>
      </w:r>
    </w:p>
    <w:p w14:paraId="176B427D">
      <w:pPr>
        <w:spacing w:line="500" w:lineRule="exact"/>
        <w:ind w:firstLine="420" w:firstLineChars="200"/>
        <w:rPr>
          <w:rFonts w:hint="eastAsia" w:ascii="宋体"/>
          <w:kern w:val="0"/>
        </w:rPr>
      </w:pPr>
      <w:r>
        <w:rPr>
          <w:rFonts w:hint="eastAsia" w:ascii="宋体"/>
          <w:kern w:val="0"/>
        </w:rPr>
        <w:t>1.1项目名称：</w:t>
      </w:r>
      <w:r>
        <w:rPr>
          <w:rFonts w:hint="eastAsia" w:ascii="宋体"/>
          <w:kern w:val="0"/>
          <w:lang w:eastAsia="zh-CN"/>
        </w:rPr>
        <w:t>长葛市教育体育局市一高新建综合楼配套电子教学设备等采购项目</w:t>
      </w:r>
      <w:r>
        <w:rPr>
          <w:rFonts w:hint="eastAsia" w:ascii="宋体"/>
          <w:kern w:val="0"/>
        </w:rPr>
        <w:t>（不见面开标）</w:t>
      </w:r>
    </w:p>
    <w:p w14:paraId="7DE69163">
      <w:pPr>
        <w:spacing w:line="500" w:lineRule="exact"/>
        <w:ind w:firstLine="420" w:firstLineChars="200"/>
        <w:rPr>
          <w:rFonts w:hint="eastAsia" w:ascii="宋体"/>
          <w:kern w:val="0"/>
        </w:rPr>
      </w:pPr>
      <w:r>
        <w:rPr>
          <w:rFonts w:hint="eastAsia" w:ascii="宋体"/>
          <w:kern w:val="0"/>
        </w:rPr>
        <w:t>1.2项目编号：长招采公字【202</w:t>
      </w:r>
      <w:r>
        <w:rPr>
          <w:rFonts w:hint="eastAsia" w:ascii="宋体"/>
          <w:kern w:val="0"/>
          <w:lang w:val="en-US" w:eastAsia="zh-CN"/>
        </w:rPr>
        <w:t>5</w:t>
      </w:r>
      <w:r>
        <w:rPr>
          <w:rFonts w:hint="eastAsia" w:ascii="宋体"/>
          <w:kern w:val="0"/>
        </w:rPr>
        <w:t>】0</w:t>
      </w:r>
      <w:r>
        <w:rPr>
          <w:rFonts w:hint="eastAsia" w:ascii="宋体"/>
          <w:kern w:val="0"/>
          <w:lang w:val="en-US" w:eastAsia="zh-CN"/>
        </w:rPr>
        <w:t>03</w:t>
      </w:r>
      <w:r>
        <w:rPr>
          <w:rFonts w:hint="eastAsia" w:ascii="宋体"/>
          <w:kern w:val="0"/>
        </w:rPr>
        <w:t>号</w:t>
      </w:r>
    </w:p>
    <w:p w14:paraId="043C3CFA">
      <w:pPr>
        <w:spacing w:line="500" w:lineRule="exact"/>
        <w:ind w:firstLine="420" w:firstLineChars="200"/>
        <w:rPr>
          <w:rFonts w:hint="eastAsia" w:ascii="宋体"/>
          <w:color w:val="FF0000"/>
          <w:kern w:val="0"/>
        </w:rPr>
      </w:pPr>
      <w:r>
        <w:rPr>
          <w:rFonts w:hint="eastAsia" w:ascii="宋体"/>
          <w:kern w:val="0"/>
        </w:rPr>
        <w:t>1.3项目内容：</w:t>
      </w:r>
      <w:r>
        <w:rPr>
          <w:rFonts w:hint="eastAsia" w:ascii="宋体"/>
          <w:color w:val="auto"/>
          <w:kern w:val="0"/>
        </w:rPr>
        <w:t>长葛市教育体育局拟招标</w:t>
      </w:r>
      <w:r>
        <w:rPr>
          <w:rFonts w:hint="eastAsia" w:ascii="宋体"/>
          <w:color w:val="auto"/>
          <w:kern w:val="0"/>
          <w:lang w:eastAsia="zh-CN"/>
        </w:rPr>
        <w:t>市一高新建综合楼配套电子教学设备等</w:t>
      </w:r>
      <w:r>
        <w:rPr>
          <w:rFonts w:hint="eastAsia" w:ascii="宋体"/>
          <w:color w:val="auto"/>
          <w:kern w:val="0"/>
        </w:rPr>
        <w:t>，</w:t>
      </w:r>
      <w:r>
        <w:rPr>
          <w:rFonts w:hint="eastAsia" w:ascii="宋体"/>
          <w:bCs/>
          <w:color w:val="auto"/>
          <w:kern w:val="0"/>
        </w:rPr>
        <w:t>具体招标参数详见招标文件第二章</w:t>
      </w:r>
      <w:r>
        <w:rPr>
          <w:rFonts w:hint="eastAsia" w:ascii="宋体"/>
          <w:bCs/>
          <w:color w:val="auto"/>
          <w:kern w:val="0"/>
          <w:lang w:eastAsia="zh-CN"/>
        </w:rPr>
        <w:t>项目</w:t>
      </w:r>
      <w:r>
        <w:rPr>
          <w:rFonts w:hint="eastAsia" w:ascii="宋体"/>
          <w:bCs/>
          <w:color w:val="auto"/>
          <w:kern w:val="0"/>
        </w:rPr>
        <w:t>需求。</w:t>
      </w:r>
    </w:p>
    <w:p w14:paraId="6F251C1B">
      <w:pPr>
        <w:spacing w:line="500" w:lineRule="exact"/>
        <w:ind w:firstLine="420" w:firstLineChars="200"/>
        <w:rPr>
          <w:rFonts w:hint="eastAsia" w:ascii="宋体"/>
          <w:kern w:val="0"/>
        </w:rPr>
      </w:pPr>
      <w:r>
        <w:rPr>
          <w:rFonts w:hint="eastAsia" w:ascii="宋体"/>
          <w:kern w:val="0"/>
        </w:rPr>
        <w:t>1.4 招标方式：公开招标</w:t>
      </w:r>
    </w:p>
    <w:p w14:paraId="044BE704">
      <w:pPr>
        <w:spacing w:line="500" w:lineRule="exact"/>
        <w:ind w:firstLine="420" w:firstLineChars="200"/>
        <w:rPr>
          <w:rFonts w:hint="eastAsia" w:ascii="宋体"/>
          <w:kern w:val="0"/>
        </w:rPr>
      </w:pPr>
      <w:r>
        <w:rPr>
          <w:rFonts w:hint="eastAsia" w:ascii="宋体"/>
          <w:kern w:val="0"/>
        </w:rPr>
        <w:t>1.5</w:t>
      </w:r>
      <w:r>
        <w:rPr>
          <w:rFonts w:hint="eastAsia" w:ascii="宋体"/>
          <w:color w:val="000000"/>
          <w:kern w:val="0"/>
        </w:rPr>
        <w:t>项目属性：货物</w:t>
      </w:r>
    </w:p>
    <w:p w14:paraId="71BB6C98">
      <w:pPr>
        <w:spacing w:line="500" w:lineRule="exact"/>
        <w:ind w:firstLine="420" w:firstLineChars="200"/>
        <w:rPr>
          <w:rFonts w:hint="eastAsia" w:ascii="宋体"/>
          <w:kern w:val="0"/>
        </w:rPr>
      </w:pPr>
      <w:r>
        <w:rPr>
          <w:rFonts w:hint="eastAsia" w:ascii="宋体"/>
          <w:color w:val="000000"/>
          <w:kern w:val="0"/>
        </w:rPr>
        <w:t>1.6</w:t>
      </w:r>
      <w:r>
        <w:rPr>
          <w:rFonts w:hint="eastAsia" w:ascii="宋体"/>
          <w:kern w:val="0"/>
        </w:rPr>
        <w:t>标包划分：本项目划分为一个标包。</w:t>
      </w:r>
    </w:p>
    <w:p w14:paraId="72485DD9">
      <w:pPr>
        <w:spacing w:line="500" w:lineRule="exact"/>
        <w:ind w:firstLine="420" w:firstLineChars="200"/>
        <w:rPr>
          <w:rFonts w:hint="eastAsia" w:ascii="宋体"/>
          <w:kern w:val="0"/>
        </w:rPr>
      </w:pPr>
      <w:r>
        <w:rPr>
          <w:rFonts w:hint="eastAsia" w:ascii="宋体"/>
          <w:color w:val="000000"/>
          <w:kern w:val="0"/>
        </w:rPr>
        <w:t>1.7</w:t>
      </w:r>
      <w:r>
        <w:rPr>
          <w:rFonts w:hint="eastAsia" w:ascii="宋体"/>
          <w:kern w:val="0"/>
        </w:rPr>
        <w:t>招标预算（最高限价）：</w:t>
      </w:r>
      <w:r>
        <w:rPr>
          <w:rFonts w:hint="eastAsia" w:ascii="宋体"/>
          <w:kern w:val="0"/>
          <w:lang w:val="en-US" w:eastAsia="zh-CN"/>
        </w:rPr>
        <w:t>931</w:t>
      </w:r>
      <w:r>
        <w:rPr>
          <w:rFonts w:hint="eastAsia" w:ascii="宋体"/>
          <w:kern w:val="0"/>
        </w:rPr>
        <w:t>0000.00元。</w:t>
      </w:r>
    </w:p>
    <w:p w14:paraId="3F166E24">
      <w:pPr>
        <w:spacing w:line="500" w:lineRule="exact"/>
        <w:ind w:firstLine="420" w:firstLineChars="200"/>
        <w:rPr>
          <w:rFonts w:hint="eastAsia" w:ascii="宋体"/>
          <w:color w:val="000000"/>
          <w:kern w:val="0"/>
        </w:rPr>
      </w:pPr>
      <w:r>
        <w:rPr>
          <w:rFonts w:hint="eastAsia" w:ascii="宋体"/>
          <w:color w:val="000000"/>
          <w:kern w:val="0"/>
        </w:rPr>
        <w:t>1.8交付（服务、完工）时间：合同签订后30日历天</w:t>
      </w:r>
    </w:p>
    <w:p w14:paraId="541C1BE3">
      <w:pPr>
        <w:spacing w:line="500" w:lineRule="exact"/>
        <w:ind w:firstLine="420" w:firstLineChars="200"/>
        <w:rPr>
          <w:rFonts w:hint="eastAsia" w:ascii="宋体"/>
          <w:color w:val="000000"/>
          <w:kern w:val="0"/>
        </w:rPr>
      </w:pPr>
      <w:r>
        <w:rPr>
          <w:rFonts w:hint="eastAsia" w:ascii="宋体"/>
          <w:color w:val="000000"/>
          <w:kern w:val="0"/>
        </w:rPr>
        <w:t>1.9交付（服务、完工）地点：</w:t>
      </w:r>
      <w:r>
        <w:rPr>
          <w:rFonts w:hint="eastAsia" w:ascii="宋体"/>
          <w:color w:val="000000"/>
          <w:kern w:val="0"/>
          <w:lang w:eastAsia="zh-CN"/>
        </w:rPr>
        <w:t>长葛市第一高级中学</w:t>
      </w:r>
      <w:r>
        <w:rPr>
          <w:rFonts w:hint="eastAsia" w:ascii="宋体"/>
          <w:color w:val="000000"/>
          <w:kern w:val="0"/>
        </w:rPr>
        <w:t>。</w:t>
      </w:r>
    </w:p>
    <w:p w14:paraId="796717FD">
      <w:pPr>
        <w:spacing w:line="360" w:lineRule="auto"/>
        <w:jc w:val="left"/>
        <w:rPr>
          <w:rFonts w:hint="eastAsia" w:ascii="宋体"/>
          <w:b/>
          <w:kern w:val="0"/>
        </w:rPr>
      </w:pPr>
      <w:r>
        <w:rPr>
          <w:rFonts w:hint="eastAsia" w:ascii="宋体"/>
          <w:b/>
          <w:kern w:val="0"/>
        </w:rPr>
        <w:t>二、需要落实的政府采购政策</w:t>
      </w:r>
    </w:p>
    <w:p w14:paraId="16F34CF0">
      <w:pPr>
        <w:spacing w:line="500" w:lineRule="exact"/>
        <w:ind w:firstLine="420" w:firstLineChars="200"/>
        <w:rPr>
          <w:rFonts w:hint="eastAsia" w:ascii="宋体"/>
          <w:kern w:val="0"/>
        </w:rPr>
      </w:pPr>
      <w:r>
        <w:rPr>
          <w:rFonts w:hint="eastAsia" w:ascii="宋体"/>
          <w:kern w:val="0"/>
        </w:rPr>
        <w:t>本项目落实节能环保、中小微型企业扶持、支持监狱企业发展、残疾人福利性单位扶持等相关政府采购政策。</w:t>
      </w:r>
    </w:p>
    <w:p w14:paraId="5A15D38C">
      <w:pPr>
        <w:spacing w:line="360" w:lineRule="auto"/>
        <w:jc w:val="left"/>
        <w:rPr>
          <w:rFonts w:hint="eastAsia" w:ascii="宋体"/>
          <w:b/>
          <w:kern w:val="0"/>
        </w:rPr>
      </w:pPr>
      <w:r>
        <w:rPr>
          <w:rFonts w:hint="eastAsia" w:ascii="宋体"/>
          <w:b/>
          <w:kern w:val="0"/>
        </w:rPr>
        <w:t>三、投标人资格要求</w:t>
      </w:r>
    </w:p>
    <w:p w14:paraId="45599DD6">
      <w:pPr>
        <w:tabs>
          <w:tab w:val="left" w:pos="630"/>
        </w:tabs>
        <w:spacing w:line="500" w:lineRule="exact"/>
        <w:ind w:firstLine="420" w:firstLineChars="200"/>
        <w:rPr>
          <w:rFonts w:hint="eastAsia" w:ascii="宋体"/>
          <w:kern w:val="0"/>
        </w:rPr>
      </w:pPr>
      <w:r>
        <w:rPr>
          <w:rFonts w:hint="eastAsia" w:ascii="宋体"/>
          <w:kern w:val="0"/>
        </w:rPr>
        <w:t>3.1符合《</w:t>
      </w:r>
      <w:r>
        <w:rPr>
          <w:rFonts w:hint="eastAsia" w:ascii="宋体"/>
          <w:kern w:val="0"/>
          <w:lang w:eastAsia="zh-CN"/>
        </w:rPr>
        <w:t>中华人民共和国政府采购法</w:t>
      </w:r>
      <w:r>
        <w:rPr>
          <w:rFonts w:hint="eastAsia" w:ascii="宋体"/>
          <w:kern w:val="0"/>
        </w:rPr>
        <w:t>》第二十二条之规定。</w:t>
      </w:r>
    </w:p>
    <w:p w14:paraId="2A7B042A">
      <w:pPr>
        <w:spacing w:line="500" w:lineRule="exact"/>
        <w:ind w:firstLine="420" w:firstLineChars="200"/>
        <w:rPr>
          <w:rFonts w:hint="eastAsia" w:ascii="宋体"/>
          <w:kern w:val="0"/>
        </w:rPr>
      </w:pPr>
      <w:r>
        <w:rPr>
          <w:rFonts w:hint="eastAsia" w:ascii="宋体"/>
          <w:kern w:val="0"/>
        </w:rPr>
        <w:t>3.2未被列入“信用中国”网站(www.creditchina.gov.cn)失信被执行人、重大税收违法案件当事人名单；“中国政府采购网” (www.ccgp.gov.cn)网站的政府采购严重违法失信行为记录名单的投标人；“中国社会组织公共服务平台”网站（www.chinanpo.gov.cn）严重违法失信名单的投标人。</w:t>
      </w:r>
    </w:p>
    <w:p w14:paraId="7EA22B4C">
      <w:pPr>
        <w:spacing w:line="500" w:lineRule="exact"/>
        <w:ind w:firstLine="422" w:firstLineChars="200"/>
        <w:rPr>
          <w:rFonts w:hint="eastAsia" w:ascii="宋体"/>
          <w:b/>
          <w:bCs/>
          <w:kern w:val="0"/>
        </w:rPr>
      </w:pPr>
      <w:r>
        <w:rPr>
          <w:rFonts w:hint="eastAsia" w:ascii="宋体"/>
          <w:b/>
          <w:bCs/>
          <w:kern w:val="0"/>
        </w:rPr>
        <w:t xml:space="preserve">注： 1、 投标人在投标时，提供《长葛市政府采购投标人信用承诺函》（详见 招标文件第八章3.5格式），无需再提交上述证明材料。 </w:t>
      </w:r>
    </w:p>
    <w:p w14:paraId="0C38C01A">
      <w:pPr>
        <w:spacing w:line="500" w:lineRule="exact"/>
        <w:ind w:firstLine="632" w:firstLineChars="300"/>
        <w:rPr>
          <w:rFonts w:hint="eastAsia" w:ascii="宋体"/>
          <w:b/>
          <w:bCs/>
          <w:kern w:val="0"/>
        </w:rPr>
      </w:pPr>
      <w:r>
        <w:rPr>
          <w:rFonts w:hint="eastAsia" w:ascii="宋体"/>
          <w:b/>
          <w:bCs/>
          <w:kern w:val="0"/>
        </w:rPr>
        <w:t>2、 招标人有权在签订合同前要求中标投标人提供相关证明材料以核实中标投标人承诺事项的真实性。</w:t>
      </w:r>
    </w:p>
    <w:p w14:paraId="1C835644">
      <w:pPr>
        <w:spacing w:line="500" w:lineRule="exact"/>
        <w:ind w:firstLine="632" w:firstLineChars="300"/>
        <w:rPr>
          <w:rFonts w:hint="eastAsia" w:ascii="宋体"/>
          <w:b/>
          <w:bCs/>
          <w:kern w:val="0"/>
        </w:rPr>
      </w:pPr>
      <w:r>
        <w:rPr>
          <w:rFonts w:hint="eastAsia" w:ascii="宋体"/>
          <w:b/>
          <w:bCs/>
          <w:kern w:val="0"/>
        </w:rPr>
        <w:t>3、 投标人对信用承诺内容的真实性、合法性、有效性负责。如作出虚假信用承诺，视同为“提供虚假材料谋取中标”的违法行为。</w:t>
      </w:r>
    </w:p>
    <w:p w14:paraId="09BD8C65">
      <w:pPr>
        <w:spacing w:line="360" w:lineRule="auto"/>
        <w:ind w:firstLine="632" w:firstLineChars="300"/>
        <w:jc w:val="left"/>
        <w:rPr>
          <w:rFonts w:hint="eastAsia" w:ascii="宋体"/>
          <w:b/>
          <w:bCs/>
          <w:kern w:val="0"/>
        </w:rPr>
      </w:pPr>
      <w:r>
        <w:rPr>
          <w:rFonts w:hint="eastAsia" w:ascii="宋体"/>
          <w:b/>
          <w:kern w:val="0"/>
        </w:rPr>
        <w:t>4、河南省市场主体可通过“信用中国（河南）”网站、河南政务服务网、“豫事办”APP等渠道免费出具专项信用报告。</w:t>
      </w:r>
    </w:p>
    <w:p w14:paraId="220421E6">
      <w:pPr>
        <w:spacing w:line="500" w:lineRule="exact"/>
        <w:ind w:firstLine="420" w:firstLineChars="200"/>
        <w:rPr>
          <w:rFonts w:hint="eastAsia" w:ascii="宋体"/>
          <w:kern w:val="0"/>
        </w:rPr>
      </w:pPr>
      <w:r>
        <w:rPr>
          <w:rFonts w:hint="eastAsia" w:ascii="宋体"/>
          <w:kern w:val="0"/>
        </w:rPr>
        <w:t xml:space="preserve">3.3 单位负责人为同一人或者存在直接控股、管理关系的不同投标人，不得参加同一合同项下的政府采购活动。为招标项目提供整体设计、规范编制或者项目管理、监理、检测等服务的投标人，不得再参加该招标项目的其他采购活动。 </w:t>
      </w:r>
    </w:p>
    <w:p w14:paraId="37B0500F">
      <w:pPr>
        <w:spacing w:line="500" w:lineRule="exact"/>
        <w:ind w:firstLine="422" w:firstLineChars="200"/>
        <w:rPr>
          <w:rFonts w:hint="eastAsia" w:ascii="宋体"/>
          <w:b/>
          <w:bCs/>
          <w:kern w:val="0"/>
        </w:rPr>
      </w:pPr>
      <w:r>
        <w:rPr>
          <w:rFonts w:hint="eastAsia" w:ascii="宋体"/>
          <w:b/>
          <w:bCs/>
          <w:kern w:val="0"/>
        </w:rPr>
        <w:t xml:space="preserve">3.4 本项目接受联合体投标。 </w:t>
      </w:r>
    </w:p>
    <w:p w14:paraId="506D2878">
      <w:pPr>
        <w:spacing w:line="500" w:lineRule="exact"/>
        <w:ind w:firstLine="422" w:firstLineChars="200"/>
        <w:rPr>
          <w:rFonts w:hint="eastAsia" w:ascii="宋体"/>
          <w:b/>
          <w:bCs/>
          <w:kern w:val="0"/>
        </w:rPr>
      </w:pPr>
      <w:r>
        <w:rPr>
          <w:rFonts w:hint="eastAsia" w:ascii="宋体"/>
          <w:b/>
          <w:bCs/>
          <w:kern w:val="0"/>
        </w:rPr>
        <w:t xml:space="preserve">3.5 本项目非专门面向中小企业招标。 </w:t>
      </w:r>
    </w:p>
    <w:p w14:paraId="484D3A83">
      <w:pPr>
        <w:spacing w:line="360" w:lineRule="auto"/>
        <w:jc w:val="left"/>
        <w:rPr>
          <w:rFonts w:hint="eastAsia" w:ascii="宋体"/>
          <w:b/>
          <w:kern w:val="0"/>
        </w:rPr>
      </w:pPr>
      <w:r>
        <w:rPr>
          <w:rFonts w:hint="eastAsia" w:ascii="宋体"/>
          <w:b/>
          <w:kern w:val="0"/>
        </w:rPr>
        <w:t>四、招标文件的获取</w:t>
      </w:r>
    </w:p>
    <w:p w14:paraId="475F64B7">
      <w:pPr>
        <w:spacing w:line="360" w:lineRule="auto"/>
        <w:ind w:firstLine="420" w:firstLineChars="200"/>
        <w:jc w:val="left"/>
        <w:rPr>
          <w:rFonts w:hint="eastAsia" w:ascii="宋体"/>
          <w:kern w:val="0"/>
        </w:rPr>
      </w:pPr>
      <w:r>
        <w:rPr>
          <w:rFonts w:hint="eastAsia" w:ascii="宋体"/>
          <w:kern w:val="0"/>
        </w:rPr>
        <w:t>4.1持CA数字认证证书，登录《全国公共资源交易平台（河南省•许昌市）》“系统用户注册”入口http://ggzy.xuchang.gov.cn:8088/ggzy/eps/public/RegistAllJcxx.html）进行免费注册登记（详见“常见问题解答-诚信库网上注册相关资料下载”）；</w:t>
      </w:r>
    </w:p>
    <w:p w14:paraId="10E53F28">
      <w:pPr>
        <w:spacing w:line="360" w:lineRule="auto"/>
        <w:ind w:firstLine="420" w:firstLineChars="200"/>
        <w:jc w:val="left"/>
        <w:rPr>
          <w:rFonts w:hint="eastAsia" w:ascii="宋体"/>
          <w:kern w:val="0"/>
        </w:rPr>
      </w:pPr>
      <w:r>
        <w:rPr>
          <w:rFonts w:hint="eastAsia" w:ascii="宋体"/>
          <w:kern w:val="0"/>
        </w:rPr>
        <w:t>4.2在投标截止时间前均可登录《全国公共资源交易平台（河南省•许昌市）》“投标人/投标人登录”入口（http://ggzy.xuchang.gov.cn:8088/ggzy/）自行下载招标文件（详见“常见问题解答-交易系统操作手册”）。</w:t>
      </w:r>
    </w:p>
    <w:p w14:paraId="5E959505">
      <w:pPr>
        <w:pStyle w:val="17"/>
        <w:wordWrap w:val="0"/>
        <w:spacing w:line="360" w:lineRule="auto"/>
        <w:contextualSpacing/>
        <w:rPr>
          <w:b/>
          <w:sz w:val="21"/>
          <w:szCs w:val="21"/>
        </w:rPr>
      </w:pPr>
      <w:r>
        <w:rPr>
          <w:rFonts w:hint="eastAsia"/>
          <w:b/>
          <w:sz w:val="21"/>
          <w:szCs w:val="21"/>
        </w:rPr>
        <w:t>五、</w:t>
      </w:r>
      <w:r>
        <w:rPr>
          <w:rFonts w:hint="eastAsia"/>
          <w:b/>
          <w:kern w:val="2"/>
          <w:sz w:val="21"/>
          <w:szCs w:val="21"/>
        </w:rPr>
        <w:t>投标截止时间、开标时间及地点</w:t>
      </w:r>
    </w:p>
    <w:p w14:paraId="6DB4949B">
      <w:pPr>
        <w:spacing w:line="360" w:lineRule="auto"/>
        <w:ind w:firstLine="420" w:firstLineChars="200"/>
        <w:jc w:val="left"/>
        <w:rPr>
          <w:rFonts w:hint="eastAsia" w:ascii="宋体"/>
          <w:color w:val="auto"/>
          <w:kern w:val="0"/>
        </w:rPr>
      </w:pPr>
      <w:r>
        <w:rPr>
          <w:rFonts w:hint="eastAsia" w:ascii="宋体"/>
          <w:color w:val="auto"/>
          <w:kern w:val="0"/>
        </w:rPr>
        <w:t>5.1投标截止及开标时间：</w:t>
      </w:r>
      <w:r>
        <w:rPr>
          <w:rFonts w:hint="eastAsia" w:ascii="宋体"/>
          <w:color w:val="auto"/>
          <w:kern w:val="0"/>
          <w:lang w:eastAsia="zh-CN"/>
        </w:rPr>
        <w:t xml:space="preserve">2025年 </w:t>
      </w:r>
      <w:r>
        <w:rPr>
          <w:rFonts w:hint="eastAsia" w:ascii="宋体"/>
          <w:color w:val="auto"/>
          <w:kern w:val="0"/>
          <w:lang w:val="en-US" w:eastAsia="zh-CN"/>
        </w:rPr>
        <w:t>3</w:t>
      </w:r>
      <w:r>
        <w:rPr>
          <w:rFonts w:hint="eastAsia" w:ascii="宋体"/>
          <w:color w:val="auto"/>
          <w:kern w:val="0"/>
          <w:lang w:eastAsia="zh-CN"/>
        </w:rPr>
        <w:t>月</w:t>
      </w:r>
      <w:r>
        <w:rPr>
          <w:rFonts w:hint="eastAsia" w:ascii="宋体"/>
          <w:color w:val="auto"/>
          <w:kern w:val="0"/>
          <w:lang w:val="en-US" w:eastAsia="zh-CN"/>
        </w:rPr>
        <w:t xml:space="preserve"> 3</w:t>
      </w:r>
      <w:r>
        <w:rPr>
          <w:rFonts w:hint="eastAsia" w:ascii="宋体"/>
          <w:color w:val="auto"/>
          <w:kern w:val="0"/>
          <w:lang w:eastAsia="zh-CN"/>
        </w:rPr>
        <w:t>日8时 30 分</w:t>
      </w:r>
      <w:r>
        <w:rPr>
          <w:rFonts w:hint="eastAsia" w:ascii="宋体"/>
          <w:color w:val="auto"/>
          <w:kern w:val="0"/>
        </w:rPr>
        <w:t>（北京时间），逾期提交或不符合规定的投标文件不予接受。</w:t>
      </w:r>
    </w:p>
    <w:p w14:paraId="0ADAB2AF">
      <w:pPr>
        <w:spacing w:line="360" w:lineRule="auto"/>
        <w:ind w:firstLine="420" w:firstLineChars="200"/>
        <w:jc w:val="left"/>
        <w:rPr>
          <w:rFonts w:hint="eastAsia" w:ascii="宋体"/>
          <w:color w:val="auto"/>
          <w:kern w:val="0"/>
        </w:rPr>
      </w:pPr>
      <w:r>
        <w:rPr>
          <w:rFonts w:hint="eastAsia" w:ascii="宋体"/>
          <w:color w:val="auto"/>
          <w:kern w:val="0"/>
        </w:rPr>
        <w:t>5.2开标地点：长葛市公共资源交易中心开标</w:t>
      </w:r>
      <w:r>
        <w:rPr>
          <w:rFonts w:hint="eastAsia" w:ascii="宋体"/>
          <w:color w:val="auto"/>
          <w:kern w:val="0"/>
          <w:lang w:val="en-US" w:eastAsia="zh-CN"/>
        </w:rPr>
        <w:t>四</w:t>
      </w:r>
      <w:r>
        <w:rPr>
          <w:rFonts w:hint="eastAsia" w:ascii="宋体"/>
          <w:color w:val="auto"/>
          <w:kern w:val="0"/>
        </w:rPr>
        <w:t>室（长葛市葛天大道东段商务区6#楼</w:t>
      </w:r>
      <w:r>
        <w:rPr>
          <w:rFonts w:hint="eastAsia" w:ascii="宋体"/>
          <w:color w:val="auto"/>
          <w:kern w:val="0"/>
          <w:lang w:val="en-US" w:eastAsia="zh-CN"/>
        </w:rPr>
        <w:t>5</w:t>
      </w:r>
      <w:r>
        <w:rPr>
          <w:rFonts w:hint="eastAsia" w:ascii="宋体"/>
          <w:color w:val="auto"/>
          <w:kern w:val="0"/>
        </w:rPr>
        <w:t>楼</w:t>
      </w:r>
      <w:r>
        <w:rPr>
          <w:rFonts w:hint="eastAsia" w:ascii="宋体"/>
          <w:color w:val="auto"/>
          <w:kern w:val="0"/>
          <w:lang w:val="en-US" w:eastAsia="zh-CN"/>
        </w:rPr>
        <w:t>507</w:t>
      </w:r>
      <w:r>
        <w:rPr>
          <w:rFonts w:hint="eastAsia" w:ascii="宋体"/>
          <w:color w:val="auto"/>
          <w:kern w:val="0"/>
        </w:rPr>
        <w:t xml:space="preserve"> 室），（本项目采用远程不见面开标，投标人</w:t>
      </w:r>
      <w:r>
        <w:rPr>
          <w:rFonts w:hint="eastAsia" w:ascii="宋体"/>
          <w:color w:val="auto"/>
          <w:kern w:val="0"/>
          <w:lang w:eastAsia="zh-CN"/>
        </w:rPr>
        <w:t>无需</w:t>
      </w:r>
      <w:r>
        <w:rPr>
          <w:rFonts w:hint="eastAsia" w:ascii="宋体"/>
          <w:color w:val="auto"/>
          <w:kern w:val="0"/>
        </w:rPr>
        <w:t>到现场）。</w:t>
      </w:r>
    </w:p>
    <w:p w14:paraId="43AB3070">
      <w:pPr>
        <w:pStyle w:val="17"/>
        <w:wordWrap w:val="0"/>
        <w:spacing w:line="360" w:lineRule="auto"/>
        <w:contextualSpacing/>
        <w:rPr>
          <w:rFonts w:hint="eastAsia"/>
          <w:b/>
          <w:sz w:val="21"/>
          <w:szCs w:val="21"/>
        </w:rPr>
      </w:pPr>
      <w:r>
        <w:rPr>
          <w:rFonts w:hint="eastAsia"/>
          <w:b/>
          <w:sz w:val="21"/>
          <w:szCs w:val="21"/>
        </w:rPr>
        <w:t>六、开标注意事项</w:t>
      </w:r>
    </w:p>
    <w:p w14:paraId="61ED6981">
      <w:pPr>
        <w:spacing w:line="360" w:lineRule="auto"/>
        <w:ind w:firstLine="420" w:firstLineChars="200"/>
        <w:rPr>
          <w:rFonts w:hint="eastAsia" w:ascii="宋体"/>
          <w:kern w:val="0"/>
        </w:rPr>
      </w:pPr>
      <w:r>
        <w:rPr>
          <w:rFonts w:hint="eastAsia" w:ascii="宋体"/>
          <w:kern w:val="0"/>
        </w:rPr>
        <w:t>开标时间前，投标人进入《全国公共资源交易平台（河南省·许昌市）》（http://117.159.53.11:60632/）——点击“平台导航”下方左侧的“网上开标大厅”或访问：http://117.159.53.11:60632/BidOpening/bidhall/default/login）进入不见面大厅登录页面——选择“投标人”身份，使用 CA 数字证书登录——在“今日开标项目”中找到已投标的项目——点击该项目即可进入开标操作界面，在规定的开标时间内进行解密开标。</w:t>
      </w:r>
    </w:p>
    <w:p w14:paraId="303AAEE1">
      <w:pPr>
        <w:spacing w:line="360" w:lineRule="auto"/>
        <w:jc w:val="left"/>
        <w:rPr>
          <w:rFonts w:hint="eastAsia" w:ascii="宋体"/>
          <w:b/>
          <w:bCs/>
          <w:kern w:val="0"/>
        </w:rPr>
      </w:pPr>
      <w:r>
        <w:rPr>
          <w:rFonts w:hint="eastAsia" w:ascii="宋体"/>
          <w:b/>
          <w:bCs/>
          <w:kern w:val="0"/>
        </w:rPr>
        <w:t>七、发布公告的媒介</w:t>
      </w:r>
    </w:p>
    <w:p w14:paraId="77365329">
      <w:pPr>
        <w:spacing w:line="360" w:lineRule="auto"/>
        <w:jc w:val="left"/>
        <w:rPr>
          <w:rFonts w:hint="eastAsia" w:ascii="宋体"/>
          <w:b/>
          <w:bCs/>
          <w:kern w:val="0"/>
        </w:rPr>
      </w:pPr>
      <w:r>
        <w:rPr>
          <w:rFonts w:hint="eastAsia" w:ascii="宋体"/>
          <w:b/>
          <w:bCs/>
          <w:kern w:val="0"/>
        </w:rPr>
        <w:t>本次招标公告同时在《河南省政府采购网》、《全国公共资源交易平台（河南省•许昌市）》</w:t>
      </w:r>
      <w:r>
        <w:rPr>
          <w:rFonts w:hint="eastAsia" w:ascii="宋体"/>
          <w:b/>
          <w:bCs/>
          <w:kern w:val="0"/>
          <w:lang w:eastAsia="zh-CN"/>
        </w:rPr>
        <w:t>、《长葛市人民政府门户网站》</w:t>
      </w:r>
      <w:r>
        <w:rPr>
          <w:rFonts w:hint="eastAsia" w:ascii="宋体"/>
          <w:b/>
          <w:bCs/>
          <w:kern w:val="0"/>
        </w:rPr>
        <w:t>发布。</w:t>
      </w:r>
    </w:p>
    <w:p w14:paraId="4DD88086">
      <w:pPr>
        <w:spacing w:line="360" w:lineRule="auto"/>
        <w:jc w:val="left"/>
        <w:rPr>
          <w:rFonts w:hint="eastAsia" w:ascii="宋体"/>
          <w:b/>
          <w:bCs/>
          <w:kern w:val="0"/>
        </w:rPr>
      </w:pPr>
      <w:r>
        <w:rPr>
          <w:rFonts w:hint="eastAsia" w:ascii="宋体"/>
          <w:b/>
          <w:bCs/>
          <w:kern w:val="0"/>
        </w:rPr>
        <w:t>八、公告期限</w:t>
      </w:r>
    </w:p>
    <w:p w14:paraId="6C97B9EA">
      <w:pPr>
        <w:spacing w:line="360" w:lineRule="auto"/>
        <w:ind w:firstLine="525" w:firstLineChars="250"/>
        <w:jc w:val="left"/>
        <w:rPr>
          <w:rFonts w:hint="eastAsia" w:ascii="宋体"/>
          <w:b/>
          <w:bCs/>
          <w:kern w:val="0"/>
        </w:rPr>
      </w:pPr>
      <w:r>
        <w:rPr>
          <w:rFonts w:hint="eastAsia" w:ascii="宋体"/>
          <w:kern w:val="0"/>
        </w:rPr>
        <w:t>自本公告发布之日起5个工作日。</w:t>
      </w:r>
    </w:p>
    <w:p w14:paraId="3B83F108">
      <w:pPr>
        <w:spacing w:line="360" w:lineRule="auto"/>
        <w:jc w:val="left"/>
        <w:rPr>
          <w:rFonts w:hint="eastAsia" w:ascii="宋体"/>
          <w:b/>
          <w:bCs/>
          <w:kern w:val="0"/>
        </w:rPr>
      </w:pPr>
      <w:r>
        <w:rPr>
          <w:rFonts w:hint="eastAsia" w:ascii="宋体"/>
          <w:b/>
          <w:bCs/>
          <w:kern w:val="0"/>
        </w:rPr>
        <w:t>九、联系方式</w:t>
      </w:r>
    </w:p>
    <w:p w14:paraId="06795FF4">
      <w:pPr>
        <w:spacing w:line="360" w:lineRule="auto"/>
        <w:ind w:firstLine="422" w:firstLineChars="200"/>
        <w:contextualSpacing/>
        <w:jc w:val="left"/>
        <w:rPr>
          <w:rFonts w:hint="eastAsia" w:ascii="宋体" w:cs="宋体"/>
          <w:kern w:val="0"/>
          <w:lang w:bidi="ar-SA"/>
        </w:rPr>
      </w:pPr>
      <w:r>
        <w:rPr>
          <w:rFonts w:hint="eastAsia" w:ascii="宋体" w:cs="宋体"/>
          <w:b/>
          <w:bCs/>
          <w:kern w:val="0"/>
          <w:lang w:bidi="ar-SA"/>
        </w:rPr>
        <w:t>招 标 人：</w:t>
      </w:r>
      <w:r>
        <w:rPr>
          <w:rFonts w:hint="eastAsia" w:ascii="宋体" w:cs="宋体"/>
          <w:kern w:val="0"/>
          <w:lang w:bidi="ar-SA"/>
        </w:rPr>
        <w:t>长葛市教育体育局</w:t>
      </w:r>
    </w:p>
    <w:p w14:paraId="02013078">
      <w:pPr>
        <w:spacing w:line="360" w:lineRule="auto"/>
        <w:ind w:firstLine="420" w:firstLineChars="200"/>
        <w:contextualSpacing/>
        <w:jc w:val="left"/>
        <w:rPr>
          <w:rFonts w:hint="eastAsia" w:ascii="宋体" w:cs="宋体"/>
          <w:kern w:val="0"/>
          <w:lang w:bidi="ar-SA"/>
        </w:rPr>
      </w:pPr>
      <w:r>
        <w:rPr>
          <w:rFonts w:hint="eastAsia" w:ascii="宋体" w:cs="宋体"/>
          <w:kern w:val="0"/>
          <w:lang w:bidi="ar-SA"/>
        </w:rPr>
        <w:t>联 系 人：石女士       联系电话：0374-6110218</w:t>
      </w:r>
    </w:p>
    <w:p w14:paraId="4465135C">
      <w:pPr>
        <w:spacing w:line="360" w:lineRule="auto"/>
        <w:ind w:firstLine="420" w:firstLineChars="200"/>
        <w:contextualSpacing/>
        <w:jc w:val="left"/>
        <w:rPr>
          <w:rFonts w:hint="eastAsia" w:ascii="宋体" w:cs="宋体"/>
          <w:kern w:val="0"/>
          <w:lang w:bidi="ar-SA"/>
        </w:rPr>
      </w:pPr>
      <w:r>
        <w:rPr>
          <w:rFonts w:hint="eastAsia" w:ascii="宋体" w:cs="宋体"/>
          <w:kern w:val="0"/>
          <w:lang w:bidi="ar-SA"/>
        </w:rPr>
        <w:t>地址：长葛市葛天大道商务区10号楼</w:t>
      </w:r>
    </w:p>
    <w:p w14:paraId="347BAAC4">
      <w:pPr>
        <w:spacing w:line="360" w:lineRule="auto"/>
        <w:ind w:firstLine="422" w:firstLineChars="200"/>
        <w:contextualSpacing/>
        <w:jc w:val="left"/>
        <w:rPr>
          <w:rFonts w:hint="eastAsia" w:ascii="宋体" w:cs="宋体"/>
          <w:kern w:val="0"/>
          <w:lang w:bidi="ar-SA"/>
        </w:rPr>
      </w:pPr>
      <w:r>
        <w:rPr>
          <w:rFonts w:hint="eastAsia" w:ascii="宋体" w:cs="宋体"/>
          <w:b/>
          <w:bCs/>
          <w:kern w:val="0"/>
          <w:lang w:bidi="ar-SA"/>
        </w:rPr>
        <w:t>集中采购机构：</w:t>
      </w:r>
      <w:r>
        <w:rPr>
          <w:rFonts w:hint="eastAsia" w:ascii="宋体" w:cs="宋体"/>
          <w:kern w:val="0"/>
          <w:lang w:bidi="ar-SA"/>
        </w:rPr>
        <w:t>长葛市公共资源交易中心</w:t>
      </w:r>
    </w:p>
    <w:p w14:paraId="03A2F7FD">
      <w:pPr>
        <w:spacing w:line="360" w:lineRule="auto"/>
        <w:ind w:firstLine="420" w:firstLineChars="200"/>
        <w:contextualSpacing/>
        <w:jc w:val="left"/>
      </w:pPr>
      <w:r>
        <w:rPr>
          <w:rFonts w:hint="eastAsia" w:ascii="宋体" w:cs="宋体"/>
          <w:kern w:val="0"/>
          <w:lang w:bidi="ar-SA"/>
        </w:rPr>
        <w:t>联系人：</w:t>
      </w:r>
      <w:r>
        <w:rPr>
          <w:rFonts w:hint="eastAsia" w:ascii="宋体"/>
          <w:bCs/>
        </w:rPr>
        <w:t xml:space="preserve">政府采购交易股    </w:t>
      </w:r>
      <w:r>
        <w:rPr>
          <w:rFonts w:hint="eastAsia" w:ascii="宋体" w:cs="宋体"/>
          <w:kern w:val="0"/>
          <w:lang w:bidi="ar-SA"/>
        </w:rPr>
        <w:t>联系电话：0374-6189379</w:t>
      </w:r>
    </w:p>
    <w:p w14:paraId="4D23B5DE">
      <w:pPr>
        <w:spacing w:line="360" w:lineRule="auto"/>
        <w:ind w:firstLine="420" w:firstLineChars="200"/>
        <w:contextualSpacing/>
        <w:jc w:val="left"/>
        <w:rPr>
          <w:rFonts w:hint="eastAsia" w:ascii="宋体" w:cs="宋体"/>
          <w:kern w:val="0"/>
          <w:lang w:bidi="ar-SA"/>
        </w:rPr>
      </w:pPr>
      <w:r>
        <w:rPr>
          <w:rFonts w:hint="eastAsia" w:ascii="宋体" w:cs="宋体"/>
          <w:kern w:val="0"/>
          <w:lang w:bidi="ar-SA"/>
        </w:rPr>
        <w:t>地址：长葛市葛天大道东段商务区6#楼4楼</w:t>
      </w:r>
    </w:p>
    <w:p w14:paraId="23232321">
      <w:pPr>
        <w:spacing w:line="360" w:lineRule="auto"/>
        <w:ind w:firstLine="422" w:firstLineChars="200"/>
        <w:contextualSpacing/>
        <w:jc w:val="left"/>
        <w:rPr>
          <w:rFonts w:hint="eastAsia" w:ascii="宋体" w:cs="宋体"/>
          <w:kern w:val="0"/>
          <w:lang w:bidi="ar-SA"/>
        </w:rPr>
      </w:pPr>
      <w:r>
        <w:rPr>
          <w:rFonts w:hint="eastAsia" w:ascii="宋体" w:cs="宋体"/>
          <w:b/>
          <w:bCs/>
          <w:shd w:val="clear" w:color="auto" w:fill="FFFFFF"/>
          <w:lang w:bidi="ar-SA"/>
        </w:rPr>
        <w:t>监督单位：</w:t>
      </w:r>
      <w:r>
        <w:rPr>
          <w:rFonts w:hint="eastAsia" w:ascii="宋体" w:cs="宋体"/>
          <w:shd w:val="clear" w:color="auto" w:fill="FFFFFF"/>
          <w:lang w:bidi="ar-SA"/>
        </w:rPr>
        <w:t>长葛市财政局</w:t>
      </w:r>
    </w:p>
    <w:p w14:paraId="3A334A54">
      <w:pPr>
        <w:spacing w:line="360" w:lineRule="auto"/>
        <w:ind w:firstLine="420" w:firstLineChars="200"/>
        <w:contextualSpacing/>
        <w:jc w:val="left"/>
        <w:rPr>
          <w:rFonts w:hint="eastAsia" w:ascii="宋体" w:cs="宋体"/>
          <w:kern w:val="0"/>
          <w:lang w:bidi="ar-SA"/>
        </w:rPr>
      </w:pPr>
      <w:r>
        <w:rPr>
          <w:rFonts w:hint="eastAsia" w:ascii="宋体" w:cs="宋体"/>
          <w:shd w:val="clear" w:color="auto" w:fill="FFFFFF"/>
          <w:lang w:bidi="ar-SA"/>
        </w:rPr>
        <w:t xml:space="preserve">联系人：政府采购服务中心    联系电话：0374-6189720 </w:t>
      </w:r>
    </w:p>
    <w:p w14:paraId="0BC43376">
      <w:pPr>
        <w:spacing w:line="360" w:lineRule="auto"/>
        <w:ind w:firstLine="420" w:firstLineChars="200"/>
        <w:contextualSpacing/>
        <w:jc w:val="left"/>
        <w:rPr>
          <w:rFonts w:hint="eastAsia" w:ascii="宋体" w:cs="宋体"/>
          <w:kern w:val="0"/>
          <w:lang w:bidi="ar-SA"/>
        </w:rPr>
      </w:pPr>
      <w:r>
        <w:rPr>
          <w:rFonts w:hint="eastAsia" w:ascii="宋体" w:cs="宋体"/>
          <w:shd w:val="clear" w:color="auto" w:fill="FFFFFF"/>
          <w:lang w:bidi="ar-SA"/>
        </w:rPr>
        <w:t>地址：长葛市葛天大道1号楼财政局308室</w:t>
      </w:r>
    </w:p>
    <w:p w14:paraId="3B0B273B">
      <w:pPr>
        <w:rPr>
          <w:rFonts w:hint="eastAsia" w:ascii="宋体" w:cs="宋体"/>
          <w:b/>
          <w:bCs/>
          <w:lang w:bidi="ar-SA"/>
        </w:rPr>
      </w:pPr>
    </w:p>
    <w:p w14:paraId="3E5E37ED">
      <w:pPr>
        <w:rPr>
          <w:rFonts w:hint="eastAsia" w:ascii="宋体" w:cs="宋体"/>
          <w:b/>
          <w:bCs/>
          <w:lang w:bidi="ar-SA"/>
        </w:rPr>
      </w:pPr>
      <w:r>
        <w:rPr>
          <w:rFonts w:hint="eastAsia" w:ascii="宋体" w:cs="宋体"/>
          <w:b/>
          <w:bCs/>
          <w:lang w:bidi="ar-SA"/>
        </w:rPr>
        <w:t>温馨提示：本项目为全流程电子化交易项目，请注意以下事项。</w:t>
      </w:r>
    </w:p>
    <w:p w14:paraId="50CEA34D">
      <w:pPr>
        <w:numPr>
          <w:ilvl w:val="0"/>
          <w:numId w:val="2"/>
        </w:numPr>
        <w:spacing w:line="360" w:lineRule="auto"/>
        <w:jc w:val="left"/>
        <w:rPr>
          <w:rFonts w:hint="eastAsia" w:ascii="宋体" w:cs="宋体"/>
          <w:bCs/>
          <w:lang w:bidi="ar-SA"/>
        </w:rPr>
      </w:pPr>
      <w:r>
        <w:rPr>
          <w:rFonts w:hint="eastAsia" w:ascii="宋体" w:cs="宋体"/>
          <w:bCs/>
          <w:lang w:bidi="ar-SA"/>
        </w:rPr>
        <w:t xml:space="preserve"> 投标人参加本项目投标，需提前自行联系 CA 服务机构办理数字认证证书并进行电子签章。</w:t>
      </w:r>
    </w:p>
    <w:p w14:paraId="1AE88B20">
      <w:pPr>
        <w:numPr>
          <w:ilvl w:val="0"/>
          <w:numId w:val="2"/>
        </w:numPr>
        <w:spacing w:line="360" w:lineRule="auto"/>
        <w:jc w:val="left"/>
        <w:rPr>
          <w:rFonts w:hint="eastAsia" w:ascii="宋体" w:cs="宋体"/>
          <w:bCs/>
          <w:lang w:bidi="ar-SA"/>
        </w:rPr>
      </w:pPr>
      <w:r>
        <w:rPr>
          <w:rFonts w:hint="eastAsia" w:ascii="宋体" w:cs="宋体"/>
          <w:bCs/>
          <w:lang w:bidi="ar-SA"/>
        </w:rPr>
        <w:t xml:space="preserve"> 招标文件下载、投标文件制作、提交、远程不见面开标（电子投标文件的解密）环节，投标人须使用同一个 CA 数字证书（证书须在有效期内并可正常使用）。</w:t>
      </w:r>
    </w:p>
    <w:p w14:paraId="1B0A03C1">
      <w:pPr>
        <w:spacing w:line="360" w:lineRule="auto"/>
        <w:jc w:val="left"/>
        <w:rPr>
          <w:rFonts w:hint="eastAsia" w:ascii="宋体" w:cs="宋体"/>
          <w:b/>
          <w:lang w:bidi="ar-SA"/>
        </w:rPr>
      </w:pPr>
      <w:r>
        <w:rPr>
          <w:rFonts w:hint="eastAsia" w:ascii="宋体" w:cs="宋体"/>
          <w:b/>
          <w:lang w:bidi="ar-SA"/>
        </w:rPr>
        <w:t>3. 电子投标文件的制作</w:t>
      </w:r>
    </w:p>
    <w:p w14:paraId="03499B23">
      <w:pPr>
        <w:spacing w:line="360" w:lineRule="auto"/>
        <w:ind w:firstLine="420" w:firstLineChars="200"/>
        <w:jc w:val="left"/>
        <w:rPr>
          <w:rFonts w:hint="eastAsia" w:ascii="宋体" w:cs="宋体"/>
          <w:bCs/>
          <w:lang w:bidi="ar-SA"/>
        </w:rPr>
      </w:pPr>
      <w:r>
        <w:rPr>
          <w:rFonts w:hint="eastAsia" w:ascii="宋体" w:cs="宋体"/>
          <w:bCs/>
          <w:lang w:bidi="ar-SA"/>
        </w:rPr>
        <w:t>3.1 投标人登录《全国公共资源交易平台（河南省·许昌市）》（http://117.159.53.11:60632/）下载“新点投标文件制作软件（河南省版）”（在“投标人”登录页面右下方“投标文件制作工具下载”）制作电子投标文件。</w:t>
      </w:r>
    </w:p>
    <w:p w14:paraId="37B0EC34">
      <w:pPr>
        <w:spacing w:line="360" w:lineRule="auto"/>
        <w:ind w:firstLine="420" w:firstLineChars="200"/>
        <w:jc w:val="left"/>
        <w:rPr>
          <w:rFonts w:hint="eastAsia" w:ascii="宋体" w:cs="宋体"/>
          <w:bCs/>
          <w:lang w:bidi="ar-SA"/>
        </w:rPr>
      </w:pPr>
      <w:r>
        <w:rPr>
          <w:rFonts w:hint="eastAsia" w:ascii="宋体" w:cs="宋体"/>
          <w:bCs/>
          <w:lang w:bidi="ar-SA"/>
        </w:rPr>
        <w:t>3.2 投标人对同一项目多个标段进行投标的，应分别下载所投标段的招标文件，按标段制作投标文件。一个标段对应生成 2 份电子投标文件（后缀格式为.XCSTF 和.nXCSTF）,其中后缀格式为“.XCSTF”的加密电子投标文件用于上传至交易系统中投标，后缀格式为“.nXCSTF”的不加密电子投标文件用于查看投标文件内容或导出 PDF 格式投标文件。</w:t>
      </w:r>
    </w:p>
    <w:p w14:paraId="60E3C296">
      <w:pPr>
        <w:spacing w:line="360" w:lineRule="auto"/>
        <w:jc w:val="left"/>
        <w:rPr>
          <w:rFonts w:hint="eastAsia" w:ascii="宋体" w:cs="宋体"/>
          <w:bCs/>
          <w:lang w:bidi="ar-SA"/>
        </w:rPr>
      </w:pPr>
      <w:r>
        <w:rPr>
          <w:rFonts w:hint="eastAsia" w:ascii="宋体" w:cs="宋体"/>
          <w:bCs/>
          <w:lang w:bidi="ar-SA"/>
        </w:rPr>
        <w:t>4.</w:t>
      </w:r>
      <w:r>
        <w:rPr>
          <w:rFonts w:hint="eastAsia" w:ascii="宋体" w:cs="宋体"/>
          <w:b/>
          <w:lang w:bidi="ar-SA"/>
        </w:rPr>
        <w:t xml:space="preserve">  加密电子投标文件的提交</w:t>
      </w:r>
    </w:p>
    <w:p w14:paraId="6A6613D2">
      <w:pPr>
        <w:spacing w:line="360" w:lineRule="auto"/>
        <w:ind w:firstLine="420" w:firstLineChars="200"/>
        <w:jc w:val="left"/>
        <w:rPr>
          <w:rFonts w:hint="eastAsia" w:ascii="宋体" w:cs="宋体"/>
          <w:bCs/>
          <w:lang w:bidi="ar-SA"/>
        </w:rPr>
      </w:pPr>
      <w:r>
        <w:rPr>
          <w:rFonts w:hint="eastAsia" w:ascii="宋体" w:cs="宋体"/>
          <w:bCs/>
          <w:lang w:bidi="ar-SA"/>
        </w:rPr>
        <w:t>4.1 投标人对同一项目多个标段进行投标的，加密电子投标文件应按标段分别提交。</w:t>
      </w:r>
    </w:p>
    <w:p w14:paraId="23621ACA">
      <w:pPr>
        <w:spacing w:line="360" w:lineRule="auto"/>
        <w:ind w:firstLine="420" w:firstLineChars="200"/>
        <w:jc w:val="left"/>
        <w:rPr>
          <w:rFonts w:hint="eastAsia" w:ascii="宋体" w:cs="宋体"/>
          <w:bCs/>
          <w:lang w:bidi="ar-SA"/>
        </w:rPr>
      </w:pPr>
      <w:r>
        <w:rPr>
          <w:rFonts w:hint="eastAsia" w:ascii="宋体" w:cs="宋体"/>
          <w:bCs/>
          <w:lang w:bidi="ar-SA"/>
        </w:rPr>
        <w:t>4.2 加密电子投标文件成功提交后，可登录《全国公共资源交易平台（河南省·许昌市）》（http://117.159.53.11:60632/）许昌市公共资源电子交易系统，在上传电子投标文件的页面进行模拟解密，以验证是否能够成功解密。</w:t>
      </w:r>
    </w:p>
    <w:p w14:paraId="0040C03E">
      <w:pPr>
        <w:spacing w:line="360" w:lineRule="auto"/>
        <w:jc w:val="left"/>
        <w:rPr>
          <w:rFonts w:hint="eastAsia" w:ascii="宋体" w:cs="宋体"/>
          <w:b/>
          <w:lang w:bidi="ar-SA"/>
        </w:rPr>
      </w:pPr>
      <w:r>
        <w:rPr>
          <w:rFonts w:hint="eastAsia" w:ascii="宋体" w:cs="宋体"/>
          <w:b/>
          <w:lang w:bidi="ar-SA"/>
        </w:rPr>
        <w:t>5.远程不见面开标（电子投标文件的解密）</w:t>
      </w:r>
    </w:p>
    <w:p w14:paraId="2E42CAB0">
      <w:pPr>
        <w:spacing w:line="360" w:lineRule="auto"/>
        <w:ind w:firstLine="420" w:firstLineChars="200"/>
        <w:jc w:val="left"/>
        <w:rPr>
          <w:rFonts w:hint="eastAsia" w:ascii="宋体" w:cs="宋体"/>
          <w:bCs/>
          <w:lang w:bidi="ar-SA"/>
        </w:rPr>
      </w:pPr>
      <w:r>
        <w:rPr>
          <w:rFonts w:hint="eastAsia" w:ascii="宋体" w:cs="宋体"/>
          <w:bCs/>
          <w:lang w:bidi="ar-SA"/>
        </w:rPr>
        <w:t>5.1 本项目采用远程“不见面”开标方式，投标前请详细阅读《全国公共资源交易平台（河南省·许昌市）》（http://117.159.53.11:60632/）“服务指南”——“办事指南”栏目下《新交易平台使用手册》中的相关内容。</w:t>
      </w:r>
    </w:p>
    <w:p w14:paraId="5904B0AC">
      <w:pPr>
        <w:spacing w:line="360" w:lineRule="auto"/>
        <w:ind w:firstLine="420" w:firstLineChars="200"/>
        <w:jc w:val="left"/>
        <w:rPr>
          <w:rFonts w:hint="eastAsia" w:ascii="宋体" w:cs="宋体"/>
          <w:bCs/>
          <w:lang w:bidi="ar-SA"/>
        </w:rPr>
      </w:pPr>
      <w:r>
        <w:rPr>
          <w:rFonts w:hint="eastAsia" w:ascii="宋体" w:cs="宋体"/>
          <w:bCs/>
          <w:lang w:bidi="ar-SA"/>
        </w:rPr>
        <w:t>5.2 投标人应按《新交易平台使用手册》提前设置好浏览器，并于开标时间前登录本项目网上开标大厅，按照规定的开标时间准时参加网上开标。</w:t>
      </w:r>
    </w:p>
    <w:p w14:paraId="50CA4824">
      <w:pPr>
        <w:spacing w:line="360" w:lineRule="auto"/>
        <w:ind w:firstLine="420" w:firstLineChars="200"/>
        <w:jc w:val="left"/>
        <w:rPr>
          <w:rFonts w:hint="eastAsia" w:ascii="宋体" w:cs="宋体"/>
          <w:bCs/>
          <w:lang w:bidi="ar-SA"/>
        </w:rPr>
      </w:pPr>
      <w:r>
        <w:rPr>
          <w:rFonts w:hint="eastAsia" w:ascii="宋体" w:cs="宋体"/>
          <w:bCs/>
          <w:lang w:bidi="ar-SA"/>
        </w:rPr>
        <w:t>5.3 根据开标大厅界面右侧“公告栏”中的系统提示，投标人应在“标书解密”环节完成解密操作（自代理机构点击“开启投标解密”按钮后投标人解密，系统初设解密时间为 30 分钟，投标人应在 30 分钟内完成解密。如因网络、系统原因未完成解密的，招标人（代理机构）报经相关监督管理部门同意后可适当延长解密时间）。投标人未解密或因投标人原因解密失败的，其投标文件将被退回。</w:t>
      </w:r>
    </w:p>
    <w:p w14:paraId="4B379EE4">
      <w:pPr>
        <w:spacing w:line="360" w:lineRule="auto"/>
        <w:ind w:firstLine="420" w:firstLineChars="200"/>
        <w:jc w:val="left"/>
        <w:rPr>
          <w:rFonts w:hint="eastAsia" w:ascii="宋体" w:cs="宋体"/>
          <w:bCs/>
          <w:lang w:bidi="ar-SA"/>
        </w:rPr>
      </w:pPr>
      <w:r>
        <w:rPr>
          <w:rFonts w:hint="eastAsia" w:ascii="宋体" w:cs="宋体"/>
          <w:bCs/>
          <w:lang w:bidi="ar-SA"/>
        </w:rPr>
        <w:t>5.4 在开标结束环节，投标人应在《开标情况记录表》上进行电子签章。投标人未签章的，视同认可开标结果。</w:t>
      </w:r>
    </w:p>
    <w:p w14:paraId="4DD9E68F">
      <w:pPr>
        <w:spacing w:line="360" w:lineRule="auto"/>
        <w:ind w:firstLine="420" w:firstLineChars="200"/>
        <w:jc w:val="left"/>
        <w:rPr>
          <w:rFonts w:hint="eastAsia" w:ascii="宋体" w:cs="宋体"/>
          <w:bCs/>
          <w:lang w:bidi="ar-SA"/>
        </w:rPr>
      </w:pPr>
      <w:r>
        <w:rPr>
          <w:rFonts w:hint="eastAsia" w:ascii="宋体" w:cs="宋体"/>
          <w:bCs/>
          <w:lang w:bidi="ar-SA"/>
        </w:rPr>
        <w:t>5.5 投标人对开标过程和开标记录如有异议，可在本项目开标大厅界面右下方“发起异议”中在线提出异议。</w:t>
      </w:r>
    </w:p>
    <w:p w14:paraId="0EB69849">
      <w:pPr>
        <w:spacing w:line="360" w:lineRule="auto"/>
        <w:jc w:val="left"/>
        <w:rPr>
          <w:rFonts w:hint="eastAsia" w:ascii="宋体" w:cs="宋体"/>
          <w:b/>
          <w:lang w:bidi="ar-SA"/>
        </w:rPr>
      </w:pPr>
      <w:r>
        <w:rPr>
          <w:rFonts w:hint="eastAsia" w:ascii="宋体" w:cs="宋体"/>
          <w:b/>
          <w:lang w:bidi="ar-SA"/>
        </w:rPr>
        <w:t>6.  评标依据</w:t>
      </w:r>
    </w:p>
    <w:p w14:paraId="1DD748D3">
      <w:pPr>
        <w:spacing w:line="360" w:lineRule="auto"/>
        <w:ind w:firstLine="420" w:firstLineChars="200"/>
        <w:jc w:val="left"/>
        <w:rPr>
          <w:rFonts w:hint="eastAsia" w:ascii="宋体" w:cs="宋体"/>
          <w:bCs/>
          <w:lang w:bidi="ar-SA"/>
        </w:rPr>
      </w:pPr>
      <w:r>
        <w:rPr>
          <w:rFonts w:hint="eastAsia" w:ascii="宋体" w:cs="宋体"/>
          <w:bCs/>
          <w:lang w:bidi="ar-SA"/>
        </w:rPr>
        <w:t>6.1 全流程电子化交易（不见面开标）项目，评标委员会以成功上传、解密的电子投标文件为依据评审。</w:t>
      </w:r>
    </w:p>
    <w:p w14:paraId="4157FBB7">
      <w:pPr>
        <w:spacing w:line="360" w:lineRule="auto"/>
        <w:ind w:firstLine="420" w:firstLineChars="200"/>
        <w:jc w:val="left"/>
        <w:rPr>
          <w:rFonts w:hint="eastAsia" w:ascii="宋体" w:cs="宋体"/>
          <w:bCs/>
          <w:lang w:bidi="ar-SA"/>
        </w:rPr>
      </w:pPr>
      <w:r>
        <w:rPr>
          <w:rFonts w:hint="eastAsia" w:ascii="宋体" w:cs="宋体"/>
          <w:bCs/>
          <w:lang w:bidi="ar-SA"/>
        </w:rPr>
        <w:t>6.2 评标期间，投标人应保持通讯手机畅通。评标委员会如要求投标人作出澄清、说明或者补正等，投标人应在评标委员会要求的评标期间合理的时间内通过《全国公共资源交易平台(河南省▪许昌市)》——“许昌市公共资源电子交易系统”提供（操作流程详见“服务指南-办事指南-新交易平台使用手册-交易乙方（投标人、投标人等）操作手册”）。</w:t>
      </w:r>
    </w:p>
    <w:p w14:paraId="367799B0">
      <w:pPr>
        <w:spacing w:line="360" w:lineRule="auto"/>
        <w:ind w:firstLine="420" w:firstLineChars="200"/>
        <w:jc w:val="left"/>
        <w:rPr>
          <w:rFonts w:hint="eastAsia" w:ascii="宋体" w:cs="宋体"/>
          <w:bCs/>
          <w:lang w:bidi="ar-SA"/>
        </w:rPr>
      </w:pPr>
      <w:r>
        <w:rPr>
          <w:rFonts w:hint="eastAsia" w:ascii="宋体" w:cs="宋体"/>
          <w:bCs/>
          <w:lang w:bidi="ar-SA"/>
        </w:rPr>
        <w:t>6.3 投标人提供的书面说明或相关证明材料应加盖公章，或者由法定代表人或其授权的代表签字。</w:t>
      </w:r>
    </w:p>
    <w:p w14:paraId="46BB0DBB">
      <w:pPr>
        <w:spacing w:line="360" w:lineRule="auto"/>
        <w:jc w:val="left"/>
        <w:rPr>
          <w:rFonts w:hint="eastAsia" w:ascii="宋体" w:cs="宋体"/>
          <w:b/>
          <w:lang w:bidi="ar-SA"/>
        </w:rPr>
      </w:pPr>
      <w:r>
        <w:rPr>
          <w:rFonts w:hint="eastAsia" w:ascii="宋体" w:cs="宋体"/>
          <w:b/>
          <w:lang w:bidi="ar-SA"/>
        </w:rPr>
        <w:t>7.  相关事项</w:t>
      </w:r>
    </w:p>
    <w:p w14:paraId="299FE033">
      <w:pPr>
        <w:spacing w:line="360" w:lineRule="auto"/>
        <w:ind w:firstLine="420" w:firstLineChars="200"/>
        <w:jc w:val="left"/>
        <w:rPr>
          <w:rFonts w:hint="eastAsia" w:ascii="宋体" w:cs="宋体"/>
          <w:bCs/>
          <w:lang w:bidi="ar-SA"/>
        </w:rPr>
      </w:pPr>
      <w:r>
        <w:rPr>
          <w:rFonts w:hint="eastAsia" w:ascii="宋体" w:cs="宋体"/>
          <w:bCs/>
          <w:lang w:bidi="ar-SA"/>
        </w:rPr>
        <w:t>7.1 为使更多投标人能参加投标，本项目招标文件公告期限届满后仍允许下载招标文件参加投标，但为提高招标效率，在公告期限届满之后下载招标文件的，对招标文件的质疑期限从公告期限届满之日起计算；在公告期限届满之前下载招标文件的，对招标文件的质疑期限从下载之日起计算。</w:t>
      </w:r>
    </w:p>
    <w:p w14:paraId="76EC697F">
      <w:pPr>
        <w:spacing w:line="360" w:lineRule="auto"/>
        <w:ind w:firstLine="420" w:firstLineChars="200"/>
        <w:jc w:val="left"/>
        <w:rPr>
          <w:rFonts w:hint="eastAsia" w:ascii="宋体" w:cs="宋体"/>
          <w:bCs/>
          <w:lang w:bidi="ar-SA"/>
        </w:rPr>
      </w:pPr>
      <w:r>
        <w:rPr>
          <w:rFonts w:hint="eastAsia" w:ascii="宋体" w:cs="宋体"/>
          <w:bCs/>
          <w:lang w:bidi="ar-SA"/>
        </w:rPr>
        <w:t>7.2 《全国公共资源交易平台（河南省·许昌市）》（http://117.159.53.11:60632/）招标公告栏提供的招标文件仅供浏览。投标人下载招标文件应使用 CA 数字证书从《全国公共资源交易平台（河南省·许昌市）》（http://117.159.53.11:60632/）的“投标人”入口登录后获取。</w:t>
      </w:r>
    </w:p>
    <w:p w14:paraId="3882B379">
      <w:pPr>
        <w:jc w:val="center"/>
        <w:rPr>
          <w:rFonts w:hint="eastAsia" w:ascii="宋体"/>
          <w:b/>
          <w:kern w:val="0"/>
        </w:rPr>
      </w:pPr>
    </w:p>
    <w:p w14:paraId="79F2542A">
      <w:pPr>
        <w:jc w:val="center"/>
        <w:rPr>
          <w:rFonts w:hint="eastAsia" w:ascii="宋体"/>
          <w:b/>
          <w:kern w:val="0"/>
        </w:rPr>
      </w:pPr>
    </w:p>
    <w:p w14:paraId="7CC5F380">
      <w:pPr>
        <w:jc w:val="center"/>
        <w:rPr>
          <w:rFonts w:hint="eastAsia" w:ascii="宋体"/>
          <w:b/>
          <w:kern w:val="0"/>
        </w:rPr>
      </w:pPr>
    </w:p>
    <w:p w14:paraId="7FD9037F">
      <w:pPr>
        <w:jc w:val="center"/>
        <w:rPr>
          <w:rFonts w:hint="eastAsia" w:ascii="宋体"/>
          <w:b/>
          <w:kern w:val="0"/>
        </w:rPr>
      </w:pPr>
    </w:p>
    <w:p w14:paraId="1BBEF889">
      <w:pPr>
        <w:jc w:val="center"/>
        <w:rPr>
          <w:rFonts w:hint="eastAsia" w:ascii="宋体"/>
          <w:b/>
          <w:kern w:val="0"/>
        </w:rPr>
      </w:pPr>
    </w:p>
    <w:p w14:paraId="64BFCAA7">
      <w:pPr>
        <w:jc w:val="center"/>
        <w:rPr>
          <w:rFonts w:hint="eastAsia" w:ascii="宋体"/>
          <w:b/>
          <w:kern w:val="0"/>
        </w:rPr>
      </w:pPr>
    </w:p>
    <w:p w14:paraId="014A2BAA">
      <w:pPr>
        <w:jc w:val="center"/>
        <w:rPr>
          <w:rFonts w:hint="eastAsia" w:ascii="宋体"/>
          <w:b/>
          <w:kern w:val="0"/>
        </w:rPr>
      </w:pPr>
    </w:p>
    <w:p w14:paraId="5950D7AD">
      <w:pPr>
        <w:jc w:val="center"/>
        <w:rPr>
          <w:rFonts w:hint="eastAsia" w:ascii="宋体"/>
          <w:b/>
          <w:kern w:val="0"/>
        </w:rPr>
      </w:pPr>
    </w:p>
    <w:p w14:paraId="1B88AF95">
      <w:pPr>
        <w:jc w:val="center"/>
        <w:rPr>
          <w:rFonts w:hint="eastAsia" w:ascii="宋体"/>
          <w:b/>
          <w:kern w:val="0"/>
        </w:rPr>
      </w:pPr>
    </w:p>
    <w:p w14:paraId="17B57415">
      <w:pPr>
        <w:jc w:val="center"/>
        <w:rPr>
          <w:rFonts w:hint="eastAsia" w:ascii="宋体"/>
          <w:b/>
          <w:kern w:val="0"/>
        </w:rPr>
      </w:pPr>
    </w:p>
    <w:p w14:paraId="0144265D">
      <w:pPr>
        <w:jc w:val="center"/>
        <w:rPr>
          <w:rFonts w:hint="eastAsia" w:ascii="宋体"/>
          <w:b/>
          <w:kern w:val="0"/>
        </w:rPr>
      </w:pPr>
    </w:p>
    <w:p w14:paraId="3CEAFC5F">
      <w:pPr>
        <w:jc w:val="center"/>
        <w:rPr>
          <w:rFonts w:hint="eastAsia" w:ascii="宋体"/>
          <w:b/>
          <w:kern w:val="0"/>
        </w:rPr>
      </w:pPr>
    </w:p>
    <w:p w14:paraId="36A7A231">
      <w:pPr>
        <w:jc w:val="center"/>
        <w:rPr>
          <w:rFonts w:hint="eastAsia" w:ascii="宋体"/>
          <w:b/>
          <w:kern w:val="0"/>
        </w:rPr>
      </w:pPr>
    </w:p>
    <w:p w14:paraId="2EAB7030">
      <w:pPr>
        <w:jc w:val="center"/>
        <w:rPr>
          <w:rFonts w:hint="eastAsia" w:ascii="宋体"/>
          <w:b/>
          <w:kern w:val="0"/>
        </w:rPr>
      </w:pPr>
    </w:p>
    <w:p w14:paraId="27AA0380">
      <w:pPr>
        <w:jc w:val="center"/>
        <w:rPr>
          <w:rFonts w:hint="eastAsia" w:ascii="宋体"/>
          <w:b/>
          <w:kern w:val="0"/>
        </w:rPr>
      </w:pPr>
    </w:p>
    <w:p w14:paraId="08AC9974">
      <w:pPr>
        <w:jc w:val="center"/>
        <w:rPr>
          <w:rFonts w:hint="eastAsia" w:ascii="宋体"/>
          <w:b/>
          <w:kern w:val="0"/>
        </w:rPr>
      </w:pPr>
    </w:p>
    <w:p w14:paraId="60AFA978">
      <w:pPr>
        <w:jc w:val="center"/>
        <w:rPr>
          <w:rFonts w:hint="eastAsia" w:ascii="宋体"/>
          <w:b/>
          <w:kern w:val="0"/>
        </w:rPr>
      </w:pPr>
    </w:p>
    <w:p w14:paraId="4AC63885">
      <w:pPr>
        <w:jc w:val="center"/>
        <w:rPr>
          <w:rFonts w:hint="eastAsia" w:ascii="宋体"/>
          <w:b/>
          <w:kern w:val="0"/>
        </w:rPr>
      </w:pPr>
    </w:p>
    <w:p w14:paraId="5FFC3486">
      <w:pPr>
        <w:jc w:val="center"/>
        <w:rPr>
          <w:rFonts w:hint="eastAsia" w:ascii="宋体"/>
          <w:b/>
          <w:kern w:val="0"/>
        </w:rPr>
      </w:pPr>
    </w:p>
    <w:p w14:paraId="73FFFA60">
      <w:pPr>
        <w:jc w:val="center"/>
        <w:rPr>
          <w:rFonts w:hint="eastAsia" w:ascii="宋体"/>
          <w:b/>
          <w:kern w:val="0"/>
        </w:rPr>
      </w:pPr>
    </w:p>
    <w:p w14:paraId="6A726B7A">
      <w:pPr>
        <w:jc w:val="center"/>
        <w:rPr>
          <w:rFonts w:hint="eastAsia" w:ascii="宋体"/>
          <w:b/>
          <w:kern w:val="0"/>
        </w:rPr>
      </w:pPr>
    </w:p>
    <w:p w14:paraId="3F472A35">
      <w:pPr>
        <w:jc w:val="center"/>
        <w:rPr>
          <w:rFonts w:hint="eastAsia" w:ascii="宋体"/>
          <w:b/>
          <w:kern w:val="0"/>
        </w:rPr>
      </w:pPr>
    </w:p>
    <w:p w14:paraId="34AF0A07">
      <w:pPr>
        <w:jc w:val="center"/>
        <w:rPr>
          <w:rFonts w:hint="eastAsia" w:ascii="宋体"/>
          <w:b/>
          <w:kern w:val="0"/>
        </w:rPr>
      </w:pPr>
    </w:p>
    <w:p w14:paraId="72C113D8">
      <w:pPr>
        <w:jc w:val="center"/>
        <w:rPr>
          <w:rFonts w:hint="eastAsia" w:ascii="宋体"/>
          <w:b/>
          <w:kern w:val="0"/>
        </w:rPr>
      </w:pPr>
    </w:p>
    <w:p w14:paraId="1A45C0AD">
      <w:pPr>
        <w:jc w:val="center"/>
        <w:rPr>
          <w:rFonts w:hint="eastAsia" w:ascii="宋体"/>
          <w:b/>
          <w:kern w:val="0"/>
        </w:rPr>
      </w:pPr>
    </w:p>
    <w:p w14:paraId="4DF9E61E">
      <w:pPr>
        <w:jc w:val="center"/>
        <w:rPr>
          <w:rFonts w:hint="eastAsia" w:ascii="宋体"/>
          <w:b/>
          <w:kern w:val="0"/>
        </w:rPr>
      </w:pPr>
    </w:p>
    <w:p w14:paraId="276B2914">
      <w:pPr>
        <w:jc w:val="center"/>
        <w:rPr>
          <w:rFonts w:hint="eastAsia" w:ascii="宋体"/>
          <w:b/>
          <w:kern w:val="0"/>
        </w:rPr>
      </w:pPr>
    </w:p>
    <w:p w14:paraId="6295653B">
      <w:pPr>
        <w:jc w:val="center"/>
        <w:rPr>
          <w:rFonts w:hint="eastAsia" w:ascii="宋体"/>
          <w:b/>
          <w:kern w:val="0"/>
        </w:rPr>
      </w:pPr>
    </w:p>
    <w:p w14:paraId="118F2E87">
      <w:pPr>
        <w:jc w:val="center"/>
        <w:rPr>
          <w:rFonts w:hint="eastAsia" w:ascii="宋体"/>
          <w:b/>
          <w:kern w:val="0"/>
        </w:rPr>
      </w:pPr>
    </w:p>
    <w:p w14:paraId="79629872">
      <w:pPr>
        <w:jc w:val="center"/>
        <w:rPr>
          <w:rFonts w:hint="eastAsia" w:ascii="宋体"/>
          <w:b/>
          <w:kern w:val="0"/>
        </w:rPr>
      </w:pPr>
    </w:p>
    <w:p w14:paraId="72B65D42">
      <w:pPr>
        <w:jc w:val="center"/>
        <w:rPr>
          <w:rFonts w:hint="eastAsia" w:ascii="宋体"/>
          <w:b/>
          <w:kern w:val="0"/>
        </w:rPr>
      </w:pPr>
    </w:p>
    <w:p w14:paraId="022A2130">
      <w:pPr>
        <w:jc w:val="center"/>
        <w:rPr>
          <w:rFonts w:hint="eastAsia" w:ascii="宋体"/>
          <w:b/>
          <w:kern w:val="0"/>
        </w:rPr>
      </w:pPr>
    </w:p>
    <w:p w14:paraId="508402E5">
      <w:pPr>
        <w:jc w:val="center"/>
        <w:rPr>
          <w:rFonts w:hint="eastAsia" w:ascii="宋体"/>
          <w:b/>
          <w:kern w:val="0"/>
        </w:rPr>
      </w:pPr>
    </w:p>
    <w:p w14:paraId="34C7E4FC">
      <w:pPr>
        <w:rPr>
          <w:rFonts w:hint="eastAsia" w:ascii="宋体"/>
          <w:b/>
          <w:kern w:val="0"/>
        </w:rPr>
      </w:pPr>
    </w:p>
    <w:p w14:paraId="3661C988">
      <w:pPr>
        <w:rPr>
          <w:rFonts w:hint="eastAsia" w:ascii="宋体"/>
          <w:b/>
          <w:kern w:val="0"/>
        </w:rPr>
      </w:pPr>
    </w:p>
    <w:p w14:paraId="5A8B1FD6">
      <w:pPr>
        <w:jc w:val="center"/>
        <w:rPr>
          <w:rFonts w:hint="eastAsia" w:ascii="宋体"/>
          <w:b/>
          <w:kern w:val="0"/>
        </w:rPr>
      </w:pPr>
    </w:p>
    <w:p w14:paraId="7DB63F1E">
      <w:pPr>
        <w:jc w:val="center"/>
        <w:rPr>
          <w:rFonts w:hint="eastAsia" w:ascii="宋体"/>
          <w:b/>
          <w:kern w:val="0"/>
          <w:sz w:val="28"/>
          <w:szCs w:val="28"/>
        </w:rPr>
      </w:pPr>
      <w:r>
        <w:rPr>
          <w:rFonts w:hint="eastAsia" w:ascii="宋体"/>
          <w:b/>
          <w:kern w:val="0"/>
          <w:sz w:val="28"/>
          <w:szCs w:val="28"/>
        </w:rPr>
        <w:t>第二章  招标需求</w:t>
      </w:r>
    </w:p>
    <w:p w14:paraId="1E4C82CC">
      <w:p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rPr>
        <w:t>一、</w:t>
      </w:r>
      <w:r>
        <w:rPr>
          <w:rFonts w:hint="eastAsia" w:ascii="宋体" w:hAnsi="宋体" w:eastAsia="宋体" w:cs="宋体"/>
          <w:b/>
          <w:bCs/>
          <w:sz w:val="24"/>
          <w:szCs w:val="24"/>
          <w:lang w:val="en-US" w:eastAsia="zh-CN"/>
        </w:rPr>
        <w:t>长葛市教育体育局就长葛市第一高级新建综合楼配套电子教学设备</w:t>
      </w:r>
    </w:p>
    <w:p w14:paraId="575004F1">
      <w:pPr>
        <w:jc w:val="center"/>
        <w:rPr>
          <w:rFonts w:hint="eastAsia" w:ascii="宋体" w:eastAsia="新宋体" w:cs="宋体"/>
          <w:b/>
          <w:bCs/>
          <w:color w:val="auto"/>
          <w:kern w:val="0"/>
          <w:sz w:val="21"/>
          <w:szCs w:val="21"/>
          <w:highlight w:val="none"/>
          <w:lang w:val="en-US" w:eastAsia="zh-CN" w:bidi="ar-SA"/>
        </w:rPr>
      </w:pPr>
      <w:r>
        <w:rPr>
          <w:rFonts w:hint="eastAsia" w:ascii="宋体" w:hAnsi="宋体" w:eastAsia="宋体" w:cs="宋体"/>
          <w:b/>
          <w:bCs/>
          <w:sz w:val="24"/>
          <w:szCs w:val="24"/>
        </w:rPr>
        <w:t>规格及</w:t>
      </w:r>
      <w:r>
        <w:rPr>
          <w:rFonts w:hint="eastAsia" w:ascii="宋体" w:hAnsi="宋体" w:cs="宋体"/>
          <w:b/>
          <w:bCs/>
          <w:sz w:val="24"/>
          <w:szCs w:val="24"/>
        </w:rPr>
        <w:t>参数</w:t>
      </w:r>
    </w:p>
    <w:tbl>
      <w:tblPr>
        <w:tblStyle w:val="20"/>
        <w:tblpPr w:leftFromText="180" w:rightFromText="180" w:vertAnchor="text" w:horzAnchor="page" w:tblpX="1398" w:tblpY="97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1124"/>
        <w:gridCol w:w="5493"/>
        <w:gridCol w:w="240"/>
        <w:gridCol w:w="666"/>
        <w:gridCol w:w="1044"/>
      </w:tblGrid>
      <w:tr w14:paraId="52AC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noWrap w:val="0"/>
            <w:vAlign w:val="center"/>
          </w:tcPr>
          <w:p w14:paraId="478E8982">
            <w:pPr>
              <w:jc w:val="center"/>
              <w:rPr>
                <w:rFonts w:hint="default"/>
                <w:b/>
                <w:bCs/>
                <w:color w:val="auto"/>
                <w:sz w:val="15"/>
                <w:szCs w:val="15"/>
                <w:highlight w:val="none"/>
                <w:vertAlign w:val="baseline"/>
                <w:lang w:val="en-US" w:eastAsia="zh-CN"/>
              </w:rPr>
            </w:pPr>
            <w:r>
              <w:rPr>
                <w:rFonts w:hint="eastAsia"/>
                <w:b/>
                <w:bCs/>
                <w:color w:val="auto"/>
                <w:sz w:val="15"/>
                <w:szCs w:val="15"/>
                <w:highlight w:val="none"/>
                <w:vertAlign w:val="baseline"/>
                <w:lang w:val="en-US" w:eastAsia="zh-CN"/>
              </w:rPr>
              <w:t>序号</w:t>
            </w:r>
          </w:p>
        </w:tc>
        <w:tc>
          <w:tcPr>
            <w:tcW w:w="1124" w:type="dxa"/>
            <w:noWrap w:val="0"/>
            <w:vAlign w:val="center"/>
          </w:tcPr>
          <w:p w14:paraId="7AD23F4E">
            <w:pPr>
              <w:jc w:val="center"/>
              <w:rPr>
                <w:rFonts w:hint="default"/>
                <w:b/>
                <w:bCs/>
                <w:color w:val="auto"/>
                <w:sz w:val="15"/>
                <w:szCs w:val="15"/>
                <w:highlight w:val="none"/>
                <w:vertAlign w:val="baseline"/>
                <w:lang w:val="en-US" w:eastAsia="zh-CN"/>
              </w:rPr>
            </w:pPr>
            <w:r>
              <w:rPr>
                <w:rFonts w:hint="eastAsia"/>
                <w:b/>
                <w:bCs/>
                <w:color w:val="auto"/>
                <w:sz w:val="15"/>
                <w:szCs w:val="15"/>
                <w:highlight w:val="none"/>
                <w:vertAlign w:val="baseline"/>
                <w:lang w:val="en-US" w:eastAsia="zh-CN"/>
              </w:rPr>
              <w:t>产品名称</w:t>
            </w:r>
          </w:p>
        </w:tc>
        <w:tc>
          <w:tcPr>
            <w:tcW w:w="5493" w:type="dxa"/>
            <w:noWrap w:val="0"/>
            <w:vAlign w:val="center"/>
          </w:tcPr>
          <w:p w14:paraId="1EF3AA4A">
            <w:pPr>
              <w:jc w:val="center"/>
              <w:rPr>
                <w:rFonts w:hint="default"/>
                <w:b/>
                <w:bCs/>
                <w:color w:val="auto"/>
                <w:sz w:val="15"/>
                <w:szCs w:val="15"/>
                <w:highlight w:val="none"/>
                <w:vertAlign w:val="baseline"/>
                <w:lang w:val="en-US" w:eastAsia="zh-CN"/>
              </w:rPr>
            </w:pPr>
            <w:r>
              <w:rPr>
                <w:rFonts w:hint="eastAsia"/>
                <w:b/>
                <w:bCs/>
                <w:color w:val="auto"/>
                <w:sz w:val="15"/>
                <w:szCs w:val="15"/>
                <w:highlight w:val="none"/>
                <w:vertAlign w:val="baseline"/>
                <w:lang w:val="en-US" w:eastAsia="zh-CN"/>
              </w:rPr>
              <w:t>产品参数</w:t>
            </w:r>
          </w:p>
        </w:tc>
        <w:tc>
          <w:tcPr>
            <w:tcW w:w="240" w:type="dxa"/>
            <w:noWrap w:val="0"/>
            <w:vAlign w:val="center"/>
          </w:tcPr>
          <w:p w14:paraId="3082C16F">
            <w:pPr>
              <w:jc w:val="center"/>
              <w:rPr>
                <w:rFonts w:hint="default"/>
                <w:b/>
                <w:bCs/>
                <w:color w:val="auto"/>
                <w:sz w:val="15"/>
                <w:szCs w:val="15"/>
                <w:highlight w:val="none"/>
                <w:vertAlign w:val="baseline"/>
                <w:lang w:val="en-US" w:eastAsia="zh-CN"/>
              </w:rPr>
            </w:pPr>
            <w:r>
              <w:rPr>
                <w:rFonts w:hint="eastAsia"/>
                <w:b/>
                <w:bCs/>
                <w:color w:val="auto"/>
                <w:sz w:val="15"/>
                <w:szCs w:val="15"/>
                <w:highlight w:val="none"/>
                <w:vertAlign w:val="baseline"/>
                <w:lang w:val="en-US" w:eastAsia="zh-CN"/>
              </w:rPr>
              <w:t>单位</w:t>
            </w:r>
          </w:p>
        </w:tc>
        <w:tc>
          <w:tcPr>
            <w:tcW w:w="666" w:type="dxa"/>
            <w:noWrap w:val="0"/>
            <w:vAlign w:val="center"/>
          </w:tcPr>
          <w:p w14:paraId="6F707BAF">
            <w:pPr>
              <w:jc w:val="center"/>
              <w:rPr>
                <w:rFonts w:hint="default"/>
                <w:b/>
                <w:bCs/>
                <w:color w:val="auto"/>
                <w:sz w:val="15"/>
                <w:szCs w:val="15"/>
                <w:highlight w:val="none"/>
                <w:vertAlign w:val="baseline"/>
                <w:lang w:val="en-US" w:eastAsia="zh-CN"/>
              </w:rPr>
            </w:pPr>
            <w:r>
              <w:rPr>
                <w:rFonts w:hint="eastAsia"/>
                <w:b/>
                <w:bCs/>
                <w:color w:val="auto"/>
                <w:sz w:val="15"/>
                <w:szCs w:val="15"/>
                <w:highlight w:val="none"/>
                <w:vertAlign w:val="baseline"/>
                <w:lang w:val="en-US" w:eastAsia="zh-CN"/>
              </w:rPr>
              <w:t>数量</w:t>
            </w:r>
          </w:p>
        </w:tc>
        <w:tc>
          <w:tcPr>
            <w:tcW w:w="1044" w:type="dxa"/>
            <w:noWrap w:val="0"/>
            <w:vAlign w:val="center"/>
          </w:tcPr>
          <w:p w14:paraId="0B465129">
            <w:pPr>
              <w:jc w:val="center"/>
              <w:rPr>
                <w:rFonts w:hint="eastAsia"/>
                <w:color w:val="auto"/>
                <w:sz w:val="15"/>
                <w:szCs w:val="15"/>
                <w:highlight w:val="none"/>
                <w:vertAlign w:val="baseline"/>
                <w:lang w:val="en-US" w:eastAsia="zh-CN"/>
              </w:rPr>
            </w:pPr>
            <w:r>
              <w:rPr>
                <w:rFonts w:hint="eastAsia" w:ascii="宋体"/>
                <w:b/>
                <w:bCs/>
                <w:color w:val="000000"/>
                <w:sz w:val="15"/>
                <w:szCs w:val="15"/>
              </w:rPr>
              <w:t>招标标的对应的中小企业划分标准所属行业</w:t>
            </w:r>
          </w:p>
        </w:tc>
      </w:tr>
      <w:tr w14:paraId="6191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noWrap w:val="0"/>
            <w:vAlign w:val="center"/>
          </w:tcPr>
          <w:p w14:paraId="7A733B87">
            <w:pPr>
              <w:jc w:val="center"/>
              <w:rPr>
                <w:rFonts w:hint="default"/>
                <w:color w:val="auto"/>
                <w:highlight w:val="none"/>
                <w:vertAlign w:val="baseline"/>
                <w:lang w:val="en-US" w:eastAsia="zh-CN"/>
              </w:rPr>
            </w:pPr>
            <w:r>
              <w:rPr>
                <w:rFonts w:hint="eastAsia"/>
                <w:color w:val="auto"/>
                <w:highlight w:val="none"/>
                <w:vertAlign w:val="baseline"/>
                <w:lang w:val="en-US" w:eastAsia="zh-CN"/>
              </w:rPr>
              <w:t>1</w:t>
            </w:r>
          </w:p>
        </w:tc>
        <w:tc>
          <w:tcPr>
            <w:tcW w:w="1124" w:type="dxa"/>
            <w:noWrap w:val="0"/>
            <w:vAlign w:val="center"/>
          </w:tcPr>
          <w:p w14:paraId="06359FB0">
            <w:pPr>
              <w:jc w:val="center"/>
              <w:rPr>
                <w:rFonts w:hint="default"/>
                <w:color w:val="auto"/>
                <w:highlight w:val="none"/>
                <w:vertAlign w:val="baseline"/>
                <w:lang w:val="en-US" w:eastAsia="zh-CN"/>
              </w:rPr>
            </w:pPr>
            <w:r>
              <w:rPr>
                <w:rFonts w:hint="default"/>
                <w:color w:val="auto"/>
                <w:highlight w:val="none"/>
                <w:vertAlign w:val="baseline"/>
                <w:lang w:val="en-US" w:eastAsia="zh-CN"/>
              </w:rPr>
              <w:t>教学一体机</w:t>
            </w:r>
          </w:p>
        </w:tc>
        <w:tc>
          <w:tcPr>
            <w:tcW w:w="5493" w:type="dxa"/>
            <w:noWrap w:val="0"/>
            <w:vAlign w:val="center"/>
          </w:tcPr>
          <w:p w14:paraId="1A94D0D4">
            <w:pPr>
              <w:keepNext w:val="0"/>
              <w:keepLines w:val="0"/>
              <w:widowControl/>
              <w:numPr>
                <w:ilvl w:val="0"/>
                <w:numId w:val="3"/>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屏体要求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1、整机屏幕采用UHD超高清LED液晶屏，显示比例16:9，屏幕图像分辨率≥3840*2160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2、整体屏幕尺寸采用86英寸液晶显示屏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3、整机采用内置摄像头、麦克风，无需外接线材连接和任何可见外接线材及模块化拼接痕迹，不占用整机设备端口。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4、整机提供前置输入接口，不少于1路前置HDMI接口及2路前置双通道USB 3.0接口， ≥1路Type-C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5、整机后置物理接口需不少于 10 个，包含≥2 路 HDMI 2.0、≥1 路 VGA、≥2 路 USB、≥1 路 RS232、≥1 路 RJ45、≥1 路 TOUCH USB(触控输出接口)、≥1 路 Audio in 3.5mm、≥1 路 Audio out 3.5mm </w:t>
            </w:r>
            <w:r>
              <w:rPr>
                <w:rFonts w:hint="eastAsia" w:ascii="宋体" w:hAnsi="宋体" w:eastAsia="宋体" w:cs="宋体"/>
                <w:i w:val="0"/>
                <w:iCs w:val="0"/>
                <w:color w:val="000000"/>
                <w:kern w:val="0"/>
                <w:sz w:val="22"/>
                <w:szCs w:val="22"/>
                <w:u w:val="none"/>
                <w:lang w:val="en-US" w:eastAsia="zh-CN" w:bidi="ar"/>
              </w:rPr>
              <w:br w:type="textWrapping"/>
            </w:r>
            <w:r>
              <w:rPr>
                <w:rFonts w:hint="eastAsia"/>
                <w:lang w:val="en-US" w:eastAsia="zh-CN"/>
              </w:rPr>
              <w:t>▲6、设备需支持拓展智能笔或无线麦克风接收设备，整机包含至少1个磁吸充电收纳槽，用于智能笔的收纳和无线充电，可支持充电5分钟，使用至少45分钟</w:t>
            </w:r>
          </w:p>
          <w:p w14:paraId="78CFFA2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lang w:val="en-US" w:eastAsia="zh-CN"/>
              </w:rPr>
              <w:t>▲</w:t>
            </w:r>
            <w:r>
              <w:rPr>
                <w:rFonts w:hint="eastAsia" w:ascii="宋体" w:hAnsi="宋体" w:eastAsia="宋体" w:cs="宋体"/>
                <w:i w:val="0"/>
                <w:iCs w:val="0"/>
                <w:color w:val="000000"/>
                <w:kern w:val="0"/>
                <w:sz w:val="22"/>
                <w:szCs w:val="22"/>
                <w:u w:val="none"/>
                <w:lang w:val="en-US" w:eastAsia="zh-CN" w:bidi="ar"/>
              </w:rPr>
              <w:t>7、设备需内置无线多功能接收器，无需连接外部线材和外置接收器即可实现扩音和语音指令功能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8、整机内置光感传感器，可根据环境光自动调节整机亮度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9、整机需自带 Android 操作系统， 系统版本≥Android 11，CPU≥四核，内存≥2GB，存储空间≥16GB。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10、整机需内置非独立外扩展麦克风阵列，麦克风数量≥4，可用于对教室环境音频进行采集，整机拾音距离≥12m，拾音角度≥180°。</w:t>
            </w:r>
            <w:r>
              <w:rPr>
                <w:rFonts w:hint="eastAsia" w:ascii="宋体" w:hAnsi="宋体" w:eastAsia="宋体" w:cs="宋体"/>
                <w:i w:val="0"/>
                <w:iCs w:val="0"/>
                <w:color w:val="000000"/>
                <w:kern w:val="0"/>
                <w:sz w:val="22"/>
                <w:szCs w:val="22"/>
                <w:u w:val="none"/>
                <w:lang w:val="en-US" w:eastAsia="zh-CN" w:bidi="ar"/>
              </w:rPr>
              <w:br w:type="textWrapping"/>
            </w:r>
            <w:r>
              <w:rPr>
                <w:rFonts w:hint="eastAsia"/>
                <w:lang w:val="en-US" w:eastAsia="zh-CN"/>
              </w:rPr>
              <w:t>▲11、整机内置2.2声道扬声器，位于设备下边框出音，20W全频扬声器≥2个，15W高音扬声器≥2个，总功率≥70W，声音清晰度STI≥0.75</w:t>
            </w:r>
          </w:p>
          <w:p w14:paraId="7F694FE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▲12、整机扬声器在100%音量下，1米处声压级≥90dB，10米处声压级≥84dB，响度差距≤6dB</w:t>
            </w:r>
          </w:p>
          <w:p w14:paraId="64E41B3F">
            <w:pPr>
              <w:keepNext w:val="0"/>
              <w:keepLines w:val="0"/>
              <w:widowControl/>
              <w:numPr>
                <w:ilvl w:val="0"/>
                <w:numId w:val="4"/>
              </w:numPr>
              <w:suppressLineNumbers w:val="0"/>
              <w:jc w:val="left"/>
              <w:textAlignment w:val="center"/>
              <w:rPr>
                <w:rFonts w:hint="eastAsia"/>
                <w:lang w:val="en-US" w:eastAsia="zh-CN"/>
              </w:rPr>
            </w:pPr>
            <w:r>
              <w:rPr>
                <w:rFonts w:hint="eastAsia" w:ascii="宋体" w:hAnsi="宋体" w:eastAsia="宋体" w:cs="宋体"/>
                <w:i w:val="0"/>
                <w:iCs w:val="0"/>
                <w:color w:val="000000"/>
                <w:kern w:val="0"/>
                <w:sz w:val="22"/>
                <w:szCs w:val="22"/>
                <w:u w:val="none"/>
                <w:lang w:val="en-US" w:eastAsia="zh-CN" w:bidi="ar"/>
              </w:rPr>
              <w:t>整机屏体亮度≥400cd/㎡,色彩覆盖率≥ 72%NTSC，对比度≥4000：1，整机屏体最大可视角度≥178度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整机屏体无需操作即可实现蓝光防护，具备物理防蓝光（过滤蓝光）功能，有效抗蓝光、防眩光，蓝光占比（有害蓝光415～455nm能量综合）/（整体蓝光400～500能量综合）＜50%，低蓝光保护显示不偏色、不泛黄。</w:t>
            </w:r>
            <w:r>
              <w:rPr>
                <w:rFonts w:hint="eastAsia" w:ascii="宋体" w:hAnsi="宋体" w:eastAsia="宋体" w:cs="宋体"/>
                <w:i w:val="0"/>
                <w:iCs w:val="0"/>
                <w:color w:val="000000"/>
                <w:kern w:val="0"/>
                <w:sz w:val="22"/>
                <w:szCs w:val="22"/>
                <w:u w:val="none"/>
                <w:lang w:val="en-US" w:eastAsia="zh-CN" w:bidi="ar"/>
              </w:rPr>
              <w:br w:type="textWrapping"/>
            </w:r>
            <w:r>
              <w:rPr>
                <w:rFonts w:hint="eastAsia"/>
                <w:lang w:val="en-US" w:eastAsia="zh-CN"/>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5</w:t>
            </w:r>
            <w:r>
              <w:rPr>
                <w:rFonts w:hint="eastAsia" w:ascii="宋体" w:hAnsi="宋体" w:eastAsia="宋体" w:cs="宋体"/>
                <w:i w:val="0"/>
                <w:iCs w:val="0"/>
                <w:color w:val="000000"/>
                <w:kern w:val="0"/>
                <w:sz w:val="22"/>
                <w:szCs w:val="22"/>
                <w:u w:val="none"/>
                <w:lang w:val="en-US" w:eastAsia="zh-CN" w:bidi="ar"/>
              </w:rPr>
              <w:t>、依据相关国家标准，整机视网膜蓝光危害（蓝光加权辐射亮度LB）满足IEC TR 62778:2014蓝光危害RG0级别，LB限制范围≤100，蓝光无危害。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16</w:t>
            </w:r>
            <w:r>
              <w:rPr>
                <w:rFonts w:hint="eastAsia" w:ascii="宋体" w:hAnsi="宋体" w:eastAsia="宋体" w:cs="宋体"/>
                <w:i w:val="0"/>
                <w:iCs w:val="0"/>
                <w:color w:val="000000"/>
                <w:kern w:val="0"/>
                <w:sz w:val="22"/>
                <w:szCs w:val="22"/>
                <w:u w:val="none"/>
                <w:lang w:val="en-US" w:eastAsia="zh-CN" w:bidi="ar"/>
              </w:rPr>
              <w:t>、为提高无线信号接发稳定性并避免信号遮挡，整机内置路由模块，支持2.4G、5G双频wifi，满足IEEE 802.11 a/b/g/n/ac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17</w:t>
            </w:r>
            <w:r>
              <w:rPr>
                <w:rFonts w:hint="eastAsia" w:ascii="宋体" w:hAnsi="宋体" w:eastAsia="宋体" w:cs="宋体"/>
                <w:i w:val="0"/>
                <w:iCs w:val="0"/>
                <w:color w:val="000000"/>
                <w:kern w:val="0"/>
                <w:sz w:val="22"/>
                <w:szCs w:val="22"/>
                <w:u w:val="none"/>
                <w:lang w:val="en-US" w:eastAsia="zh-CN" w:bidi="ar"/>
              </w:rPr>
              <w:t>、整机无线网络具有互通功能，只需安卓连接无线网络，Windows即可实现上网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18</w:t>
            </w:r>
            <w:r>
              <w:rPr>
                <w:rFonts w:hint="eastAsia" w:ascii="宋体" w:hAnsi="宋体" w:eastAsia="宋体" w:cs="宋体"/>
                <w:i w:val="0"/>
                <w:iCs w:val="0"/>
                <w:color w:val="000000"/>
                <w:kern w:val="0"/>
                <w:sz w:val="22"/>
                <w:szCs w:val="22"/>
                <w:u w:val="none"/>
                <w:lang w:val="en-US" w:eastAsia="zh-CN" w:bidi="ar"/>
              </w:rPr>
              <w:t>、整机内置蓝牙模块，需支持蓝牙Bluetooth 5.2标准及以上</w:t>
            </w:r>
            <w:r>
              <w:rPr>
                <w:rFonts w:hint="eastAsia" w:ascii="宋体" w:hAnsi="宋体" w:eastAsia="宋体" w:cs="宋体"/>
                <w:i w:val="0"/>
                <w:iCs w:val="0"/>
                <w:color w:val="000000"/>
                <w:kern w:val="0"/>
                <w:sz w:val="22"/>
                <w:szCs w:val="22"/>
                <w:u w:val="none"/>
                <w:lang w:val="en-US" w:eastAsia="zh-CN" w:bidi="ar"/>
              </w:rPr>
              <w:br w:type="textWrapping"/>
            </w:r>
            <w:r>
              <w:rPr>
                <w:rFonts w:hint="eastAsia"/>
                <w:lang w:val="en-US" w:eastAsia="zh-CN"/>
              </w:rPr>
              <w:t>▲19、整机采用内置广角摄像头，像素≥1600万，对角角度≥135°，水平角度≥120°，整机摄像头具备下倾设计，下倾角度≥15°</w:t>
            </w:r>
          </w:p>
          <w:p w14:paraId="4132ABEB">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20</w:t>
            </w:r>
            <w:r>
              <w:rPr>
                <w:rFonts w:hint="eastAsia" w:ascii="宋体" w:hAnsi="宋体" w:eastAsia="宋体" w:cs="宋体"/>
                <w:i w:val="0"/>
                <w:iCs w:val="0"/>
                <w:color w:val="000000"/>
                <w:kern w:val="0"/>
                <w:sz w:val="22"/>
                <w:szCs w:val="22"/>
                <w:u w:val="none"/>
                <w:lang w:val="en-US" w:eastAsia="zh-CN" w:bidi="ar"/>
              </w:rPr>
              <w:t>、整机支持通过人脸识别进行登录账号。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1</w:t>
            </w:r>
            <w:r>
              <w:rPr>
                <w:rFonts w:hint="eastAsia" w:ascii="宋体" w:hAnsi="宋体" w:eastAsia="宋体" w:cs="宋体"/>
                <w:i w:val="0"/>
                <w:iCs w:val="0"/>
                <w:color w:val="000000"/>
                <w:kern w:val="0"/>
                <w:sz w:val="22"/>
                <w:szCs w:val="22"/>
                <w:u w:val="none"/>
                <w:lang w:val="en-US" w:eastAsia="zh-CN" w:bidi="ar"/>
              </w:rPr>
              <w:t>、整机触控须支持20点触控及同时书写，触摸分辨率≥32768×32768，定位精度≤±1mm，最小识别直径≤3mm，触摸响应时间≤8ms，Windows系统下触摸书写延迟≤60ms。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22</w:t>
            </w:r>
            <w:r>
              <w:rPr>
                <w:rFonts w:hint="eastAsia" w:ascii="宋体" w:hAnsi="宋体" w:eastAsia="宋体" w:cs="宋体"/>
                <w:i w:val="0"/>
                <w:iCs w:val="0"/>
                <w:color w:val="000000"/>
                <w:kern w:val="0"/>
                <w:sz w:val="22"/>
                <w:szCs w:val="22"/>
                <w:u w:val="none"/>
                <w:lang w:val="en-US" w:eastAsia="zh-CN" w:bidi="ar"/>
              </w:rPr>
              <w:t>、需采用红外触控技术，触控方式需支持手指或书写笔等非透明物体，支持多点触摸。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二、OPS：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1.整机架构:为降低电脑模块维护成本，接口严格遵循Intel相关规范，针脚数为行业通用80Pin ,与大屏无单独接线；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2.为保证产品安全性，采用卡扣固定，无需工具即可快速拆卸电脑模块；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3.CPU采用Intel第12代 I5处理器；内存：≥8G DDR4；硬盘：≥256G SSD；</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4.USB接口要求：USB3.0+USB2.0 ≥6个；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5.其他接口要求：网络接口不少于1个，DP输出接口不少于1个，HDMI不少于1个，耳机不少于1个，麦克风输入接口不少于1个；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6.Wifi：需支持802.11b/g/n；蓝牙需支持Bluetooth 4.2及以上。</w:t>
            </w:r>
          </w:p>
          <w:p w14:paraId="2CB99382">
            <w:pPr>
              <w:rPr>
                <w:rFonts w:hint="default" w:ascii="宋体" w:hAnsi="宋体" w:eastAsia="宋体" w:cs="宋体"/>
                <w:i w:val="0"/>
                <w:iCs w:val="0"/>
                <w:color w:val="000000"/>
                <w:kern w:val="0"/>
                <w:sz w:val="22"/>
                <w:szCs w:val="22"/>
                <w:u w:val="none"/>
                <w:lang w:val="en-US" w:eastAsia="zh-CN" w:bidi="ar"/>
              </w:rPr>
            </w:pPr>
            <w:r>
              <w:rPr>
                <w:rStyle w:val="40"/>
                <w:b/>
                <w:bCs/>
                <w:color w:val="FF0000"/>
                <w:sz w:val="24"/>
                <w:szCs w:val="24"/>
                <w:highlight w:val="none"/>
              </w:rPr>
              <w:t>所投产品</w:t>
            </w:r>
            <w:r>
              <w:rPr>
                <w:rStyle w:val="40"/>
                <w:rFonts w:hint="eastAsia"/>
                <w:b/>
                <w:bCs/>
                <w:color w:val="FF0000"/>
                <w:sz w:val="24"/>
                <w:szCs w:val="24"/>
                <w:highlight w:val="none"/>
              </w:rPr>
              <w:t>须提供国家确定的认证机构出具的、处于有效期之内的CCC产品认证证书</w:t>
            </w:r>
            <w:r>
              <w:rPr>
                <w:rStyle w:val="40"/>
                <w:b/>
                <w:bCs/>
                <w:color w:val="FF0000"/>
                <w:sz w:val="24"/>
                <w:szCs w:val="24"/>
                <w:highlight w:val="none"/>
              </w:rPr>
              <w:t>扫描件或图片。</w:t>
            </w:r>
          </w:p>
        </w:tc>
        <w:tc>
          <w:tcPr>
            <w:tcW w:w="240" w:type="dxa"/>
            <w:noWrap w:val="0"/>
            <w:vAlign w:val="center"/>
          </w:tcPr>
          <w:p w14:paraId="27D5A715">
            <w:pPr>
              <w:jc w:val="center"/>
              <w:rPr>
                <w:rFonts w:hint="default"/>
                <w:color w:val="auto"/>
                <w:highlight w:val="none"/>
                <w:vertAlign w:val="baseline"/>
                <w:lang w:val="en-US" w:eastAsia="zh-CN"/>
              </w:rPr>
            </w:pPr>
            <w:r>
              <w:rPr>
                <w:rFonts w:hint="eastAsia"/>
                <w:color w:val="auto"/>
                <w:highlight w:val="none"/>
                <w:vertAlign w:val="baseline"/>
                <w:lang w:val="en-US" w:eastAsia="zh-CN"/>
              </w:rPr>
              <w:t>台</w:t>
            </w:r>
          </w:p>
        </w:tc>
        <w:tc>
          <w:tcPr>
            <w:tcW w:w="666" w:type="dxa"/>
            <w:noWrap w:val="0"/>
            <w:vAlign w:val="center"/>
          </w:tcPr>
          <w:p w14:paraId="36C9F0BE">
            <w:pPr>
              <w:jc w:val="center"/>
              <w:rPr>
                <w:rFonts w:hint="default"/>
                <w:color w:val="auto"/>
                <w:highlight w:val="none"/>
                <w:vertAlign w:val="baseline"/>
                <w:lang w:val="en-US" w:eastAsia="zh-CN"/>
              </w:rPr>
            </w:pPr>
            <w:r>
              <w:rPr>
                <w:rFonts w:hint="eastAsia"/>
                <w:color w:val="auto"/>
                <w:highlight w:val="none"/>
                <w:vertAlign w:val="baseline"/>
                <w:lang w:val="en-US" w:eastAsia="zh-CN"/>
              </w:rPr>
              <w:t>160</w:t>
            </w:r>
          </w:p>
        </w:tc>
        <w:tc>
          <w:tcPr>
            <w:tcW w:w="1044" w:type="dxa"/>
            <w:noWrap w:val="0"/>
            <w:vAlign w:val="center"/>
          </w:tcPr>
          <w:p w14:paraId="075825DC">
            <w:pPr>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工业</w:t>
            </w:r>
          </w:p>
        </w:tc>
      </w:tr>
      <w:tr w14:paraId="3B1FF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noWrap w:val="0"/>
            <w:vAlign w:val="center"/>
          </w:tcPr>
          <w:p w14:paraId="27E76E3B">
            <w:pPr>
              <w:jc w:val="center"/>
              <w:rPr>
                <w:rFonts w:hint="default"/>
                <w:color w:val="auto"/>
                <w:highlight w:val="none"/>
                <w:vertAlign w:val="baseline"/>
                <w:lang w:val="en-US" w:eastAsia="zh-CN"/>
              </w:rPr>
            </w:pPr>
            <w:r>
              <w:rPr>
                <w:rFonts w:hint="eastAsia"/>
                <w:color w:val="auto"/>
                <w:highlight w:val="none"/>
                <w:vertAlign w:val="baseline"/>
                <w:lang w:val="en-US" w:eastAsia="zh-CN"/>
              </w:rPr>
              <w:t>2</w:t>
            </w:r>
          </w:p>
        </w:tc>
        <w:tc>
          <w:tcPr>
            <w:tcW w:w="1124" w:type="dxa"/>
            <w:noWrap w:val="0"/>
            <w:vAlign w:val="center"/>
          </w:tcPr>
          <w:p w14:paraId="17CB71D0">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教学应用系统</w:t>
            </w:r>
          </w:p>
        </w:tc>
        <w:tc>
          <w:tcPr>
            <w:tcW w:w="5493" w:type="dxa"/>
            <w:noWrap w:val="0"/>
            <w:vAlign w:val="center"/>
          </w:tcPr>
          <w:p w14:paraId="3C71152B">
            <w:pPr>
              <w:keepNext w:val="0"/>
              <w:keepLines w:val="0"/>
              <w:widowControl/>
              <w:numPr>
                <w:ilvl w:val="0"/>
                <w:numId w:val="5"/>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支持教师通过二维码扫描、账密输入登录、人脸识别登录方式进入教学应用系统。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2.教学应用系统需支持如下功能：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1）教学应用快捷入口：教学桌面支持教学常用的教学白板软件、文件管理软件、电子课本软件；可自动获取Windows系统桌面已经安装应用，无需切换到Windows系统桌面即可运行应用。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2）学科应用入口：教学桌面需预置语文、数学、英语、物理、化学、生物、地理、历史、信息技术共9个学科的学科应用入口，需支持教师直接下载并按照学科筛选学科应用。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3.提供罗盘工具，需支持五指点击屏幕调出罗盘工具，需支持在一体机屏幕任意位置停留或左右侧边隐藏；常见应用工具≥2层功能调取如选择、擦除等；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在系统界面下，内置侧边栏快捷菜单，支持多种快捷入口，如主页、文件、课本、白板、讲评、智能笔等；需支持在系统界面下实现上课/下课，并自动登录/退出教师账号，登录后自动进入上次授课班级及教学进度。</w:t>
            </w:r>
            <w:r>
              <w:rPr>
                <w:rFonts w:hint="eastAsia" w:ascii="宋体" w:hAnsi="宋体" w:eastAsia="宋体" w:cs="宋体"/>
                <w:i w:val="0"/>
                <w:iCs w:val="0"/>
                <w:color w:val="000000"/>
                <w:kern w:val="0"/>
                <w:sz w:val="22"/>
                <w:szCs w:val="22"/>
                <w:u w:val="none"/>
                <w:lang w:val="en-US" w:eastAsia="zh-CN" w:bidi="ar"/>
              </w:rPr>
              <w:br w:type="textWrapping"/>
            </w:r>
            <w:r>
              <w:rPr>
                <w:rFonts w:hint="eastAsia"/>
                <w:lang w:val="en-US" w:eastAsia="zh-CN"/>
              </w:rPr>
              <w:t>5.需支持对教师授课主机屏幕进行录制形成课堂授课实录或微课，支持通过二维码分享实录视频，需支持对微课分类管理和按微课名搜索；需支持授课内容（PPT、电子课本、网页、文档）微课进行关键帧提取，需支持通过点击关键帧方式快速精准定位微课内容。（需提供产品功能截图证明）</w:t>
            </w:r>
          </w:p>
          <w:p w14:paraId="1FDB51D3">
            <w:pPr>
              <w:keepNext w:val="0"/>
              <w:keepLines w:val="0"/>
              <w:widowControl/>
              <w:numPr>
                <w:ilvl w:val="0"/>
                <w:numId w:val="0"/>
              </w:numPr>
              <w:suppressLineNumbers w:val="0"/>
              <w:jc w:val="left"/>
              <w:textAlignment w:val="center"/>
              <w:rPr>
                <w:rFonts w:hint="default"/>
                <w:color w:val="auto"/>
                <w:highlight w:val="none"/>
                <w:vertAlign w:val="baseline"/>
                <w:lang w:val="en-US" w:eastAsia="zh-CN"/>
              </w:rPr>
            </w:pPr>
            <w:r>
              <w:rPr>
                <w:rFonts w:hint="eastAsia" w:ascii="宋体" w:hAnsi="宋体" w:cs="宋体"/>
                <w:i w:val="0"/>
                <w:iCs w:val="0"/>
                <w:color w:val="000000"/>
                <w:kern w:val="0"/>
                <w:sz w:val="22"/>
                <w:szCs w:val="22"/>
                <w:u w:val="none"/>
                <w:lang w:val="en-US" w:eastAsia="zh-CN" w:bidi="ar"/>
              </w:rPr>
              <w:t>6</w:t>
            </w:r>
            <w:r>
              <w:rPr>
                <w:rFonts w:hint="eastAsia" w:ascii="宋体" w:hAnsi="宋体" w:eastAsia="宋体" w:cs="宋体"/>
                <w:i w:val="0"/>
                <w:iCs w:val="0"/>
                <w:color w:val="000000"/>
                <w:kern w:val="0"/>
                <w:sz w:val="22"/>
                <w:szCs w:val="22"/>
                <w:u w:val="none"/>
                <w:lang w:val="en-US" w:eastAsia="zh-CN" w:bidi="ar"/>
              </w:rPr>
              <w:t>.备授课同步：需支持通过云端将备课的资源同步至电子化教材对应章节目录，无需拷贝。支持新建自定义备课本，满足非同步教学场景下的备授课资源存储、同步需求。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1）备课资源：支持从云端、校本资源库、个人网盘获取资源，满足教师个性化备课需求。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添加本地资源：支持教师备课过程中从本地添加教学资源，资源格式支持文本（.txt/.docx/.doc/.pdf）、表格（.xlsx/.xls）、演示胶片（.pptx/.ppt）、图片（.jpg/.png/.dmp/.gif）、视频（.mp4/.avi/.rmvb/.wmv）及音频（.mp3/.wma/.wa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7</w:t>
            </w:r>
            <w:r>
              <w:rPr>
                <w:rFonts w:hint="eastAsia" w:ascii="宋体" w:hAnsi="宋体" w:eastAsia="宋体" w:cs="宋体"/>
                <w:i w:val="0"/>
                <w:iCs w:val="0"/>
                <w:color w:val="000000"/>
                <w:kern w:val="0"/>
                <w:sz w:val="22"/>
                <w:szCs w:val="22"/>
                <w:u w:val="none"/>
                <w:lang w:val="en-US" w:eastAsia="zh-CN" w:bidi="ar"/>
              </w:rPr>
              <w:t>.教学资源需覆盖高中全学科的电子版本教材，需支持提供≥2600本电子教材资源；其中语文、英语、音乐学科提供点读功能，支持分句、段、篇章进行点读；授课过程中，支持对课本进行文本批注、画笔标注、擦除、聚焦、翻页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8</w:t>
            </w:r>
            <w:r>
              <w:rPr>
                <w:rFonts w:hint="eastAsia" w:ascii="宋体" w:hAnsi="宋体" w:eastAsia="宋体" w:cs="宋体"/>
                <w:i w:val="0"/>
                <w:iCs w:val="0"/>
                <w:color w:val="000000"/>
                <w:kern w:val="0"/>
                <w:sz w:val="22"/>
                <w:szCs w:val="22"/>
                <w:u w:val="none"/>
                <w:lang w:val="en-US" w:eastAsia="zh-CN" w:bidi="ar"/>
              </w:rPr>
              <w:t>.需支持制作PPT课件时可插入教学互动活动，如分类、连线、卡片、画廊、语言学科评测练习、函数等；支持直接引用与课程相关的云端、校本资源库、个人资源库资源；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9</w:t>
            </w:r>
            <w:r>
              <w:rPr>
                <w:rFonts w:hint="eastAsia" w:ascii="宋体" w:hAnsi="宋体" w:eastAsia="宋体" w:cs="宋体"/>
                <w:i w:val="0"/>
                <w:iCs w:val="0"/>
                <w:color w:val="000000"/>
                <w:kern w:val="0"/>
                <w:sz w:val="22"/>
                <w:szCs w:val="22"/>
                <w:u w:val="none"/>
                <w:lang w:val="en-US" w:eastAsia="zh-CN" w:bidi="ar"/>
              </w:rPr>
              <w:t>.数学学科工具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6种平面几何工具，如线、角、圆等常见平面几何工具，支持教师对平面工具提供≥4种操作，如大小、角度调整，颜色调整等；绘制平面图形支持设置任意中心点进行旋转，辅助学生理解；支持教师在原图形绘≥6种辅助线类型，如绘制垂线、角平分线、中位线,可自动吸附快速画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立体几何工具：支持绘制≥6种以上立体几何图形，如立方体、圆柱体、多棱柱、多棱锥等；支持≥8种图形工具操作，如立方体图形至少支持三视图、展开、收起、构图、堆积等常见教学操作，培养学生数学学科素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函数工具：支持≥6种以上函数工具类型，如幂函数、指数函数、对数函数、三角函数基本等；需支持直接将手写函数表达式转写为标准印刷体，点击生成函数图像，支持手动调节函数参数，图形随之调整，实现数形结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0</w:t>
            </w:r>
            <w:r>
              <w:rPr>
                <w:rFonts w:hint="eastAsia" w:ascii="宋体" w:hAnsi="宋体" w:eastAsia="宋体" w:cs="宋体"/>
                <w:i w:val="0"/>
                <w:iCs w:val="0"/>
                <w:color w:val="000000"/>
                <w:kern w:val="0"/>
                <w:sz w:val="22"/>
                <w:szCs w:val="22"/>
                <w:u w:val="none"/>
                <w:lang w:val="en-US" w:eastAsia="zh-CN" w:bidi="ar"/>
              </w:rPr>
              <w:t xml:space="preserve">.英语学科工具：需提供≥8种英语学科工具，如四线三格、字母卡片、英语朗读、单词评测、单词接龙单词听写等多种英语学科工具和应用；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1</w:t>
            </w:r>
            <w:r>
              <w:rPr>
                <w:rFonts w:hint="eastAsia" w:ascii="宋体" w:hAnsi="宋体" w:eastAsia="宋体" w:cs="宋体"/>
                <w:i w:val="0"/>
                <w:iCs w:val="0"/>
                <w:color w:val="000000"/>
                <w:kern w:val="0"/>
                <w:sz w:val="22"/>
                <w:szCs w:val="22"/>
                <w:u w:val="none"/>
                <w:lang w:val="en-US" w:eastAsia="zh-CN" w:bidi="ar"/>
              </w:rPr>
              <w:t>.需提供物理电路图，涵盖高中教材电路实验，≥21种电路实验案例如伏安法测电阻、欧姆定律应用、动态电路分析等；≥26种元件如二极管、滑动变阻器、热敏电阻、灵敏电流计等，教师可结合实际教学场景自行组装；以上实验操作支持≥5种功能操作，满足虚拟实验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.化学工具</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需提供≥56种化学仪器工具，如反应类、固定和加持类、加热类、分离类、计量类、存取类等仪器调用；化学识别及推荐：需支持将教师手写的化学方程式自动识别为标准印刷体；并支持智能推荐功能，可根据原生笔迹或印刷体快速调取对应的化学元素、化学实验、微课讲解等资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13</w:t>
            </w:r>
            <w:r>
              <w:rPr>
                <w:rFonts w:hint="eastAsia" w:ascii="宋体" w:hAnsi="宋体" w:eastAsia="宋体" w:cs="宋体"/>
                <w:i w:val="0"/>
                <w:iCs w:val="0"/>
                <w:color w:val="000000"/>
                <w:kern w:val="0"/>
                <w:sz w:val="22"/>
                <w:szCs w:val="22"/>
                <w:u w:val="none"/>
                <w:lang w:val="en-US" w:eastAsia="zh-CN" w:bidi="ar"/>
              </w:rPr>
              <w:t>.需提供地理教学所需的地球和地图、世界地理、中国地理等模块的课本地图资料≥75幅动态地图和≥300幅静态地图。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14</w:t>
            </w:r>
            <w:r>
              <w:rPr>
                <w:rFonts w:hint="eastAsia" w:ascii="宋体" w:hAnsi="宋体" w:eastAsia="宋体" w:cs="宋体"/>
                <w:i w:val="0"/>
                <w:iCs w:val="0"/>
                <w:color w:val="000000"/>
                <w:kern w:val="0"/>
                <w:sz w:val="22"/>
                <w:szCs w:val="22"/>
                <w:u w:val="none"/>
                <w:lang w:val="en-US" w:eastAsia="zh-CN" w:bidi="ar"/>
              </w:rPr>
              <w:t>.需提供历史教学所学所需的中国古代史、中国近代史、中国现代史、世界古代史、世界近代史、世界现代史等模块≥370幅动态地图，≥445幅静态地图资料；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5</w:t>
            </w:r>
            <w:r>
              <w:rPr>
                <w:rFonts w:hint="eastAsia" w:ascii="宋体" w:hAnsi="宋体" w:eastAsia="宋体" w:cs="宋体"/>
                <w:i w:val="0"/>
                <w:iCs w:val="0"/>
                <w:color w:val="000000"/>
                <w:kern w:val="0"/>
                <w:sz w:val="22"/>
                <w:szCs w:val="22"/>
                <w:u w:val="none"/>
                <w:lang w:val="en-US" w:eastAsia="zh-CN" w:bidi="ar"/>
              </w:rPr>
              <w:t>.AI教学工具：1）中英文识别：支持手写中文或英文转写为印刷体，且识别为印刷体后支持朗读、评测、生成卡片等功能</w:t>
            </w:r>
            <w:r>
              <w:rPr>
                <w:rFonts w:hint="eastAsia"/>
                <w:lang w:val="en-US" w:eastAsia="zh-CN"/>
              </w:rPr>
              <w:t>（需提供产品功能截图证明）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2）中英文划词：支持对手写中文或英文进行圈画，推荐相关卡片资料，中文卡片包括拼音、笔顺、部首和结构，英文卡片包括发音、翻译和素材等；</w:t>
            </w:r>
          </w:p>
        </w:tc>
        <w:tc>
          <w:tcPr>
            <w:tcW w:w="240" w:type="dxa"/>
            <w:noWrap w:val="0"/>
            <w:vAlign w:val="center"/>
          </w:tcPr>
          <w:p w14:paraId="5A33424F">
            <w:pPr>
              <w:jc w:val="center"/>
              <w:rPr>
                <w:rFonts w:hint="default"/>
                <w:color w:val="auto"/>
                <w:highlight w:val="none"/>
                <w:vertAlign w:val="baseline"/>
                <w:lang w:val="en-US" w:eastAsia="zh-CN"/>
              </w:rPr>
            </w:pPr>
            <w:r>
              <w:rPr>
                <w:rFonts w:hint="eastAsia"/>
                <w:color w:val="auto"/>
                <w:highlight w:val="none"/>
                <w:vertAlign w:val="baseline"/>
                <w:lang w:val="en-US" w:eastAsia="zh-CN"/>
              </w:rPr>
              <w:t>套</w:t>
            </w:r>
          </w:p>
        </w:tc>
        <w:tc>
          <w:tcPr>
            <w:tcW w:w="666" w:type="dxa"/>
            <w:noWrap w:val="0"/>
            <w:vAlign w:val="center"/>
          </w:tcPr>
          <w:p w14:paraId="4AE0EC34">
            <w:pPr>
              <w:jc w:val="center"/>
              <w:rPr>
                <w:rFonts w:hint="default"/>
                <w:color w:val="auto"/>
                <w:highlight w:val="none"/>
                <w:vertAlign w:val="baseline"/>
                <w:lang w:val="en-US" w:eastAsia="zh-CN"/>
              </w:rPr>
            </w:pPr>
            <w:r>
              <w:rPr>
                <w:rFonts w:hint="eastAsia"/>
                <w:color w:val="auto"/>
                <w:highlight w:val="none"/>
                <w:vertAlign w:val="baseline"/>
                <w:lang w:val="en-US" w:eastAsia="zh-CN"/>
              </w:rPr>
              <w:t>160</w:t>
            </w:r>
          </w:p>
        </w:tc>
        <w:tc>
          <w:tcPr>
            <w:tcW w:w="1044" w:type="dxa"/>
            <w:noWrap w:val="0"/>
            <w:vAlign w:val="center"/>
          </w:tcPr>
          <w:p w14:paraId="6909EB37">
            <w:pPr>
              <w:jc w:val="center"/>
              <w:rPr>
                <w:rFonts w:hint="eastAsia"/>
                <w:color w:val="auto"/>
                <w:highlight w:val="none"/>
                <w:vertAlign w:val="baseline"/>
                <w:lang w:val="en-US" w:eastAsia="zh-CN"/>
              </w:rPr>
            </w:pPr>
            <w:r>
              <w:rPr>
                <w:rFonts w:hint="eastAsia" w:ascii="宋体"/>
                <w:color w:val="000000"/>
                <w:sz w:val="20"/>
                <w:szCs w:val="24"/>
              </w:rPr>
              <w:t>软件和信息技术服务业</w:t>
            </w:r>
          </w:p>
        </w:tc>
      </w:tr>
      <w:tr w14:paraId="0EF5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noWrap w:val="0"/>
            <w:vAlign w:val="center"/>
          </w:tcPr>
          <w:p w14:paraId="457A7316">
            <w:pPr>
              <w:jc w:val="center"/>
              <w:rPr>
                <w:rFonts w:hint="default"/>
                <w:color w:val="auto"/>
                <w:highlight w:val="none"/>
                <w:vertAlign w:val="baseline"/>
                <w:lang w:val="en-US" w:eastAsia="zh-CN"/>
              </w:rPr>
            </w:pPr>
            <w:r>
              <w:rPr>
                <w:rFonts w:hint="eastAsia"/>
                <w:color w:val="auto"/>
                <w:highlight w:val="none"/>
                <w:vertAlign w:val="baseline"/>
                <w:lang w:val="en-US" w:eastAsia="zh-CN"/>
              </w:rPr>
              <w:t>3</w:t>
            </w:r>
          </w:p>
        </w:tc>
        <w:tc>
          <w:tcPr>
            <w:tcW w:w="1124" w:type="dxa"/>
            <w:noWrap w:val="0"/>
            <w:vAlign w:val="center"/>
          </w:tcPr>
          <w:p w14:paraId="12FCF015">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eastAsia="宋体" w:cs="宋体"/>
                <w:i w:val="0"/>
                <w:iCs w:val="0"/>
                <w:color w:val="auto"/>
                <w:kern w:val="0"/>
                <w:sz w:val="21"/>
                <w:szCs w:val="21"/>
                <w:u w:val="none"/>
                <w:lang w:val="en-US" w:eastAsia="zh-CN" w:bidi="ar"/>
              </w:rPr>
              <w:t>视频展台</w:t>
            </w:r>
          </w:p>
        </w:tc>
        <w:tc>
          <w:tcPr>
            <w:tcW w:w="5493" w:type="dxa"/>
            <w:noWrap w:val="0"/>
            <w:vAlign w:val="center"/>
          </w:tcPr>
          <w:p w14:paraId="57D9E073">
            <w:pPr>
              <w:keepNext w:val="0"/>
              <w:keepLines w:val="0"/>
              <w:widowControl/>
              <w:numPr>
                <w:ilvl w:val="0"/>
                <w:numId w:val="6"/>
              </w:numPr>
              <w:suppressLineNumbers w:val="0"/>
              <w:jc w:val="left"/>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箱体需采用ABS外壳，四周无锐角无利边设计，安全耐用美观。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2.展台像素：需采用≥1300万像素摄像头。1080P动态视频预览达到30帧/秒；</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3.需采用USB五伏接口，单根USB线实现数据传输和供电，在超五米远距离传输时可选择辅助供电，确保高清数据和供电传输的稳定性，环保无辐射，箱内USB连线采用隐藏式设计，且USB口下出，有效防止积尘。</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4.产品有下出和侧出接口（USB≥2），壁挂主场景为主，同时兼顾桌面摆放的次场景需求。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5.对焦方式：AF自动+MF按需对焦技术，避免画面展示过程中由于纸张移动或阴影变化反复对焦。</w:t>
            </w:r>
          </w:p>
        </w:tc>
        <w:tc>
          <w:tcPr>
            <w:tcW w:w="240" w:type="dxa"/>
            <w:noWrap w:val="0"/>
            <w:vAlign w:val="center"/>
          </w:tcPr>
          <w:p w14:paraId="42357565">
            <w:pPr>
              <w:jc w:val="center"/>
              <w:rPr>
                <w:rFonts w:hint="default"/>
                <w:color w:val="auto"/>
                <w:highlight w:val="none"/>
                <w:vertAlign w:val="baseline"/>
                <w:lang w:val="en-US" w:eastAsia="zh-CN"/>
              </w:rPr>
            </w:pPr>
            <w:r>
              <w:rPr>
                <w:rFonts w:hint="eastAsia"/>
                <w:color w:val="auto"/>
                <w:highlight w:val="none"/>
                <w:vertAlign w:val="baseline"/>
                <w:lang w:val="en-US" w:eastAsia="zh-CN"/>
              </w:rPr>
              <w:t>台</w:t>
            </w:r>
          </w:p>
        </w:tc>
        <w:tc>
          <w:tcPr>
            <w:tcW w:w="666" w:type="dxa"/>
            <w:noWrap w:val="0"/>
            <w:vAlign w:val="center"/>
          </w:tcPr>
          <w:p w14:paraId="619A8EC5">
            <w:pPr>
              <w:jc w:val="center"/>
              <w:rPr>
                <w:rFonts w:hint="default"/>
                <w:color w:val="auto"/>
                <w:highlight w:val="none"/>
                <w:vertAlign w:val="baseline"/>
                <w:lang w:val="en-US" w:eastAsia="zh-CN"/>
              </w:rPr>
            </w:pPr>
            <w:r>
              <w:rPr>
                <w:rFonts w:hint="eastAsia"/>
                <w:color w:val="auto"/>
                <w:highlight w:val="none"/>
                <w:vertAlign w:val="baseline"/>
                <w:lang w:val="en-US" w:eastAsia="zh-CN"/>
              </w:rPr>
              <w:t>160</w:t>
            </w:r>
          </w:p>
        </w:tc>
        <w:tc>
          <w:tcPr>
            <w:tcW w:w="1044" w:type="dxa"/>
            <w:noWrap w:val="0"/>
            <w:vAlign w:val="center"/>
          </w:tcPr>
          <w:p w14:paraId="4369365D">
            <w:pPr>
              <w:jc w:val="center"/>
              <w:rPr>
                <w:rFonts w:hint="eastAsia"/>
                <w:color w:val="auto"/>
                <w:highlight w:val="none"/>
                <w:vertAlign w:val="baseline"/>
                <w:lang w:val="en-US" w:eastAsia="zh-CN"/>
              </w:rPr>
            </w:pPr>
            <w:r>
              <w:rPr>
                <w:rFonts w:hint="eastAsia"/>
                <w:color w:val="auto"/>
                <w:highlight w:val="none"/>
                <w:vertAlign w:val="baseline"/>
                <w:lang w:val="en-US" w:eastAsia="zh-CN"/>
              </w:rPr>
              <w:t>工业</w:t>
            </w:r>
          </w:p>
        </w:tc>
      </w:tr>
      <w:tr w14:paraId="03E4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noWrap w:val="0"/>
            <w:vAlign w:val="center"/>
          </w:tcPr>
          <w:p w14:paraId="027D09A9">
            <w:pPr>
              <w:jc w:val="center"/>
              <w:rPr>
                <w:rFonts w:hint="default"/>
                <w:color w:val="auto"/>
                <w:highlight w:val="none"/>
                <w:vertAlign w:val="baseline"/>
                <w:lang w:val="en-US" w:eastAsia="zh-CN"/>
              </w:rPr>
            </w:pPr>
            <w:r>
              <w:rPr>
                <w:rFonts w:hint="eastAsia"/>
                <w:color w:val="auto"/>
                <w:highlight w:val="none"/>
                <w:vertAlign w:val="baseline"/>
                <w:lang w:val="en-US" w:eastAsia="zh-CN"/>
              </w:rPr>
              <w:t>4</w:t>
            </w:r>
          </w:p>
        </w:tc>
        <w:tc>
          <w:tcPr>
            <w:tcW w:w="1124" w:type="dxa"/>
            <w:noWrap w:val="0"/>
            <w:vAlign w:val="center"/>
          </w:tcPr>
          <w:p w14:paraId="5F6C2D45">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1"/>
                <w:szCs w:val="21"/>
                <w:u w:val="none"/>
                <w:lang w:val="en-US" w:eastAsia="zh-CN" w:bidi="ar"/>
              </w:rPr>
              <w:t>智能笔</w:t>
            </w:r>
          </w:p>
        </w:tc>
        <w:tc>
          <w:tcPr>
            <w:tcW w:w="5493" w:type="dxa"/>
            <w:noWrap w:val="0"/>
            <w:vAlign w:val="center"/>
          </w:tcPr>
          <w:p w14:paraId="3E744900">
            <w:pPr>
              <w:keepNext w:val="0"/>
              <w:keepLines w:val="0"/>
              <w:widowControl/>
              <w:numPr>
                <w:ilvl w:val="0"/>
                <w:numId w:val="7"/>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笔身配置需不少于六个按键，包括一键开关机、上下翻页、智能语音/ 扩音、书写颜色切换、无线鼠标（飞鼠/空鼠）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2.需内置高灵敏指向性麦克风，拾音距离为 0-10cm。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3.拾音麦克风的信噪比需≥77dB,在嘈杂环境下需≤65dB，实现清晰的录入使用者的人声音。</w:t>
            </w:r>
            <w:r>
              <w:rPr>
                <w:rFonts w:hint="eastAsia" w:ascii="宋体" w:hAnsi="宋体" w:eastAsia="宋体" w:cs="宋体"/>
                <w:i w:val="0"/>
                <w:iCs w:val="0"/>
                <w:color w:val="000000"/>
                <w:kern w:val="0"/>
                <w:sz w:val="22"/>
                <w:szCs w:val="22"/>
                <w:u w:val="none"/>
                <w:lang w:val="en-US" w:eastAsia="zh-CN" w:bidi="ar"/>
              </w:rPr>
              <w:br w:type="textWrapping"/>
            </w:r>
            <w:r>
              <w:rPr>
                <w:rFonts w:hint="eastAsia"/>
                <w:lang w:val="en-US" w:eastAsia="zh-CN"/>
              </w:rPr>
              <w:t>▲4. 需支持通过语音指令功能，能够通过语言操作系统相关功能，如ppt上下翻页、打开网络搜索引擎、调节音量大小等。</w:t>
            </w:r>
          </w:p>
          <w:p w14:paraId="4CB8D9BC">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5.在整机教学系统运行环境下，智能笔需支持一键切换画笔颜色与板擦功能；需支持切换颜色≥2种，且支持教师自定义任意颜色。</w:t>
            </w:r>
            <w:r>
              <w:rPr>
                <w:rFonts w:hint="eastAsia" w:ascii="宋体" w:hAnsi="宋体" w:eastAsia="宋体" w:cs="宋体"/>
                <w:i w:val="0"/>
                <w:iCs w:val="0"/>
                <w:color w:val="000000"/>
                <w:kern w:val="0"/>
                <w:sz w:val="22"/>
                <w:szCs w:val="22"/>
                <w:u w:val="none"/>
                <w:lang w:val="en-US" w:eastAsia="zh-CN" w:bidi="ar"/>
              </w:rPr>
              <w:br w:type="textWrapping"/>
            </w:r>
            <w:r>
              <w:rPr>
                <w:rFonts w:hint="eastAsia"/>
                <w:lang w:val="en-US" w:eastAsia="zh-CN"/>
              </w:rPr>
              <w:t>▲6.在教学系统运行环境下，提供智能笔全局扩音功能，扩音延迟≤30ms，满足教师移动教学需要。</w:t>
            </w:r>
          </w:p>
        </w:tc>
        <w:tc>
          <w:tcPr>
            <w:tcW w:w="240" w:type="dxa"/>
            <w:noWrap w:val="0"/>
            <w:vAlign w:val="center"/>
          </w:tcPr>
          <w:p w14:paraId="36899DB8">
            <w:pPr>
              <w:jc w:val="center"/>
              <w:rPr>
                <w:rFonts w:hint="default"/>
                <w:color w:val="auto"/>
                <w:highlight w:val="none"/>
                <w:vertAlign w:val="baseline"/>
                <w:lang w:val="en-US" w:eastAsia="zh-CN"/>
              </w:rPr>
            </w:pPr>
            <w:r>
              <w:rPr>
                <w:rFonts w:hint="eastAsia"/>
                <w:color w:val="auto"/>
                <w:highlight w:val="none"/>
                <w:vertAlign w:val="baseline"/>
                <w:lang w:val="en-US" w:eastAsia="zh-CN"/>
              </w:rPr>
              <w:t>支</w:t>
            </w:r>
          </w:p>
        </w:tc>
        <w:tc>
          <w:tcPr>
            <w:tcW w:w="666" w:type="dxa"/>
            <w:noWrap w:val="0"/>
            <w:vAlign w:val="center"/>
          </w:tcPr>
          <w:p w14:paraId="7D18A85B">
            <w:pPr>
              <w:jc w:val="center"/>
              <w:rPr>
                <w:rFonts w:hint="default"/>
                <w:color w:val="auto"/>
                <w:highlight w:val="none"/>
                <w:vertAlign w:val="baseline"/>
                <w:lang w:val="en-US" w:eastAsia="zh-CN"/>
              </w:rPr>
            </w:pPr>
            <w:r>
              <w:rPr>
                <w:rFonts w:hint="eastAsia"/>
                <w:color w:val="auto"/>
                <w:highlight w:val="none"/>
                <w:vertAlign w:val="baseline"/>
                <w:lang w:val="en-US" w:eastAsia="zh-CN"/>
              </w:rPr>
              <w:t>160</w:t>
            </w:r>
          </w:p>
        </w:tc>
        <w:tc>
          <w:tcPr>
            <w:tcW w:w="1044" w:type="dxa"/>
            <w:noWrap w:val="0"/>
            <w:vAlign w:val="center"/>
          </w:tcPr>
          <w:p w14:paraId="44720433">
            <w:pPr>
              <w:jc w:val="center"/>
              <w:rPr>
                <w:rFonts w:hint="eastAsia"/>
                <w:color w:val="auto"/>
                <w:highlight w:val="none"/>
                <w:vertAlign w:val="baseline"/>
                <w:lang w:val="en-US" w:eastAsia="zh-CN"/>
              </w:rPr>
            </w:pPr>
            <w:r>
              <w:rPr>
                <w:rFonts w:hint="eastAsia"/>
                <w:color w:val="auto"/>
                <w:highlight w:val="none"/>
                <w:vertAlign w:val="baseline"/>
                <w:lang w:val="en-US" w:eastAsia="zh-CN"/>
              </w:rPr>
              <w:t>工业</w:t>
            </w:r>
          </w:p>
        </w:tc>
      </w:tr>
      <w:tr w14:paraId="694FA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noWrap w:val="0"/>
            <w:vAlign w:val="center"/>
          </w:tcPr>
          <w:p w14:paraId="7042632C">
            <w:pPr>
              <w:jc w:val="center"/>
              <w:rPr>
                <w:rFonts w:hint="default"/>
                <w:color w:val="auto"/>
                <w:highlight w:val="none"/>
                <w:vertAlign w:val="baseline"/>
                <w:lang w:val="en-US" w:eastAsia="zh-CN"/>
              </w:rPr>
            </w:pPr>
            <w:r>
              <w:rPr>
                <w:rFonts w:hint="eastAsia"/>
                <w:color w:val="auto"/>
                <w:highlight w:val="none"/>
                <w:vertAlign w:val="baseline"/>
                <w:lang w:val="en-US" w:eastAsia="zh-CN"/>
              </w:rPr>
              <w:t>5</w:t>
            </w:r>
          </w:p>
        </w:tc>
        <w:tc>
          <w:tcPr>
            <w:tcW w:w="1124" w:type="dxa"/>
            <w:noWrap w:val="0"/>
            <w:vAlign w:val="center"/>
          </w:tcPr>
          <w:p w14:paraId="4E450EE3">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AI智能助教</w:t>
            </w:r>
          </w:p>
        </w:tc>
        <w:tc>
          <w:tcPr>
            <w:tcW w:w="5493" w:type="dxa"/>
            <w:noWrap w:val="0"/>
            <w:vAlign w:val="center"/>
          </w:tcPr>
          <w:p w14:paraId="5357EF8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一、对话管理：需支持创建新的对话；需支持查看历史对话记录；需支持通过语音或输入文字的方式进行对话；需支持对生成的内容进行重新回答、分享、点赞、点踩、反馈、复制。</w:t>
            </w:r>
          </w:p>
          <w:p w14:paraId="7F96617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二、推荐助手</w:t>
            </w:r>
          </w:p>
          <w:p w14:paraId="2E39E67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1、教学设计（通用）：需支持基于用户输入的内容生成教学设计，生成的内容需包含：教学内容分析、教学重点、教学难点、教学过程内容。</w:t>
            </w:r>
          </w:p>
          <w:p w14:paraId="5E52DEE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2、课堂活动设计：需支持基于用户输入的内容生成课堂活动，生成的内容需包含：活动背景、活动目标、活动内容。</w:t>
            </w:r>
          </w:p>
          <w:p w14:paraId="0D85B18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3、实践作业：需支持基于用户输入的内容生成实践作业，内容需包含：作业目标、作业要求、步骤。</w:t>
            </w:r>
          </w:p>
          <w:p w14:paraId="2A00ADC2">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4、课题灵感：需支持基于用户输入的内容，生成与课题研究相关的框架思路，内容需包含：研究目的、研究方法、研究计划。</w:t>
            </w:r>
          </w:p>
          <w:p w14:paraId="718092A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5、项目式学习：需支持基于用户输入的内容生成项目式学习内容，内容需包括：项目名称、项目目标、项目活动安排、项目评价。</w:t>
            </w:r>
          </w:p>
          <w:p w14:paraId="27B3230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6、教学反思：需支持基于用户输入的内容生成教学反思，内容需包括：教学问题、教学改进思路。</w:t>
            </w:r>
          </w:p>
          <w:p w14:paraId="0A1F536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7、班会设计：需支持基于用户输入的内容生成班会设计，内容需包含：主题、内容、时间安排、班会效果评估内容。</w:t>
            </w:r>
          </w:p>
          <w:p w14:paraId="52A0B20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8、学生评语：需支持基于用户输入的内容生成学生评语。</w:t>
            </w:r>
          </w:p>
          <w:p w14:paraId="1B1BE1B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9、家访沟通提纲：需支持基于用户输入的要求生成沟通提纲，包括：开场白、家校合作建议内容。</w:t>
            </w:r>
          </w:p>
          <w:p w14:paraId="09501A8A">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10、图片生成：需支持基于用户输入的内容，生成相关图片素材资源。</w:t>
            </w:r>
          </w:p>
          <w:p w14:paraId="320012C7">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三、自定义创建助手</w:t>
            </w:r>
          </w:p>
          <w:p w14:paraId="7DAB5CC2">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需支持用户创建助手，需支持用户自定义助手名称、助手分类、功能简介、角色设定、任务目标、需求说明、是否支持多轮对话及选择上传助手头像，并提交审核。需支持用户将审核通过后的助手给其他用户使用。</w:t>
            </w:r>
          </w:p>
          <w:p w14:paraId="14DCA40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四、助手案例</w:t>
            </w:r>
          </w:p>
          <w:p w14:paraId="254BD49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需提供助手对话案例供参考学习，如课堂活动设计、课题灵感、项目式学习、教学反思、班会设计。案例需支持按时间、热度方式排序。</w:t>
            </w:r>
          </w:p>
        </w:tc>
        <w:tc>
          <w:tcPr>
            <w:tcW w:w="240" w:type="dxa"/>
            <w:noWrap w:val="0"/>
            <w:vAlign w:val="center"/>
          </w:tcPr>
          <w:p w14:paraId="1A278A1E">
            <w:pPr>
              <w:jc w:val="center"/>
              <w:rPr>
                <w:rFonts w:hint="default"/>
                <w:color w:val="auto"/>
                <w:highlight w:val="none"/>
                <w:vertAlign w:val="baseline"/>
                <w:lang w:val="en-US" w:eastAsia="zh-CN"/>
              </w:rPr>
            </w:pPr>
            <w:r>
              <w:rPr>
                <w:rFonts w:hint="eastAsia"/>
                <w:color w:val="auto"/>
                <w:highlight w:val="none"/>
                <w:vertAlign w:val="baseline"/>
                <w:lang w:val="en-US" w:eastAsia="zh-CN"/>
              </w:rPr>
              <w:t>套</w:t>
            </w:r>
          </w:p>
        </w:tc>
        <w:tc>
          <w:tcPr>
            <w:tcW w:w="666" w:type="dxa"/>
            <w:noWrap w:val="0"/>
            <w:vAlign w:val="center"/>
          </w:tcPr>
          <w:p w14:paraId="45D09366">
            <w:pPr>
              <w:jc w:val="center"/>
              <w:rPr>
                <w:rFonts w:hint="default"/>
                <w:color w:val="auto"/>
                <w:highlight w:val="none"/>
                <w:vertAlign w:val="baseline"/>
                <w:lang w:val="en-US" w:eastAsia="zh-CN"/>
              </w:rPr>
            </w:pPr>
            <w:r>
              <w:rPr>
                <w:rFonts w:hint="eastAsia"/>
                <w:color w:val="auto"/>
                <w:highlight w:val="none"/>
                <w:vertAlign w:val="baseline"/>
                <w:lang w:val="en-US" w:eastAsia="zh-CN"/>
              </w:rPr>
              <w:t>160</w:t>
            </w:r>
          </w:p>
        </w:tc>
        <w:tc>
          <w:tcPr>
            <w:tcW w:w="1044" w:type="dxa"/>
            <w:noWrap w:val="0"/>
            <w:vAlign w:val="center"/>
          </w:tcPr>
          <w:p w14:paraId="0D792901">
            <w:pPr>
              <w:jc w:val="center"/>
              <w:rPr>
                <w:rFonts w:hint="eastAsia"/>
                <w:color w:val="auto"/>
                <w:highlight w:val="none"/>
                <w:vertAlign w:val="baseline"/>
                <w:lang w:val="en-US" w:eastAsia="zh-CN"/>
              </w:rPr>
            </w:pPr>
            <w:r>
              <w:rPr>
                <w:rFonts w:hint="eastAsia" w:ascii="宋体"/>
                <w:color w:val="000000"/>
                <w:sz w:val="20"/>
                <w:szCs w:val="24"/>
              </w:rPr>
              <w:t>软件和信息技术服务业</w:t>
            </w:r>
          </w:p>
        </w:tc>
      </w:tr>
      <w:tr w14:paraId="62C2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noWrap w:val="0"/>
            <w:vAlign w:val="center"/>
          </w:tcPr>
          <w:p w14:paraId="3B90C57A">
            <w:pPr>
              <w:jc w:val="center"/>
              <w:rPr>
                <w:rFonts w:hint="default"/>
                <w:color w:val="auto"/>
                <w:highlight w:val="none"/>
                <w:vertAlign w:val="baseline"/>
                <w:lang w:val="en-US" w:eastAsia="zh-CN"/>
              </w:rPr>
            </w:pPr>
            <w:r>
              <w:rPr>
                <w:rFonts w:hint="eastAsia"/>
                <w:color w:val="auto"/>
                <w:highlight w:val="none"/>
                <w:vertAlign w:val="baseline"/>
                <w:lang w:val="en-US" w:eastAsia="zh-CN"/>
              </w:rPr>
              <w:t>6</w:t>
            </w:r>
          </w:p>
        </w:tc>
        <w:tc>
          <w:tcPr>
            <w:tcW w:w="1124" w:type="dxa"/>
            <w:noWrap w:val="0"/>
            <w:vAlign w:val="center"/>
          </w:tcPr>
          <w:p w14:paraId="3D32B7C8">
            <w:pPr>
              <w:jc w:val="center"/>
              <w:rPr>
                <w:rFonts w:hint="default"/>
                <w:color w:val="auto"/>
                <w:highlight w:val="none"/>
                <w:vertAlign w:val="baseline"/>
                <w:lang w:val="en-US" w:eastAsia="zh-CN"/>
              </w:rPr>
            </w:pPr>
            <w:r>
              <w:rPr>
                <w:rFonts w:hint="default"/>
                <w:color w:val="auto"/>
                <w:highlight w:val="none"/>
                <w:vertAlign w:val="baseline"/>
                <w:lang w:val="en-US" w:eastAsia="zh-CN"/>
              </w:rPr>
              <w:t>批阅一体机</w:t>
            </w:r>
          </w:p>
        </w:tc>
        <w:tc>
          <w:tcPr>
            <w:tcW w:w="5493" w:type="dxa"/>
            <w:noWrap w:val="0"/>
            <w:vAlign w:val="top"/>
          </w:tcPr>
          <w:p w14:paraId="4B198A8B">
            <w:pPr>
              <w:keepNext w:val="0"/>
              <w:keepLines w:val="0"/>
              <w:widowControl/>
              <w:numPr>
                <w:ilvl w:val="0"/>
                <w:numId w:val="8"/>
              </w:numPr>
              <w:suppressLineNumbers w:val="0"/>
              <w:jc w:val="left"/>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需支持为教师提供全卷直接AI智能批阅服务和修改批阅结果服务，包含高中数学学科，选择题、填空题、解答题智能批改；高中英语学科，选择、填空、作文（评分）智能批改；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2.需支持为教师提供任意三方作业或试卷的数据采集服务，教师可以自由出卷、不依赖特定排版制卡；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3.需支持为学校提供多种作业场景的智慧批改与数据采集服务，包含同步作业、周练、阶段复习、专题练习等场景；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4.需支持教师创建批阅任务，并生成批阅记录，支持按时间、任务状态筛选；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5.需提供学生手写姓名、作业号、复杂版面分析与图文等识别；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6.需提供对手写部分题型进行自动批改，包含选择题、判断题、填空题、数学学科解答题结果；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7.需支持基于引擎识别及批改结果，支持生成手批符号（对、错、半对）；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8.需支持基于OCR、手写识别、语义理解技术，在批改和扫描完成后，为教师提供学生作业智能批改留痕渲染和按班级的</w:t>
            </w:r>
            <w:r>
              <w:rPr>
                <w:rFonts w:hint="eastAsia" w:ascii="宋体" w:hAnsi="宋体" w:cs="宋体"/>
                <w:i w:val="0"/>
                <w:iCs w:val="0"/>
                <w:color w:val="000000"/>
                <w:kern w:val="0"/>
                <w:sz w:val="22"/>
                <w:szCs w:val="22"/>
                <w:u w:val="none"/>
                <w:lang w:val="en-US" w:eastAsia="zh-CN" w:bidi="ar"/>
              </w:rPr>
              <w:t>批改结果</w:t>
            </w:r>
            <w:r>
              <w:rPr>
                <w:rFonts w:hint="eastAsia" w:ascii="宋体" w:hAnsi="宋体" w:eastAsia="宋体" w:cs="宋体"/>
                <w:i w:val="0"/>
                <w:iCs w:val="0"/>
                <w:color w:val="000000"/>
                <w:kern w:val="0"/>
                <w:sz w:val="22"/>
                <w:szCs w:val="22"/>
                <w:u w:val="none"/>
                <w:lang w:val="en-US" w:eastAsia="zh-CN" w:bidi="ar"/>
              </w:rPr>
              <w:t>留痕打印；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9.需支持为教师提供A4、A3、8K、16K纸张版面数据采集，支持单面、双面纸张的数据采集；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0</w:t>
            </w:r>
            <w:r>
              <w:rPr>
                <w:rFonts w:hint="eastAsia" w:ascii="宋体" w:hAnsi="宋体" w:eastAsia="宋体" w:cs="宋体"/>
                <w:i w:val="0"/>
                <w:iCs w:val="0"/>
                <w:color w:val="000000"/>
                <w:kern w:val="0"/>
                <w:sz w:val="22"/>
                <w:szCs w:val="22"/>
                <w:u w:val="none"/>
                <w:lang w:val="en-US" w:eastAsia="zh-CN" w:bidi="ar"/>
              </w:rPr>
              <w:t>.需支持针对教师集体教研的原创资源和教师个人资源，系统为教师提供通过扫描方式实现试题自动入库；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1</w:t>
            </w:r>
            <w:r>
              <w:rPr>
                <w:rFonts w:hint="eastAsia" w:ascii="宋体" w:hAnsi="宋体" w:eastAsia="宋体" w:cs="宋体"/>
                <w:i w:val="0"/>
                <w:iCs w:val="0"/>
                <w:color w:val="000000"/>
                <w:kern w:val="0"/>
                <w:sz w:val="22"/>
                <w:szCs w:val="22"/>
                <w:u w:val="none"/>
                <w:lang w:val="en-US" w:eastAsia="zh-CN" w:bidi="ar"/>
              </w:rPr>
              <w:t>.需支持基于批阅结果为老师自动生成讲评讲义，教师可查看预览讲义内容并可一键打印讲义报告和学生成绩单；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.需支持为教师提供查看班级单次作业的批阅报告,包括班级学生作答结果明细和原卷、学生作业提交情况、班级平均正确率、共性错题等；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.需支持自动收录、查看班级学生产生的错题，教师可以查看班级错题的题干、题型、班级正确率等信息；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14</w:t>
            </w:r>
            <w:r>
              <w:rPr>
                <w:rFonts w:hint="eastAsia" w:ascii="宋体" w:hAnsi="宋体" w:eastAsia="宋体" w:cs="宋体"/>
                <w:i w:val="0"/>
                <w:iCs w:val="0"/>
                <w:color w:val="000000"/>
                <w:kern w:val="0"/>
                <w:sz w:val="22"/>
                <w:szCs w:val="22"/>
                <w:u w:val="none"/>
                <w:lang w:val="en-US" w:eastAsia="zh-CN" w:bidi="ar"/>
              </w:rPr>
              <w:t xml:space="preserve">.设备扫描速度≥60ppm，扫描分辨率≥600*600dpi,ADF最大容量≥150页，自动双面扫描；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15</w:t>
            </w:r>
            <w:r>
              <w:rPr>
                <w:rFonts w:hint="eastAsia" w:ascii="宋体" w:hAnsi="宋体" w:eastAsia="宋体" w:cs="宋体"/>
                <w:i w:val="0"/>
                <w:iCs w:val="0"/>
                <w:color w:val="000000"/>
                <w:kern w:val="0"/>
                <w:sz w:val="22"/>
                <w:szCs w:val="22"/>
                <w:u w:val="none"/>
                <w:lang w:val="en-US" w:eastAsia="zh-CN" w:bidi="ar"/>
              </w:rPr>
              <w:t xml:space="preserve">.打印速度≥40ppm，彩色打印，自动双面打印，打印最高分辨率≥600*2400dpi；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16</w:t>
            </w:r>
            <w:r>
              <w:rPr>
                <w:rFonts w:hint="eastAsia" w:ascii="宋体" w:hAnsi="宋体" w:eastAsia="宋体" w:cs="宋体"/>
                <w:i w:val="0"/>
                <w:iCs w:val="0"/>
                <w:color w:val="000000"/>
                <w:kern w:val="0"/>
                <w:sz w:val="22"/>
                <w:szCs w:val="22"/>
                <w:u w:val="none"/>
                <w:lang w:val="en-US" w:eastAsia="zh-CN" w:bidi="ar"/>
              </w:rPr>
              <w:t>.操作屏幕≥21.5寸,分辨率≥1920*1080，可触控式屏幕，i5十代CPU，≥8G内存，≥128G SSD存储空间，windows 10教育版系统及以上；</w:t>
            </w:r>
          </w:p>
        </w:tc>
        <w:tc>
          <w:tcPr>
            <w:tcW w:w="240" w:type="dxa"/>
            <w:noWrap w:val="0"/>
            <w:vAlign w:val="center"/>
          </w:tcPr>
          <w:p w14:paraId="7C68A624">
            <w:pPr>
              <w:jc w:val="center"/>
              <w:rPr>
                <w:rFonts w:hint="default"/>
                <w:color w:val="auto"/>
                <w:highlight w:val="none"/>
                <w:vertAlign w:val="baseline"/>
                <w:lang w:val="en-US" w:eastAsia="zh-CN"/>
              </w:rPr>
            </w:pPr>
            <w:r>
              <w:rPr>
                <w:rFonts w:hint="eastAsia"/>
                <w:color w:val="auto"/>
                <w:highlight w:val="none"/>
                <w:vertAlign w:val="baseline"/>
                <w:lang w:val="en-US" w:eastAsia="zh-CN"/>
              </w:rPr>
              <w:t>台</w:t>
            </w:r>
          </w:p>
        </w:tc>
        <w:tc>
          <w:tcPr>
            <w:tcW w:w="666" w:type="dxa"/>
            <w:noWrap w:val="0"/>
            <w:vAlign w:val="center"/>
          </w:tcPr>
          <w:p w14:paraId="27015746">
            <w:pPr>
              <w:jc w:val="center"/>
              <w:rPr>
                <w:rFonts w:hint="default"/>
                <w:color w:val="auto"/>
                <w:highlight w:val="none"/>
                <w:vertAlign w:val="baseline"/>
                <w:lang w:val="en-US" w:eastAsia="zh-CN"/>
              </w:rPr>
            </w:pPr>
            <w:r>
              <w:rPr>
                <w:rFonts w:hint="eastAsia"/>
                <w:color w:val="auto"/>
                <w:highlight w:val="none"/>
                <w:vertAlign w:val="baseline"/>
                <w:lang w:val="en-US" w:eastAsia="zh-CN"/>
              </w:rPr>
              <w:t>4</w:t>
            </w:r>
          </w:p>
        </w:tc>
        <w:tc>
          <w:tcPr>
            <w:tcW w:w="1044" w:type="dxa"/>
            <w:noWrap w:val="0"/>
            <w:vAlign w:val="center"/>
          </w:tcPr>
          <w:p w14:paraId="2EFCF460">
            <w:pPr>
              <w:jc w:val="center"/>
              <w:rPr>
                <w:rFonts w:hint="eastAsia"/>
                <w:color w:val="auto"/>
                <w:highlight w:val="none"/>
                <w:vertAlign w:val="baseline"/>
                <w:lang w:val="en-US" w:eastAsia="zh-CN"/>
              </w:rPr>
            </w:pPr>
            <w:r>
              <w:rPr>
                <w:rFonts w:hint="eastAsia"/>
                <w:color w:val="auto"/>
                <w:highlight w:val="none"/>
                <w:vertAlign w:val="baseline"/>
                <w:lang w:val="en-US" w:eastAsia="zh-CN"/>
              </w:rPr>
              <w:t>工业</w:t>
            </w:r>
          </w:p>
        </w:tc>
      </w:tr>
      <w:tr w14:paraId="23A8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noWrap w:val="0"/>
            <w:vAlign w:val="center"/>
          </w:tcPr>
          <w:p w14:paraId="79DCE5D1">
            <w:pPr>
              <w:jc w:val="center"/>
              <w:rPr>
                <w:rFonts w:hint="default"/>
                <w:color w:val="auto"/>
                <w:highlight w:val="none"/>
                <w:vertAlign w:val="baseline"/>
                <w:lang w:val="en-US" w:eastAsia="zh-CN"/>
              </w:rPr>
            </w:pPr>
            <w:r>
              <w:rPr>
                <w:rFonts w:hint="eastAsia"/>
                <w:color w:val="auto"/>
                <w:highlight w:val="none"/>
                <w:vertAlign w:val="baseline"/>
                <w:lang w:val="en-US" w:eastAsia="zh-CN"/>
              </w:rPr>
              <w:t>7</w:t>
            </w:r>
          </w:p>
        </w:tc>
        <w:tc>
          <w:tcPr>
            <w:tcW w:w="1124" w:type="dxa"/>
            <w:noWrap w:val="0"/>
            <w:vAlign w:val="center"/>
          </w:tcPr>
          <w:p w14:paraId="2E8E0C55">
            <w:pPr>
              <w:jc w:val="center"/>
              <w:rPr>
                <w:rFonts w:hint="default"/>
                <w:color w:val="auto"/>
                <w:highlight w:val="none"/>
                <w:vertAlign w:val="baseline"/>
                <w:lang w:val="en-US" w:eastAsia="zh-CN"/>
              </w:rPr>
            </w:pPr>
            <w:r>
              <w:rPr>
                <w:rFonts w:hint="default"/>
                <w:color w:val="auto"/>
                <w:highlight w:val="none"/>
                <w:vertAlign w:val="baseline"/>
                <w:lang w:val="en-US" w:eastAsia="zh-CN"/>
              </w:rPr>
              <w:t>大数据精准教学系统</w:t>
            </w:r>
          </w:p>
        </w:tc>
        <w:tc>
          <w:tcPr>
            <w:tcW w:w="5493" w:type="dxa"/>
            <w:noWrap w:val="0"/>
            <w:vAlign w:val="center"/>
          </w:tcPr>
          <w:p w14:paraId="4F41F57C">
            <w:pPr>
              <w:keepNext w:val="0"/>
              <w:keepLines w:val="0"/>
              <w:widowControl/>
              <w:numPr>
                <w:ilvl w:val="0"/>
                <w:numId w:val="9"/>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基础信息管理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1.需支持对用户信息快捷管理：支持学生、教师信息的快速录入，系统自动生成账号；支持授课关系的快速录入；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2.需支持设置多种角色：支持设置学校管理员、考试管理员、校长、年级主任、学科组长、班主任、学科教师、学生用户角色；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.需支持批量生成学生条形码；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二、大数据采集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（1）网阅数据采集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1.需支持学校周考、期中、期末考试采集；支持考试试卷上传；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2.需支持智能排考场，对应学生相应的准考证号，可导出excel表格；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.需支持按照角色、科目、部分老师选择屏蔽或发布成绩。</w:t>
            </w:r>
            <w:r>
              <w:rPr>
                <w:rFonts w:hint="eastAsia"/>
                <w:lang w:val="en-US" w:eastAsia="zh-CN"/>
              </w:rPr>
              <w:t>（需提供产品功能截图证明）</w:t>
            </w:r>
          </w:p>
          <w:p w14:paraId="2C8A4191">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 xml:space="preserve">需支持多种阅卷任务分配方式，包括按照任务总量平均分配；自定义教师阅卷任务量；固定教师阅卷任务量；支持阅卷过程中灵活调整老师任务量；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5</w:t>
            </w:r>
            <w:r>
              <w:rPr>
                <w:rFonts w:hint="eastAsia" w:ascii="宋体" w:hAnsi="宋体" w:eastAsia="宋体" w:cs="宋体"/>
                <w:i w:val="0"/>
                <w:iCs w:val="0"/>
                <w:color w:val="000000"/>
                <w:kern w:val="0"/>
                <w:sz w:val="22"/>
                <w:szCs w:val="22"/>
                <w:u w:val="none"/>
                <w:lang w:val="en-US" w:eastAsia="zh-CN" w:bidi="ar"/>
              </w:rPr>
              <w:t>.需支持批量设置阅卷老师、仲裁老师和课题组长；需支持快速将选中的阅卷老师分配给所有题；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6</w:t>
            </w:r>
            <w:r>
              <w:rPr>
                <w:rFonts w:hint="eastAsia" w:ascii="宋体" w:hAnsi="宋体" w:eastAsia="宋体" w:cs="宋体"/>
                <w:i w:val="0"/>
                <w:iCs w:val="0"/>
                <w:color w:val="000000"/>
                <w:kern w:val="0"/>
                <w:sz w:val="22"/>
                <w:szCs w:val="22"/>
                <w:u w:val="none"/>
                <w:lang w:val="en-US" w:eastAsia="zh-CN" w:bidi="ar"/>
              </w:rPr>
              <w:t>.系统需支持新建空白答题卡、题库制卡、三方制卡、导入word试卷制卡；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7</w:t>
            </w:r>
            <w:r>
              <w:rPr>
                <w:rFonts w:hint="eastAsia" w:ascii="宋体" w:hAnsi="宋体" w:eastAsia="宋体" w:cs="宋体"/>
                <w:i w:val="0"/>
                <w:iCs w:val="0"/>
                <w:color w:val="000000"/>
                <w:kern w:val="0"/>
                <w:sz w:val="22"/>
                <w:szCs w:val="22"/>
                <w:u w:val="none"/>
                <w:lang w:val="en-US" w:eastAsia="zh-CN" w:bidi="ar"/>
              </w:rPr>
              <w:t>.需支持设置单选题、判断题、多选题、填空题、解答题、选做题、主客观混合题的题型；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8.需支持AB卷标记的试卷类型答题卡制作；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9</w:t>
            </w:r>
            <w:r>
              <w:rPr>
                <w:rFonts w:hint="eastAsia" w:ascii="宋体" w:hAnsi="宋体" w:eastAsia="宋体" w:cs="宋体"/>
                <w:i w:val="0"/>
                <w:iCs w:val="0"/>
                <w:color w:val="000000"/>
                <w:kern w:val="0"/>
                <w:sz w:val="22"/>
                <w:szCs w:val="22"/>
                <w:u w:val="none"/>
                <w:lang w:val="en-US" w:eastAsia="zh-CN" w:bidi="ar"/>
              </w:rPr>
              <w:t>.需支持使用60克及以上纸张印制的市场通用规格的答题卡，印刷答题卡版面支持A3、A4、8K、16K、B4、B5纸张尺寸规格。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10</w:t>
            </w:r>
            <w:r>
              <w:rPr>
                <w:rFonts w:hint="eastAsia" w:ascii="宋体" w:hAnsi="宋体" w:eastAsia="宋体" w:cs="宋体"/>
                <w:i w:val="0"/>
                <w:iCs w:val="0"/>
                <w:color w:val="000000"/>
                <w:kern w:val="0"/>
                <w:sz w:val="22"/>
                <w:szCs w:val="22"/>
                <w:u w:val="none"/>
                <w:lang w:val="en-US" w:eastAsia="zh-CN" w:bidi="ar"/>
              </w:rPr>
              <w:t>.需支持直接选定班级或导入指定名单进行扫描识别；支持同一场考试每一个学科设置有不同的参加考试的学生名单。</w:t>
            </w:r>
            <w:r>
              <w:rPr>
                <w:rFonts w:hint="eastAsia"/>
                <w:lang w:val="en-US" w:eastAsia="zh-CN"/>
              </w:rPr>
              <w:t>（需提供产品功能截图证明）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11</w:t>
            </w:r>
            <w:r>
              <w:rPr>
                <w:rFonts w:hint="eastAsia" w:ascii="宋体" w:hAnsi="宋体" w:eastAsia="宋体" w:cs="宋体"/>
                <w:i w:val="0"/>
                <w:iCs w:val="0"/>
                <w:color w:val="000000"/>
                <w:kern w:val="0"/>
                <w:sz w:val="22"/>
                <w:szCs w:val="22"/>
                <w:u w:val="none"/>
                <w:lang w:val="en-US" w:eastAsia="zh-CN" w:bidi="ar"/>
              </w:rPr>
              <w:t>.需支持正反颠倒、上下颠倒及多张答题卡序号混乱情形的扫描识别及结果与图像的自动纠正；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.需支持答题卡扫描时针对学生填涂的考号、客观题、选做题、AB卷信息存在错填、误填、漏填的信息具有自动的检测与提示功能；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13</w:t>
            </w:r>
            <w:r>
              <w:rPr>
                <w:rFonts w:hint="eastAsia" w:ascii="宋体" w:hAnsi="宋体" w:eastAsia="宋体" w:cs="宋体"/>
                <w:i w:val="0"/>
                <w:iCs w:val="0"/>
                <w:color w:val="000000"/>
                <w:kern w:val="0"/>
                <w:sz w:val="22"/>
                <w:szCs w:val="22"/>
                <w:u w:val="none"/>
                <w:lang w:val="en-US" w:eastAsia="zh-CN" w:bidi="ar"/>
              </w:rPr>
              <w:t>.异常处理需支持边扫描边处理、分批次处理、扫描完统一处理；支持识别异常的批量处理，支持识别异常多人远程同时协助处理；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14</w:t>
            </w:r>
            <w:r>
              <w:rPr>
                <w:rFonts w:hint="eastAsia" w:ascii="宋体" w:hAnsi="宋体" w:eastAsia="宋体" w:cs="宋体"/>
                <w:i w:val="0"/>
                <w:iCs w:val="0"/>
                <w:color w:val="000000"/>
                <w:kern w:val="0"/>
                <w:sz w:val="22"/>
                <w:szCs w:val="22"/>
                <w:u w:val="none"/>
                <w:lang w:val="en-US" w:eastAsia="zh-CN" w:bidi="ar"/>
              </w:rPr>
              <w:t>.需支持移动端阅卷，手写批注并保留阅卷痕迹；阅卷支持打分板、打分栏自由切换；支持阅卷时自由选择是否自动提交；针对多项填空题，支持全部满分或全部零分。支持点击打分；支持设置步长和常用打分项；支持自由选择作文题展示方式；支持滑动回评；支持阅卷老师查看打分曲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15</w:t>
            </w:r>
            <w:r>
              <w:rPr>
                <w:rFonts w:hint="eastAsia" w:ascii="宋体" w:hAnsi="宋体" w:eastAsia="宋体" w:cs="宋体"/>
                <w:i w:val="0"/>
                <w:iCs w:val="0"/>
                <w:color w:val="000000"/>
                <w:kern w:val="0"/>
                <w:sz w:val="22"/>
                <w:szCs w:val="22"/>
                <w:u w:val="none"/>
                <w:lang w:val="en-US" w:eastAsia="zh-CN" w:bidi="ar"/>
              </w:rPr>
              <w:t xml:space="preserve">.需支持管理员、科组长角色对阅卷的总体进度、各题进度、个人进度、阅卷质量进行实时监控；支持将试卷打回给老师重阅；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16</w:t>
            </w:r>
            <w:r>
              <w:rPr>
                <w:rFonts w:hint="eastAsia" w:ascii="宋体" w:hAnsi="宋体" w:eastAsia="宋体" w:cs="宋体"/>
                <w:i w:val="0"/>
                <w:iCs w:val="0"/>
                <w:color w:val="000000"/>
                <w:kern w:val="0"/>
                <w:sz w:val="22"/>
                <w:szCs w:val="22"/>
                <w:u w:val="none"/>
                <w:lang w:val="en-US" w:eastAsia="zh-CN" w:bidi="ar"/>
              </w:rPr>
              <w:t>.需支持提前统计客观题得分数据，包括最高分、最低分、平均分和得分分布；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17</w:t>
            </w:r>
            <w:r>
              <w:rPr>
                <w:rFonts w:hint="eastAsia" w:ascii="宋体" w:hAnsi="宋体" w:eastAsia="宋体" w:cs="宋体"/>
                <w:i w:val="0"/>
                <w:iCs w:val="0"/>
                <w:color w:val="000000"/>
                <w:kern w:val="0"/>
                <w:sz w:val="22"/>
                <w:szCs w:val="22"/>
                <w:u w:val="none"/>
                <w:lang w:val="en-US" w:eastAsia="zh-CN" w:bidi="ar"/>
              </w:rPr>
              <w:t>.需支持增加巡考员角色，支持为巡考员设置巡考学科；支持巡考员对阅卷进度、阅卷质量进行监管</w:t>
            </w:r>
            <w:r>
              <w:rPr>
                <w:rFonts w:hint="eastAsia"/>
                <w:lang w:val="en-US" w:eastAsia="zh-CN"/>
              </w:rPr>
              <w:t>（需提供产品功能截图证明）</w:t>
            </w:r>
          </w:p>
          <w:p w14:paraId="43D1FC9F">
            <w:pPr>
              <w:keepNext w:val="0"/>
              <w:keepLines w:val="0"/>
              <w:widowControl/>
              <w:numPr>
                <w:ilvl w:val="0"/>
                <w:numId w:val="10"/>
              </w:numPr>
              <w:suppressLineNumbers w:val="0"/>
              <w:ind w:leftChars="0"/>
              <w:jc w:val="lef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手阅数据采集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1.需支持从系统题库中按需求选择题目，系统自动生成答题卡；支持教师使用web端浏览器在线制作编辑答题卡；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2.需支持语文、数学、英语、物理、化学、生物、政治、历史学科word试卷导入，系统自动切题；支持根据切题结构自动生成答题卡；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3.需支持数学、物理、化学、生物、历史学科导入word自动预测知识点；支持针对试题的答案、解析、知识点进行编辑；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.答题卡排版需支持单选题、多选题、判断题、填空题、解答题、选做题多种题型；填空题支持一题多空的批阅；解答题支持分步骤批阅；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5</w:t>
            </w:r>
            <w:r>
              <w:rPr>
                <w:rFonts w:hint="eastAsia" w:ascii="宋体" w:hAnsi="宋体" w:eastAsia="宋体" w:cs="宋体"/>
                <w:i w:val="0"/>
                <w:iCs w:val="0"/>
                <w:color w:val="000000"/>
                <w:kern w:val="0"/>
                <w:sz w:val="22"/>
                <w:szCs w:val="22"/>
                <w:u w:val="none"/>
                <w:lang w:val="en-US" w:eastAsia="zh-CN" w:bidi="ar"/>
              </w:rPr>
              <w:t>.需支持学生纸上作答，教师纸上批改，客观题由系统自动评分，主观题打分支持打分条、勾叉、手写分数三种模式评分，主观题批阅留痕；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6</w:t>
            </w:r>
            <w:r>
              <w:rPr>
                <w:rFonts w:hint="eastAsia" w:ascii="宋体" w:hAnsi="宋体" w:eastAsia="宋体" w:cs="宋体"/>
                <w:i w:val="0"/>
                <w:iCs w:val="0"/>
                <w:color w:val="000000"/>
                <w:kern w:val="0"/>
                <w:sz w:val="22"/>
                <w:szCs w:val="22"/>
                <w:u w:val="none"/>
                <w:lang w:val="en-US" w:eastAsia="zh-CN" w:bidi="ar"/>
              </w:rPr>
              <w:t>.需支持仅红笔批改痕迹的识别和任意笔批改痕迹识别两种方式；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7</w:t>
            </w:r>
            <w:r>
              <w:rPr>
                <w:rFonts w:hint="eastAsia" w:ascii="宋体" w:hAnsi="宋体" w:eastAsia="宋体" w:cs="宋体"/>
                <w:i w:val="0"/>
                <w:iCs w:val="0"/>
                <w:color w:val="000000"/>
                <w:kern w:val="0"/>
                <w:sz w:val="22"/>
                <w:szCs w:val="22"/>
                <w:u w:val="none"/>
                <w:lang w:val="en-US" w:eastAsia="zh-CN" w:bidi="ar"/>
              </w:rPr>
              <w:t>.需支持解答题加分制和减分制两种统分方式；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8</w:t>
            </w:r>
            <w:r>
              <w:rPr>
                <w:rFonts w:hint="eastAsia" w:ascii="宋体" w:hAnsi="宋体" w:eastAsia="宋体" w:cs="宋体"/>
                <w:i w:val="0"/>
                <w:iCs w:val="0"/>
                <w:color w:val="000000"/>
                <w:kern w:val="0"/>
                <w:sz w:val="22"/>
                <w:szCs w:val="22"/>
                <w:u w:val="none"/>
                <w:lang w:val="en-US" w:eastAsia="zh-CN" w:bidi="ar"/>
              </w:rPr>
              <w:t>.教师无需提前创建考试，系统支持学生答题卡即扫即创建扫描记录，作业扫描结束后即可查看分析报告；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9</w:t>
            </w:r>
            <w:r>
              <w:rPr>
                <w:rFonts w:hint="eastAsia" w:ascii="宋体" w:hAnsi="宋体" w:eastAsia="宋体" w:cs="宋体"/>
                <w:i w:val="0"/>
                <w:iCs w:val="0"/>
                <w:color w:val="000000"/>
                <w:kern w:val="0"/>
                <w:sz w:val="22"/>
                <w:szCs w:val="22"/>
                <w:u w:val="none"/>
                <w:lang w:val="en-US" w:eastAsia="zh-CN" w:bidi="ar"/>
              </w:rPr>
              <w:t>.需支持无需提前创建统一考试的前提下，不同班级布置同一份练习，由不同教师账号进行扫描，系统自动生成一份校级报告。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三、智能批改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1.需支持英语作文答题卡扫描形式的自动批改；</w:t>
            </w:r>
            <w:r>
              <w:rPr>
                <w:rFonts w:hint="eastAsia"/>
                <w:lang w:val="en-US" w:eastAsia="zh-CN"/>
              </w:rPr>
              <w:t>（需提供产品功能截图证明）</w:t>
            </w:r>
          </w:p>
          <w:p w14:paraId="3069985E">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2.需支持英语作文自动评分及英语作文人机双评，可导出英语作文人机对比报告；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3.需支持英语填空题自动评分；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4.需支持英语短文改错题自动评分；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5.需支持数学填空题自动评分。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四、基础数据分析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（1）报告管理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1.需支持单次考试结束后，用户根据需要生成不低于30份分析报告，并支持根据学校诉求自主选择报告是否向校内校长、副校长、年级主任、学科组长、备课组长、班主任、副班主任、老师角色发布；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 xml:space="preserve">.需支持按照行政班或教学班、学生标签、学生选科组合灵活选择统计分析的学生范围，并支持用户组合单个或多个班级标签类型进行对比分析；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.需支持卷面分、等级、等级赋分、标准分（T分数）、学科成绩比较高低五种学生成绩计分方式；支持学校根据实际诉求自主选择总分计分科目、自主设置各学科在总分中所占权重；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.需支持优秀率、合格率、良好率、低分率、学业等级、成绩分段、进线分、临界生、优秀生学困生、T分数指标参数自定义设置；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w:t>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）校级报告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1</w:t>
            </w:r>
            <w:r>
              <w:rPr>
                <w:rFonts w:hint="eastAsia" w:ascii="宋体" w:hAnsi="宋体" w:eastAsia="宋体" w:cs="宋体"/>
                <w:i w:val="0"/>
                <w:iCs w:val="0"/>
                <w:color w:val="000000"/>
                <w:kern w:val="0"/>
                <w:sz w:val="22"/>
                <w:szCs w:val="22"/>
                <w:u w:val="none"/>
                <w:lang w:val="en-US" w:eastAsia="zh-CN" w:bidi="ar"/>
              </w:rPr>
              <w:t>.需支持查看校级多学科报告，指标包括学科成绩对比、班级成绩对比、学业等级分布、成绩分段对比、进线分析、临界生对比、优秀学困生对比、优劣势学科对比；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.需支持查看校级单学科报告，指标包括班级成绩对比、学业等级分布、成绩分段对比、进线分析、临界生对比、优秀生学困生对比；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.需支持查看试卷分析，指标包括试卷整体难度、试题难度比例、信度、区分度、大题分析、小题分析、知识点分析、作答详情；支持选择添加班级进行对比分析；支持分析数据excel格式一键导出；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.需提供全部和各班学生成绩，指标包括校次、班次及进退步情况、各学科分数；支持各班级和全部学生的学生成绩表、单科成绩汇总、学生小题明细表、题组得分情况统计数据excel格式导出；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w:t>
            </w:r>
            <w:r>
              <w:rPr>
                <w:rFonts w:hint="eastAsia" w:ascii="宋体" w:hAnsi="宋体" w:cs="宋体"/>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）班级报告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1</w:t>
            </w:r>
            <w:r>
              <w:rPr>
                <w:rFonts w:hint="eastAsia" w:ascii="宋体" w:hAnsi="宋体" w:eastAsia="宋体" w:cs="宋体"/>
                <w:i w:val="0"/>
                <w:iCs w:val="0"/>
                <w:color w:val="000000"/>
                <w:kern w:val="0"/>
                <w:sz w:val="22"/>
                <w:szCs w:val="22"/>
                <w:u w:val="none"/>
                <w:lang w:val="en-US" w:eastAsia="zh-CN" w:bidi="ar"/>
              </w:rPr>
              <w:t>.需支持班主任查看班级多学科报告，指标包括学科成绩对比、平均分对比、学业等级分布、成绩分段对比、优劣势学科对比；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.需支持授课教师查看授课学科的班级单学科报告，指标包括学情概览、平均分对比、学业等级分布、需关注学生、高频错题；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.需支持查看班级学生成绩单，支持查看学生单科作答原卷、成绩整体报告和试题解析；支持班级全科和单科成绩表excel格式一键导出；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需支持授课教师查看班级试卷分析，指标包括试卷整体难度、试题难度比例、信度、区分度、大题分析、小题分析、知识点分析、作答详情；支持以表格、雷达图两种形式呈现；支持各指标分析数据以excel格式一键导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5</w:t>
            </w:r>
            <w:r>
              <w:rPr>
                <w:rFonts w:hint="eastAsia" w:ascii="宋体" w:hAnsi="宋体" w:eastAsia="宋体" w:cs="宋体"/>
                <w:i w:val="0"/>
                <w:iCs w:val="0"/>
                <w:color w:val="000000"/>
                <w:kern w:val="0"/>
                <w:sz w:val="22"/>
                <w:szCs w:val="22"/>
                <w:u w:val="none"/>
                <w:lang w:val="en-US" w:eastAsia="zh-CN" w:bidi="ar"/>
              </w:rPr>
              <w:t>.需支持查看试题答题统计，包括试题的班级均分和得分率、年级均分和得分率、客观题选项数据统计和主观题得分数据统计柱状图，并支持查看对应学生名单；支持查看优秀解答和典型错误的典型卷；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w:t>
            </w:r>
            <w:r>
              <w:rPr>
                <w:rFonts w:hint="eastAsia" w:ascii="宋体"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）学生报告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1</w:t>
            </w:r>
            <w:r>
              <w:rPr>
                <w:rFonts w:hint="eastAsia" w:ascii="宋体" w:hAnsi="宋体" w:eastAsia="宋体" w:cs="宋体"/>
                <w:i w:val="0"/>
                <w:iCs w:val="0"/>
                <w:color w:val="000000"/>
                <w:kern w:val="0"/>
                <w:sz w:val="22"/>
                <w:szCs w:val="22"/>
                <w:u w:val="none"/>
                <w:lang w:val="en-US" w:eastAsia="zh-CN" w:bidi="ar"/>
              </w:rPr>
              <w:t>.支持学生查看全科的学情报告，包含成绩等级、历次成绩变化、各学科发挥水平及学科诊断的情况；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.支持查看单科的学情报告，包含成绩等级、历次成绩变化情况、作答原卷。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.支持查看单次考试所涉及的知识点、各知识点权重及学生掌握程度；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.支持查看单科考试的错题情况及错题解析，提供学生错题题号、题干、学生答案、正确答案、知识点以及班级平均正确率信息。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五、精准教学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（1）学科学情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1.需支持查看年级薄弱知识点，按时间和章节两个维度查看薄弱知识点及对应的年级掌握率、年级未掌握班级数、年级等；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2.需支持查看班级薄弱知识点，按时间和章节两个维度查看薄弱知识点及薄弱知识点对应的班级掌握率、年级掌握率、班级未掌握人数，本班、年级和区域考频；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3.需支持查看班级共性错题，查看班级错题数、平均得分率，支持筛选考试、得分率、题型维度筛选班级共性错题；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需支持根据班级薄弱知识点进行薄弱项训练，支持手动选题和智能组题两种形式；智能组题形式支持教师选择薄弱知识点系统自动推荐试题进行训练，手动选题形式支持选择薄弱知识点对应的试题进行薄弱项训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5</w:t>
            </w:r>
            <w:r>
              <w:rPr>
                <w:rFonts w:hint="eastAsia" w:ascii="宋体" w:hAnsi="宋体" w:eastAsia="宋体" w:cs="宋体"/>
                <w:i w:val="0"/>
                <w:iCs w:val="0"/>
                <w:color w:val="000000"/>
                <w:kern w:val="0"/>
                <w:sz w:val="22"/>
                <w:szCs w:val="22"/>
                <w:u w:val="none"/>
                <w:lang w:val="en-US" w:eastAsia="zh-CN" w:bidi="ar"/>
              </w:rPr>
              <w:t xml:space="preserve">.需提供薄弱知识点详情，覆盖近五年高考考频、年级得分率、年级考察题数、班级得分率、知识点关联错题、高考真题；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（2）学生学情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1.需支持查看每个学生的学业档案；支持系统自动甄别临界生、波动生、下降生、进步生、稳定生并进行标记；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2.需提供每个学生的知识点掌握情况，支持多学生多知识点间对比，支持以excel格式导出；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3.需支持自动收录每个学生的单科学业成绩，覆盖成绩趋势图、知识点掌握情况；需支持自动收录学生错题，支持以word格式导出；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4.需提供全科学生学情分析，包括学业整体水平、成绩趋势图、学科均衡度分析；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5.需支持单个学生历次测验成绩、班级历次测验成绩、班级知识点历年掌握率以excel形式导出；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（3）学业分析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1.需提供学业成绩发展趋势，支持从考试类型、考试列表、标准分、得分率、优秀率、及格率、科目指标维度筛选查看，支持筛选本学年、历年的学业成绩发展趋势；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2.需提供本学年学科均衡性分析，支持以雷达图形式展示本学年学科均衡发展情况，提供对应班级的优势学科、劣势学科情况；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3.需提供各学科学业分层对比分析，从优秀、良好、合格、待合格维度对各班级学生分析；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六、教学管理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1.需支持创建教师增量分析报告；支持按照年级、班级、学科、统计时间段、考试类型多个维度选择两场考试进行对比；支持设置报告名称；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2.需支持设置学业进步、两极均衡、层级变化、优等生培养、后进生脱困五个维度权重比例；支持按照分数划分成绩层级；支持优等生、后进生设置；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3.需支持查看班级教师表现总评；支持查看每个班级教师的个人总评得分、排名情况，个人总评以雷达图呈现；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4.需支持查看教师个人总评详情，包括评价总分、排名、优势、劣势，支持对比全体平均，查看教师个人雷达图；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5</w:t>
            </w:r>
            <w:r>
              <w:rPr>
                <w:rFonts w:hint="eastAsia" w:ascii="宋体" w:hAnsi="宋体" w:eastAsia="宋体" w:cs="宋体"/>
                <w:i w:val="0"/>
                <w:iCs w:val="0"/>
                <w:color w:val="000000"/>
                <w:kern w:val="0"/>
                <w:sz w:val="22"/>
                <w:szCs w:val="22"/>
                <w:u w:val="none"/>
                <w:lang w:val="en-US" w:eastAsia="zh-CN" w:bidi="ar"/>
              </w:rPr>
              <w:t>.需支持查看学业进步分析，支持对比起止点考试，查看各班级标准分增量情况；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七、精准题库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提供不少于600万道试题资源，覆盖高中语文、数学、英语、物理、化学、生物、政治、历史、地理、信息技术、通用技术、思想政治学科，试题提供组卷次数、作答人数、平均得分率、解析、考情信息，支持教师对试题进行纠错与收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题库需包含通用资源库、校本资源库、教师个人资源库。支持校本卷库自动收录使用数据采集的本校考试试卷；支持教师上传word试卷或在线新建试题，高中数学、物理、化学、生物、历史学科系统自动标注试题知识点，其他学科教师标注试题知识点；支持教师共享试卷及试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3.需支持学校建立本校个性化试题试卷分类，进行本校资源建设；支持教师个人自建试卷或试题自定义分类；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4.需支持按时间、得分率范围筛选班级共性错题和班级薄弱点，系统自动推荐相关训练题精准组卷，进行错题再练和薄弱点专项训练拓展性训练。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5</w:t>
            </w:r>
            <w:r>
              <w:rPr>
                <w:rFonts w:hint="eastAsia" w:ascii="宋体" w:hAnsi="宋体" w:eastAsia="宋体" w:cs="宋体"/>
                <w:i w:val="0"/>
                <w:iCs w:val="0"/>
                <w:color w:val="000000"/>
                <w:kern w:val="0"/>
                <w:sz w:val="22"/>
                <w:szCs w:val="22"/>
                <w:u w:val="none"/>
                <w:lang w:val="en-US" w:eastAsia="zh-CN" w:bidi="ar"/>
              </w:rPr>
              <w:t xml:space="preserve">.需支持高中数学、物理、化学、生物、历史学科从题库中任意选择一张试卷作为模板，沿用原卷的知识点、题型、分数、难度结构维度重新匹配试题，模拟生成一份新试卷；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6</w:t>
            </w:r>
            <w:r>
              <w:rPr>
                <w:rFonts w:hint="eastAsia" w:ascii="宋体" w:hAnsi="宋体" w:eastAsia="宋体" w:cs="宋体"/>
                <w:i w:val="0"/>
                <w:iCs w:val="0"/>
                <w:color w:val="000000"/>
                <w:kern w:val="0"/>
                <w:sz w:val="22"/>
                <w:szCs w:val="22"/>
                <w:u w:val="none"/>
                <w:lang w:val="en-US" w:eastAsia="zh-CN" w:bidi="ar"/>
              </w:rPr>
              <w:t>.需支持选择教材、同步章节，系统自动呈现章节下涵盖知识点、试题，支持按题型、难度、所属试卷类型筛选试题进行组卷；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7</w:t>
            </w:r>
            <w:r>
              <w:rPr>
                <w:rFonts w:hint="eastAsia" w:ascii="宋体" w:hAnsi="宋体" w:eastAsia="宋体" w:cs="宋体"/>
                <w:i w:val="0"/>
                <w:iCs w:val="0"/>
                <w:color w:val="000000"/>
                <w:kern w:val="0"/>
                <w:sz w:val="22"/>
                <w:szCs w:val="22"/>
                <w:u w:val="none"/>
                <w:lang w:val="en-US" w:eastAsia="zh-CN" w:bidi="ar"/>
              </w:rPr>
              <w:t>.需支持知识点单选、多选两种知识点组卷方式，知识点多选支持选择知识点交集、知识点并集；支持按年级、题型、难度、所属试卷类型维度筛选试题进行组卷；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八、智能练习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（1）同步练习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教师使用Web端或移动端通过题库选题完成布置练习、批改练习的功能，web端支持教师以word格式下载已布置的练习原题；需支持学生通过移动端完成并提交练习、查阅批改详情；支持作答数据、批改数据云端同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2.需支持学生接收教师发布的基于教材章节发布的课前预习和课后练习。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（2）自定义出题</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需支持教师通过上传图片、Word、PPT、PDF、Excel文件的形式自由发布练习任务，支持添加微课学习资料，设置是否进行错题统计。学生通过客户端上传练习作答记录后，可以查看答案附件进行自批自改；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（3）英语作文线上练习</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需支持教师通过话题、书面表达形式、来源筛选作文题目，一键布置英语作文练习；需支持学生线下纸笔作答拍照上传，系统自动批改并智能打分，自动分析作文中的优点和不足，及时反馈结果并进行标注，辅助教学活动开展。</w:t>
            </w:r>
          </w:p>
        </w:tc>
        <w:tc>
          <w:tcPr>
            <w:tcW w:w="240" w:type="dxa"/>
            <w:noWrap w:val="0"/>
            <w:vAlign w:val="center"/>
          </w:tcPr>
          <w:p w14:paraId="43F5F3FB">
            <w:pPr>
              <w:jc w:val="center"/>
              <w:rPr>
                <w:rFonts w:hint="default"/>
                <w:color w:val="auto"/>
                <w:highlight w:val="none"/>
                <w:vertAlign w:val="baseline"/>
                <w:lang w:val="en-US" w:eastAsia="zh-CN"/>
              </w:rPr>
            </w:pPr>
            <w:r>
              <w:rPr>
                <w:rFonts w:hint="eastAsia"/>
                <w:color w:val="auto"/>
                <w:highlight w:val="none"/>
                <w:vertAlign w:val="baseline"/>
                <w:lang w:val="en-US" w:eastAsia="zh-CN"/>
              </w:rPr>
              <w:t>套</w:t>
            </w:r>
          </w:p>
        </w:tc>
        <w:tc>
          <w:tcPr>
            <w:tcW w:w="666" w:type="dxa"/>
            <w:noWrap w:val="0"/>
            <w:vAlign w:val="center"/>
          </w:tcPr>
          <w:p w14:paraId="348EB9B7">
            <w:pPr>
              <w:jc w:val="center"/>
              <w:rPr>
                <w:rFonts w:hint="default"/>
                <w:color w:val="auto"/>
                <w:highlight w:val="none"/>
                <w:vertAlign w:val="baseline"/>
                <w:lang w:val="en-US" w:eastAsia="zh-CN"/>
              </w:rPr>
            </w:pPr>
            <w:r>
              <w:rPr>
                <w:rFonts w:hint="eastAsia"/>
                <w:color w:val="auto"/>
                <w:highlight w:val="none"/>
                <w:vertAlign w:val="baseline"/>
                <w:lang w:val="en-US" w:eastAsia="zh-CN"/>
              </w:rPr>
              <w:t>1</w:t>
            </w:r>
          </w:p>
        </w:tc>
        <w:tc>
          <w:tcPr>
            <w:tcW w:w="1044" w:type="dxa"/>
            <w:noWrap w:val="0"/>
            <w:vAlign w:val="center"/>
          </w:tcPr>
          <w:p w14:paraId="0E593ECD">
            <w:pPr>
              <w:jc w:val="center"/>
              <w:rPr>
                <w:rFonts w:hint="eastAsia"/>
                <w:color w:val="auto"/>
                <w:highlight w:val="none"/>
                <w:vertAlign w:val="baseline"/>
                <w:lang w:val="en-US" w:eastAsia="zh-CN"/>
              </w:rPr>
            </w:pPr>
            <w:r>
              <w:rPr>
                <w:rFonts w:hint="eastAsia" w:ascii="宋体"/>
                <w:color w:val="000000"/>
                <w:sz w:val="20"/>
                <w:szCs w:val="24"/>
              </w:rPr>
              <w:t>软件和信息技术服务业</w:t>
            </w:r>
          </w:p>
        </w:tc>
      </w:tr>
      <w:tr w14:paraId="15BD6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noWrap w:val="0"/>
            <w:vAlign w:val="center"/>
          </w:tcPr>
          <w:p w14:paraId="34F51E0F">
            <w:pPr>
              <w:jc w:val="center"/>
              <w:rPr>
                <w:rFonts w:hint="default"/>
                <w:color w:val="auto"/>
                <w:highlight w:val="none"/>
                <w:vertAlign w:val="baseline"/>
                <w:lang w:val="en-US" w:eastAsia="zh-CN"/>
              </w:rPr>
            </w:pPr>
            <w:r>
              <w:rPr>
                <w:rFonts w:hint="eastAsia"/>
                <w:color w:val="auto"/>
                <w:highlight w:val="none"/>
                <w:vertAlign w:val="baseline"/>
                <w:lang w:val="en-US" w:eastAsia="zh-CN"/>
              </w:rPr>
              <w:t>8</w:t>
            </w:r>
          </w:p>
        </w:tc>
        <w:tc>
          <w:tcPr>
            <w:tcW w:w="1124" w:type="dxa"/>
            <w:noWrap w:val="0"/>
            <w:vAlign w:val="center"/>
          </w:tcPr>
          <w:p w14:paraId="1B8D8489">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听说课堂管理系统</w:t>
            </w:r>
          </w:p>
        </w:tc>
        <w:tc>
          <w:tcPr>
            <w:tcW w:w="5493" w:type="dxa"/>
            <w:noWrap w:val="0"/>
            <w:vAlign w:val="center"/>
          </w:tcPr>
          <w:p w14:paraId="5F71EF3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一、课堂教学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1.需支持教师使用本地区版本的电子化教材资源，能够通过教室大屏或投影设备呈现教材内容、播放课文音频，可手动控制教学音频的播放进度，以便于教学过程对重点内容反复播放或暂停播放，辅助教学；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.需支持教师随时选取单元配套的教学资源库，或打开课前备课准备的授课资源包，在课上展示、播放，辅助教学；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.针对教师对课文中听力部分做重点讲解的需要，系统需支持反复播放听力音频、随意调节播放进度、查看听力原文和答案；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.为了方便学科教师对课文的语篇进行细致讲解，系统需支持文篇（短文或对话）即点即读、逐句讲解、标准音带读功能；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5</w:t>
            </w:r>
            <w:r>
              <w:rPr>
                <w:rFonts w:hint="eastAsia" w:ascii="宋体" w:hAnsi="宋体" w:eastAsia="宋体" w:cs="宋体"/>
                <w:i w:val="0"/>
                <w:iCs w:val="0"/>
                <w:color w:val="000000"/>
                <w:kern w:val="0"/>
                <w:sz w:val="22"/>
                <w:szCs w:val="22"/>
                <w:u w:val="none"/>
                <w:lang w:val="en-US" w:eastAsia="zh-CN" w:bidi="ar"/>
              </w:rPr>
              <w:t>.针对单词教学的环节，需支持教师快速选取课本同步词汇、中学专题词汇，结合单词、音标、释义、例句内容进行词汇讲解，支持标准音自动带读、听写、单词PK功能。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6</w:t>
            </w:r>
            <w:r>
              <w:rPr>
                <w:rFonts w:hint="eastAsia" w:ascii="宋体" w:hAnsi="宋体" w:eastAsia="宋体" w:cs="宋体"/>
                <w:i w:val="0"/>
                <w:iCs w:val="0"/>
                <w:color w:val="000000"/>
                <w:kern w:val="0"/>
                <w:sz w:val="22"/>
                <w:szCs w:val="22"/>
                <w:u w:val="none"/>
                <w:lang w:val="en-US" w:eastAsia="zh-CN" w:bidi="ar"/>
              </w:rPr>
              <w:t>.需支持教师在讲解课文或听说练习题时，一键查看重点单词、任意生词的教学卡片，给学生讲解每个单词的英式和美式音标、发音、释义、中英文例句；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7</w:t>
            </w:r>
            <w:r>
              <w:rPr>
                <w:rFonts w:hint="eastAsia" w:ascii="宋体" w:hAnsi="宋体" w:eastAsia="宋体" w:cs="宋体"/>
                <w:i w:val="0"/>
                <w:iCs w:val="0"/>
                <w:color w:val="000000"/>
                <w:kern w:val="0"/>
                <w:sz w:val="22"/>
                <w:szCs w:val="22"/>
                <w:u w:val="none"/>
                <w:lang w:val="en-US" w:eastAsia="zh-CN" w:bidi="ar"/>
              </w:rPr>
              <w:t>.需支持教师选取与本地区高考听说考试题型一致的练习题，开展听说备考专项教学，支持按照年级、题型来选择练习题；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8</w:t>
            </w:r>
            <w:r>
              <w:rPr>
                <w:rFonts w:hint="eastAsia" w:ascii="宋体" w:hAnsi="宋体" w:eastAsia="宋体" w:cs="宋体"/>
                <w:i w:val="0"/>
                <w:iCs w:val="0"/>
                <w:color w:val="000000"/>
                <w:kern w:val="0"/>
                <w:sz w:val="22"/>
                <w:szCs w:val="22"/>
                <w:u w:val="none"/>
                <w:lang w:val="en-US" w:eastAsia="zh-CN" w:bidi="ar"/>
              </w:rPr>
              <w:t>.需支持教师选取与课标、单元主题配套且符合授课年级难度的教学资源，包括基础词汇、句型听读，语篇的精听、精读，听力或口语的理解应用，开展主题听说教学；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9</w:t>
            </w:r>
            <w:r>
              <w:rPr>
                <w:rFonts w:hint="eastAsia" w:ascii="宋体" w:hAnsi="宋体" w:eastAsia="宋体" w:cs="宋体"/>
                <w:i w:val="0"/>
                <w:iCs w:val="0"/>
                <w:color w:val="000000"/>
                <w:kern w:val="0"/>
                <w:sz w:val="22"/>
                <w:szCs w:val="22"/>
                <w:u w:val="none"/>
                <w:lang w:val="en-US" w:eastAsia="zh-CN" w:bidi="ar"/>
              </w:rPr>
              <w:t>.需支持教师选取符合授课年级难度的配音资源开展教学，支持整段或逐句播放视频。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二、课堂互动与练习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1.需支持学生通过语音输入姓名或者输入学生编号来绑定语音答题器，方便进行课堂互动练习。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2.需支持教师使用多种互动工具，包括全班、选人、随机、抢答、小组PK，开展课堂互动</w:t>
            </w:r>
            <w:r>
              <w:rPr>
                <w:rFonts w:hint="eastAsia" w:ascii="宋体" w:hAnsi="宋体" w:cs="宋体"/>
                <w:i w:val="0"/>
                <w:iCs w:val="0"/>
                <w:color w:val="000000"/>
                <w:kern w:val="0"/>
                <w:sz w:val="22"/>
                <w:szCs w:val="22"/>
                <w:u w:val="none"/>
                <w:lang w:val="en-US" w:eastAsia="zh-CN" w:bidi="ar"/>
              </w:rPr>
              <w:t>。</w:t>
            </w:r>
          </w:p>
          <w:p w14:paraId="7B6AE416">
            <w:pPr>
              <w:keepNext w:val="0"/>
              <w:keepLines w:val="0"/>
              <w:widowControl/>
              <w:suppressLineNumbers w:val="0"/>
              <w:jc w:val="left"/>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3.需支持查看班级学生名单，将学生分为不同小组，并在互动后给学生或小组增加积分奖励</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4.需支持抽选单个学生进行练习，系统实时进行练习评测、反馈学生练习情况</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5.需针对客观题，反馈学生作答的正误情况。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针对朗读类资源，需支持实时评测，以总分、流畅度、完整度、准确度、自然度综合反馈学生水平，并且会标记出学生每个单词发音的优、良、低分、漏读等情况，同时针对发音较差的单词打开单词卡片，可进行实时朗读评测，帮助针对性纠错提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7.针对单词资源，需支持多种练习形式，包括朗读、背诵、意识选择；针对朗读句子、对话、短文资源，需支持朗读、背诵2种练习方式，全方位检测学生掌握情况。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8</w:t>
            </w:r>
            <w:r>
              <w:rPr>
                <w:rFonts w:hint="eastAsia" w:ascii="宋体" w:hAnsi="宋体" w:eastAsia="宋体" w:cs="宋体"/>
                <w:i w:val="0"/>
                <w:iCs w:val="0"/>
                <w:color w:val="000000"/>
                <w:kern w:val="0"/>
                <w:sz w:val="22"/>
                <w:szCs w:val="22"/>
                <w:u w:val="none"/>
                <w:lang w:val="en-US" w:eastAsia="zh-CN" w:bidi="ar"/>
              </w:rPr>
              <w:t>.需支持配合学生语音答题器，在课上一键发起互动练习。支持全班下发，所有学生均可参与练习，边教边练，加强教学效果；支持随机模式，由系统随机抽选学生进行作答；支持抢答模式，学生通过语音答题器进行抢答；支持直接选人作答；支持小组间PK练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9</w:t>
            </w:r>
            <w:r>
              <w:rPr>
                <w:rFonts w:hint="eastAsia" w:ascii="宋体" w:hAnsi="宋体" w:eastAsia="宋体" w:cs="宋体"/>
                <w:i w:val="0"/>
                <w:iCs w:val="0"/>
                <w:color w:val="000000"/>
                <w:kern w:val="0"/>
                <w:sz w:val="22"/>
                <w:szCs w:val="22"/>
                <w:u w:val="none"/>
                <w:lang w:val="en-US" w:eastAsia="zh-CN" w:bidi="ar"/>
              </w:rPr>
              <w:t>.需支持自动结束和手动结束两种练习进度把控方式，到达设定时限后自动结束练习，同时支持教师随时手动结束互动练习，结束后立即回收学生答题数据并实时生成学生个人报告和班级整体分析报告，供老师进行练习讲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0</w:t>
            </w:r>
            <w:r>
              <w:rPr>
                <w:rFonts w:hint="eastAsia" w:ascii="宋体" w:hAnsi="宋体" w:eastAsia="宋体" w:cs="宋体"/>
                <w:i w:val="0"/>
                <w:iCs w:val="0"/>
                <w:color w:val="000000"/>
                <w:kern w:val="0"/>
                <w:sz w:val="22"/>
                <w:szCs w:val="22"/>
                <w:u w:val="none"/>
                <w:lang w:val="en-US" w:eastAsia="zh-CN" w:bidi="ar"/>
              </w:rPr>
              <w:t>.课堂练习结束后，需支持教师查看班级整体分析报告，需包括成绩分析统计、试题讲评与学生作答分析</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1</w:t>
            </w:r>
            <w:r>
              <w:rPr>
                <w:rFonts w:hint="eastAsia" w:ascii="宋体" w:hAnsi="宋体" w:eastAsia="宋体" w:cs="宋体"/>
                <w:i w:val="0"/>
                <w:iCs w:val="0"/>
                <w:color w:val="000000"/>
                <w:kern w:val="0"/>
                <w:sz w:val="22"/>
                <w:szCs w:val="22"/>
                <w:u w:val="none"/>
                <w:lang w:val="en-US" w:eastAsia="zh-CN" w:bidi="ar"/>
              </w:rPr>
              <w:t>.需支持教师查看学生个人分析报告，包括总分、每题得分及作答分析</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需支持老师自制试题发起全班练习，包括朗读单词、朗读句子、朗读短文，并支持实时评测给出分数；支持利用单选题、判断题、投票工具，收集全班学生作答数据，辅助教学；支持表述题工具，收集全班学生语音，老师手动评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三、听说测试讲解与体验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1.需提供针对本地区听说考试的考试解析，帮助了解考试形式、考察方向，以及相关注意事项。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2.需提供地区听说考试试卷和相关模拟考试试卷体验，流程与正式考试一致，支持单题或单步体验，随时停止、回退，反复练习体验。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四、报告讲评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1.需支持查看课堂完成的各类互动报告，包括全班下发、小组PK、学生抢答、学生随机、学生选人、单机PK、单机练习，针对班级整体分析报告、学生个人分析报告进行重点讲评。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2.需支持自动收录班级练习的共性错题，教师可按照收录次数、练习时间来筛选查看错题，讲评错题分析报告，并再次下发给学生做巩固练习。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五、智能评测技术能力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1.提供实时评测能力，学生答题完成后，需会实时评分，会给出答题题型的总成绩和详细的分析报告，学生通过分析报告，可以了解自己的答题详情和结果。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2.针对朗读题型系统实时评分，需从总分、流畅度分、完整度分、发音准确度、自然度多维度反馈学生的答题情况。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3.需拥有智能纠错功能，在学生答题完之后，需会自动检测出学生答错的单词，并标红显示，同时能够给出标准的读音示例。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4.在学生答题完成后，需自动地进行乱说检错，如乱说中文、唱歌等，能够给出异常语音输入等反馈信息，规范学生正常答题。</w:t>
            </w:r>
          </w:p>
        </w:tc>
        <w:tc>
          <w:tcPr>
            <w:tcW w:w="240" w:type="dxa"/>
            <w:noWrap w:val="0"/>
            <w:vAlign w:val="center"/>
          </w:tcPr>
          <w:p w14:paraId="5DC24A38">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1"/>
                <w:szCs w:val="21"/>
                <w:u w:val="none"/>
                <w:lang w:val="en-US" w:eastAsia="zh-CN" w:bidi="ar"/>
              </w:rPr>
              <w:t>套</w:t>
            </w:r>
          </w:p>
        </w:tc>
        <w:tc>
          <w:tcPr>
            <w:tcW w:w="666" w:type="dxa"/>
            <w:noWrap w:val="0"/>
            <w:vAlign w:val="center"/>
          </w:tcPr>
          <w:p w14:paraId="2C7AE265">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cs="宋体"/>
                <w:i w:val="0"/>
                <w:iCs w:val="0"/>
                <w:color w:val="000000"/>
                <w:kern w:val="0"/>
                <w:sz w:val="21"/>
                <w:szCs w:val="21"/>
                <w:u w:val="none"/>
                <w:lang w:val="en-US" w:eastAsia="zh-CN" w:bidi="ar"/>
              </w:rPr>
              <w:t>19</w:t>
            </w:r>
          </w:p>
        </w:tc>
        <w:tc>
          <w:tcPr>
            <w:tcW w:w="1044" w:type="dxa"/>
            <w:noWrap w:val="0"/>
            <w:vAlign w:val="center"/>
          </w:tcPr>
          <w:p w14:paraId="03EE1289">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color w:val="000000"/>
                <w:sz w:val="20"/>
                <w:szCs w:val="24"/>
              </w:rPr>
              <w:t>软件和信息技术服务业</w:t>
            </w:r>
          </w:p>
        </w:tc>
      </w:tr>
      <w:tr w14:paraId="3304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noWrap w:val="0"/>
            <w:vAlign w:val="center"/>
          </w:tcPr>
          <w:p w14:paraId="123CADCF">
            <w:pPr>
              <w:jc w:val="center"/>
              <w:rPr>
                <w:rFonts w:hint="default"/>
                <w:color w:val="auto"/>
                <w:highlight w:val="none"/>
                <w:vertAlign w:val="baseline"/>
                <w:lang w:val="en-US" w:eastAsia="zh-CN"/>
              </w:rPr>
            </w:pPr>
            <w:r>
              <w:rPr>
                <w:rFonts w:hint="eastAsia"/>
                <w:color w:val="auto"/>
                <w:highlight w:val="none"/>
                <w:vertAlign w:val="baseline"/>
                <w:lang w:val="en-US" w:eastAsia="zh-CN"/>
              </w:rPr>
              <w:t>9</w:t>
            </w:r>
          </w:p>
        </w:tc>
        <w:tc>
          <w:tcPr>
            <w:tcW w:w="1124" w:type="dxa"/>
            <w:noWrap w:val="0"/>
            <w:vAlign w:val="center"/>
          </w:tcPr>
          <w:p w14:paraId="0C9DB99B">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教师演示器</w:t>
            </w:r>
          </w:p>
        </w:tc>
        <w:tc>
          <w:tcPr>
            <w:tcW w:w="5493" w:type="dxa"/>
            <w:noWrap w:val="0"/>
            <w:vAlign w:val="center"/>
          </w:tcPr>
          <w:p w14:paraId="13D55BB2">
            <w:pPr>
              <w:keepNext w:val="0"/>
              <w:keepLines w:val="0"/>
              <w:widowControl/>
              <w:numPr>
                <w:ilvl w:val="0"/>
                <w:numId w:val="11"/>
              </w:numPr>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USB type-C连接电脑端口，蓝牙5.0连接方式，无线范围15米。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红外激光发生器，3D加速传感器、陀螺仪支持飞鼠远程操作屏幕，聚焦或红点定位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与软件深度融合，支持自动启动软件、绑定教师账号免密登录、资源切换和返回常用操作。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双麦克风阵列，3米有效拾音，口语资源页面一键录音，实时评测。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与PPT配合，支持上下翻页。</w:t>
            </w:r>
          </w:p>
        </w:tc>
        <w:tc>
          <w:tcPr>
            <w:tcW w:w="240" w:type="dxa"/>
            <w:noWrap w:val="0"/>
            <w:vAlign w:val="center"/>
          </w:tcPr>
          <w:p w14:paraId="27655514">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1"/>
                <w:szCs w:val="21"/>
                <w:u w:val="none"/>
                <w:lang w:val="en-US" w:eastAsia="zh-CN" w:bidi="ar"/>
              </w:rPr>
              <w:t>台</w:t>
            </w:r>
          </w:p>
        </w:tc>
        <w:tc>
          <w:tcPr>
            <w:tcW w:w="666" w:type="dxa"/>
            <w:noWrap w:val="0"/>
            <w:vAlign w:val="center"/>
          </w:tcPr>
          <w:p w14:paraId="609D6D3A">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cs="宋体"/>
                <w:i w:val="0"/>
                <w:iCs w:val="0"/>
                <w:color w:val="000000"/>
                <w:kern w:val="0"/>
                <w:sz w:val="21"/>
                <w:szCs w:val="21"/>
                <w:u w:val="none"/>
                <w:lang w:val="en-US" w:eastAsia="zh-CN" w:bidi="ar"/>
              </w:rPr>
              <w:t>19</w:t>
            </w:r>
          </w:p>
        </w:tc>
        <w:tc>
          <w:tcPr>
            <w:tcW w:w="1044" w:type="dxa"/>
            <w:noWrap w:val="0"/>
            <w:vAlign w:val="center"/>
          </w:tcPr>
          <w:p w14:paraId="5D91BFF7">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工业</w:t>
            </w:r>
          </w:p>
        </w:tc>
      </w:tr>
      <w:tr w14:paraId="6560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noWrap w:val="0"/>
            <w:vAlign w:val="center"/>
          </w:tcPr>
          <w:p w14:paraId="79FD2F73">
            <w:pPr>
              <w:jc w:val="center"/>
              <w:rPr>
                <w:rFonts w:hint="default"/>
                <w:color w:val="auto"/>
                <w:highlight w:val="none"/>
                <w:vertAlign w:val="baseline"/>
                <w:lang w:val="en-US" w:eastAsia="zh-CN"/>
              </w:rPr>
            </w:pPr>
            <w:r>
              <w:rPr>
                <w:rFonts w:hint="eastAsia"/>
                <w:color w:val="auto"/>
                <w:highlight w:val="none"/>
                <w:vertAlign w:val="baseline"/>
                <w:lang w:val="en-US" w:eastAsia="zh-CN"/>
              </w:rPr>
              <w:t>10</w:t>
            </w:r>
          </w:p>
        </w:tc>
        <w:tc>
          <w:tcPr>
            <w:tcW w:w="1124" w:type="dxa"/>
            <w:noWrap w:val="0"/>
            <w:vAlign w:val="center"/>
          </w:tcPr>
          <w:p w14:paraId="09CD8098">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语音答题器</w:t>
            </w:r>
          </w:p>
        </w:tc>
        <w:tc>
          <w:tcPr>
            <w:tcW w:w="5493" w:type="dxa"/>
            <w:noWrap w:val="0"/>
            <w:vAlign w:val="center"/>
          </w:tcPr>
          <w:p w14:paraId="31367745">
            <w:pPr>
              <w:keepNext w:val="0"/>
              <w:keepLines w:val="0"/>
              <w:widowControl/>
              <w:suppressLineNumbers w:val="0"/>
              <w:jc w:val="left"/>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1.采用 5.8GHz 无线射频通信频段，在无遮挡情况下通信距离为12米，支持互动答题及语音答题，具备优异的信号抗干扰能力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采用点阵式液晶显示屏，分辨率不低于128*64。可个性化显示学生姓名、题目序号、作答内容、信号状态、电池电量、得分奖励等信息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按键采用P+R材质，操作反馈清晰，无误触，按键寿命为50万次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内置2个麦克风，自适应降噪， 支持语音数据高效、可靠传输，数据包传输耗时，及重传延迟均为毫秒级，数据交互成功率不低于99.9%</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支持选择、判断、语音题，支持多小题同时作答、修改和一键提交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内置可充电锂电池，电池容量为1500mAh，4.5小时可完成充电，支持连续上课30小时</w:t>
            </w:r>
          </w:p>
        </w:tc>
        <w:tc>
          <w:tcPr>
            <w:tcW w:w="240" w:type="dxa"/>
            <w:noWrap w:val="0"/>
            <w:vAlign w:val="center"/>
          </w:tcPr>
          <w:p w14:paraId="014B7289">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1"/>
                <w:szCs w:val="21"/>
                <w:u w:val="none"/>
                <w:lang w:val="en-US" w:eastAsia="zh-CN" w:bidi="ar"/>
              </w:rPr>
              <w:t>台</w:t>
            </w:r>
          </w:p>
        </w:tc>
        <w:tc>
          <w:tcPr>
            <w:tcW w:w="666" w:type="dxa"/>
            <w:noWrap w:val="0"/>
            <w:vAlign w:val="center"/>
          </w:tcPr>
          <w:p w14:paraId="17C95E88">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cs="宋体"/>
                <w:i w:val="0"/>
                <w:iCs w:val="0"/>
                <w:color w:val="000000"/>
                <w:kern w:val="0"/>
                <w:sz w:val="21"/>
                <w:szCs w:val="21"/>
                <w:u w:val="none"/>
                <w:lang w:val="en-US" w:eastAsia="zh-CN" w:bidi="ar"/>
              </w:rPr>
              <w:t>1273</w:t>
            </w:r>
          </w:p>
        </w:tc>
        <w:tc>
          <w:tcPr>
            <w:tcW w:w="1044" w:type="dxa"/>
            <w:noWrap w:val="0"/>
            <w:vAlign w:val="center"/>
          </w:tcPr>
          <w:p w14:paraId="6520FC04">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工业</w:t>
            </w:r>
          </w:p>
        </w:tc>
      </w:tr>
      <w:tr w14:paraId="4806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noWrap w:val="0"/>
            <w:vAlign w:val="center"/>
          </w:tcPr>
          <w:p w14:paraId="6839EB8E">
            <w:pPr>
              <w:jc w:val="center"/>
              <w:rPr>
                <w:rFonts w:hint="default"/>
                <w:color w:val="auto"/>
                <w:highlight w:val="none"/>
                <w:vertAlign w:val="baseline"/>
                <w:lang w:val="en-US" w:eastAsia="zh-CN"/>
              </w:rPr>
            </w:pPr>
            <w:r>
              <w:rPr>
                <w:rFonts w:hint="eastAsia"/>
                <w:color w:val="auto"/>
                <w:highlight w:val="none"/>
                <w:vertAlign w:val="baseline"/>
                <w:lang w:val="en-US" w:eastAsia="zh-CN"/>
              </w:rPr>
              <w:t>11</w:t>
            </w:r>
          </w:p>
        </w:tc>
        <w:tc>
          <w:tcPr>
            <w:tcW w:w="1124" w:type="dxa"/>
            <w:noWrap w:val="0"/>
            <w:vAlign w:val="center"/>
          </w:tcPr>
          <w:p w14:paraId="55C845F2">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语音接收器</w:t>
            </w:r>
          </w:p>
        </w:tc>
        <w:tc>
          <w:tcPr>
            <w:tcW w:w="5493" w:type="dxa"/>
            <w:noWrap w:val="0"/>
            <w:vAlign w:val="center"/>
          </w:tcPr>
          <w:p w14:paraId="56979765">
            <w:pPr>
              <w:keepNext w:val="0"/>
              <w:keepLines w:val="0"/>
              <w:widowControl/>
              <w:numPr>
                <w:ilvl w:val="0"/>
                <w:numId w:val="12"/>
              </w:numPr>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高速USB UID接口，USB线连接接收器与电脑，供电与数据传输一体化，即插即用，无需安装驱动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.可支持 Windows主流版本、Android系统、国产操作系统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信号范围呈12米半径球状，单接收器模式下支持60路并发，双接收器模式下支持100路并发；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具有多个LED指示灯，可分别独立显示：电源、系统、数据传输状态等</w:t>
            </w:r>
          </w:p>
        </w:tc>
        <w:tc>
          <w:tcPr>
            <w:tcW w:w="240" w:type="dxa"/>
            <w:noWrap w:val="0"/>
            <w:vAlign w:val="center"/>
          </w:tcPr>
          <w:p w14:paraId="60ECA14F">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1"/>
                <w:szCs w:val="21"/>
                <w:u w:val="none"/>
                <w:lang w:val="en-US" w:eastAsia="zh-CN" w:bidi="ar"/>
              </w:rPr>
              <w:t>台</w:t>
            </w:r>
          </w:p>
        </w:tc>
        <w:tc>
          <w:tcPr>
            <w:tcW w:w="666" w:type="dxa"/>
            <w:noWrap w:val="0"/>
            <w:vAlign w:val="center"/>
          </w:tcPr>
          <w:p w14:paraId="35A97EC1">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cs="宋体"/>
                <w:i w:val="0"/>
                <w:iCs w:val="0"/>
                <w:color w:val="000000"/>
                <w:kern w:val="0"/>
                <w:sz w:val="21"/>
                <w:szCs w:val="21"/>
                <w:u w:val="none"/>
                <w:lang w:val="en-US" w:eastAsia="zh-CN" w:bidi="ar"/>
              </w:rPr>
              <w:t>19</w:t>
            </w:r>
          </w:p>
        </w:tc>
        <w:tc>
          <w:tcPr>
            <w:tcW w:w="1044" w:type="dxa"/>
            <w:noWrap w:val="0"/>
            <w:vAlign w:val="center"/>
          </w:tcPr>
          <w:p w14:paraId="797E8FDA">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工业</w:t>
            </w:r>
          </w:p>
        </w:tc>
      </w:tr>
      <w:tr w14:paraId="1608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noWrap w:val="0"/>
            <w:vAlign w:val="center"/>
          </w:tcPr>
          <w:p w14:paraId="16580D0B">
            <w:pPr>
              <w:jc w:val="center"/>
              <w:rPr>
                <w:rFonts w:hint="default"/>
                <w:color w:val="auto"/>
                <w:highlight w:val="none"/>
                <w:vertAlign w:val="baseline"/>
                <w:lang w:val="en-US" w:eastAsia="zh-CN"/>
              </w:rPr>
            </w:pPr>
            <w:r>
              <w:rPr>
                <w:rFonts w:hint="eastAsia"/>
                <w:color w:val="auto"/>
                <w:highlight w:val="none"/>
                <w:vertAlign w:val="baseline"/>
                <w:lang w:val="en-US" w:eastAsia="zh-CN"/>
              </w:rPr>
              <w:t>12</w:t>
            </w:r>
          </w:p>
        </w:tc>
        <w:tc>
          <w:tcPr>
            <w:tcW w:w="1124" w:type="dxa"/>
            <w:noWrap w:val="0"/>
            <w:vAlign w:val="center"/>
          </w:tcPr>
          <w:p w14:paraId="36E5BD90">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1"/>
                <w:szCs w:val="21"/>
                <w:u w:val="none"/>
                <w:lang w:val="en-US" w:eastAsia="zh-CN" w:bidi="ar"/>
              </w:rPr>
              <w:t>充电仓</w:t>
            </w:r>
          </w:p>
        </w:tc>
        <w:tc>
          <w:tcPr>
            <w:tcW w:w="5493" w:type="dxa"/>
            <w:noWrap w:val="0"/>
            <w:vAlign w:val="center"/>
          </w:tcPr>
          <w:p w14:paraId="34DE5A83">
            <w:pPr>
              <w:keepNext w:val="0"/>
              <w:keepLines w:val="0"/>
              <w:widowControl/>
              <w:numPr>
                <w:ilvl w:val="0"/>
                <w:numId w:val="13"/>
              </w:numPr>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采用内置电源设计，无外置电源适配器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支持30只答题器同时充电，电池充满耗时≤4.5小时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具有智能充电控制，具备过压、过流、过热保护电路，保障长期使用安全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采用水平推入充电方式，充电接触稳固、可靠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每个充电仓具备独立的弹性仓门，杜绝异物进入，保障充电安全、可靠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具备独立的电源开关，一键控制所有答题器的充电开始和结束；</w:t>
            </w:r>
          </w:p>
        </w:tc>
        <w:tc>
          <w:tcPr>
            <w:tcW w:w="240" w:type="dxa"/>
            <w:noWrap w:val="0"/>
            <w:vAlign w:val="center"/>
          </w:tcPr>
          <w:p w14:paraId="30B7B5DA">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1"/>
                <w:szCs w:val="21"/>
                <w:u w:val="none"/>
                <w:lang w:val="en-US" w:eastAsia="zh-CN" w:bidi="ar"/>
              </w:rPr>
              <w:t>台</w:t>
            </w:r>
          </w:p>
        </w:tc>
        <w:tc>
          <w:tcPr>
            <w:tcW w:w="666" w:type="dxa"/>
            <w:noWrap w:val="0"/>
            <w:vAlign w:val="center"/>
          </w:tcPr>
          <w:p w14:paraId="509B8F16">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cs="宋体"/>
                <w:i w:val="0"/>
                <w:iCs w:val="0"/>
                <w:color w:val="000000"/>
                <w:kern w:val="0"/>
                <w:sz w:val="21"/>
                <w:szCs w:val="21"/>
                <w:u w:val="none"/>
                <w:lang w:val="en-US" w:eastAsia="zh-CN" w:bidi="ar"/>
              </w:rPr>
              <w:t>38</w:t>
            </w:r>
          </w:p>
        </w:tc>
        <w:tc>
          <w:tcPr>
            <w:tcW w:w="1044" w:type="dxa"/>
            <w:noWrap w:val="0"/>
            <w:vAlign w:val="center"/>
          </w:tcPr>
          <w:p w14:paraId="761CDF0B">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工业</w:t>
            </w:r>
          </w:p>
        </w:tc>
      </w:tr>
      <w:tr w14:paraId="2AC4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noWrap w:val="0"/>
            <w:vAlign w:val="center"/>
          </w:tcPr>
          <w:p w14:paraId="7139114A">
            <w:pPr>
              <w:jc w:val="center"/>
              <w:rPr>
                <w:rFonts w:hint="default"/>
                <w:color w:val="auto"/>
                <w:highlight w:val="none"/>
                <w:vertAlign w:val="baseline"/>
                <w:lang w:val="en-US" w:eastAsia="zh-CN"/>
              </w:rPr>
            </w:pPr>
            <w:r>
              <w:rPr>
                <w:rFonts w:hint="eastAsia"/>
                <w:color w:val="auto"/>
                <w:highlight w:val="none"/>
                <w:vertAlign w:val="baseline"/>
                <w:lang w:val="en-US" w:eastAsia="zh-CN"/>
              </w:rPr>
              <w:t>13</w:t>
            </w:r>
          </w:p>
        </w:tc>
        <w:tc>
          <w:tcPr>
            <w:tcW w:w="1124" w:type="dxa"/>
            <w:noWrap w:val="0"/>
            <w:vAlign w:val="center"/>
          </w:tcPr>
          <w:p w14:paraId="1327748D">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1"/>
                <w:szCs w:val="21"/>
                <w:u w:val="none"/>
                <w:lang w:val="en-US" w:eastAsia="zh-CN" w:bidi="ar"/>
              </w:rPr>
              <w:t>便携包</w:t>
            </w:r>
          </w:p>
        </w:tc>
        <w:tc>
          <w:tcPr>
            <w:tcW w:w="5493" w:type="dxa"/>
            <w:noWrap w:val="0"/>
            <w:vAlign w:val="center"/>
          </w:tcPr>
          <w:p w14:paraId="1E24B574">
            <w:pPr>
              <w:keepNext w:val="0"/>
              <w:keepLines w:val="0"/>
              <w:widowControl/>
              <w:suppressLineNumbers w:val="0"/>
              <w:jc w:val="left"/>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1. 手提包与泡棉固定。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支持装载至少30台语音答题器和1台接收器。</w:t>
            </w:r>
          </w:p>
        </w:tc>
        <w:tc>
          <w:tcPr>
            <w:tcW w:w="240" w:type="dxa"/>
            <w:noWrap w:val="0"/>
            <w:vAlign w:val="center"/>
          </w:tcPr>
          <w:p w14:paraId="58ECC7ED">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1"/>
                <w:szCs w:val="21"/>
                <w:u w:val="none"/>
                <w:lang w:val="en-US" w:eastAsia="zh-CN" w:bidi="ar"/>
              </w:rPr>
              <w:t>套</w:t>
            </w:r>
          </w:p>
        </w:tc>
        <w:tc>
          <w:tcPr>
            <w:tcW w:w="666" w:type="dxa"/>
            <w:noWrap w:val="0"/>
            <w:vAlign w:val="center"/>
          </w:tcPr>
          <w:p w14:paraId="42469FB4">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cs="宋体"/>
                <w:i w:val="0"/>
                <w:iCs w:val="0"/>
                <w:color w:val="000000"/>
                <w:kern w:val="0"/>
                <w:sz w:val="21"/>
                <w:szCs w:val="21"/>
                <w:u w:val="none"/>
                <w:lang w:val="en-US" w:eastAsia="zh-CN" w:bidi="ar"/>
              </w:rPr>
              <w:t>38</w:t>
            </w:r>
          </w:p>
        </w:tc>
        <w:tc>
          <w:tcPr>
            <w:tcW w:w="1044" w:type="dxa"/>
            <w:noWrap w:val="0"/>
            <w:vAlign w:val="center"/>
          </w:tcPr>
          <w:p w14:paraId="21214D06">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工业</w:t>
            </w:r>
          </w:p>
        </w:tc>
      </w:tr>
      <w:tr w14:paraId="3C967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noWrap w:val="0"/>
            <w:vAlign w:val="center"/>
          </w:tcPr>
          <w:p w14:paraId="06FDE909">
            <w:pPr>
              <w:jc w:val="center"/>
              <w:rPr>
                <w:rFonts w:hint="default"/>
                <w:color w:val="auto"/>
                <w:highlight w:val="none"/>
                <w:vertAlign w:val="baseline"/>
                <w:lang w:val="en-US" w:eastAsia="zh-CN"/>
              </w:rPr>
            </w:pPr>
            <w:r>
              <w:rPr>
                <w:rFonts w:hint="eastAsia"/>
                <w:color w:val="auto"/>
                <w:highlight w:val="none"/>
                <w:vertAlign w:val="baseline"/>
                <w:lang w:val="en-US" w:eastAsia="zh-CN"/>
              </w:rPr>
              <w:t>14</w:t>
            </w:r>
          </w:p>
        </w:tc>
        <w:tc>
          <w:tcPr>
            <w:tcW w:w="1124" w:type="dxa"/>
            <w:noWrap w:val="0"/>
            <w:vAlign w:val="center"/>
          </w:tcPr>
          <w:p w14:paraId="139E552D">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英语模考系统</w:t>
            </w:r>
          </w:p>
        </w:tc>
        <w:tc>
          <w:tcPr>
            <w:tcW w:w="5493" w:type="dxa"/>
            <w:noWrap w:val="0"/>
            <w:vAlign w:val="center"/>
          </w:tcPr>
          <w:p w14:paraId="51380680">
            <w:pPr>
              <w:keepNext w:val="0"/>
              <w:keepLines w:val="0"/>
              <w:widowControl/>
              <w:suppressLineNumbers w:val="0"/>
              <w:jc w:val="left"/>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一、考试管理客户端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1.支持同步老师创建的考试任务，包括未考试的和正在考试的任务。在系统中可以展示任务列表。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2.支持考试任务的下载，包括考试试卷和考生基础信息的下载。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3.可以启动监考机开始一场全真模拟测试。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4.考试结束后，进行答卷包完整性校验，上传考试状态数据和答卷包，并将数据传到服务器进行评测。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5.考试任务详情中，可以查看考试任务的基本信息，当前任务中所有考生的考试状态，包括已考、未考、考试失败等。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二、监考程序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 支持考试过程监控，包括开始考试、开始试音、结束考试；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2.支持监考机操作，输入考生座位号的方式，快速灵活调整学生考试座位号。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系统支持答题同步，在所有学生完成同一个大题后才允许进入下一个大题，解决学生因为系统硬件配置、网络等因素影响或者使用多套试卷而导致的考试不同步情况。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考试过程中，监考机与考试机之间网络不稳定的情况下（偶尔断网）不影响考试，如监考机发生如断网、死机等异常，重启后能够自动恢复到本场考试状态。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应确保考试过程中的录音质量:能够自动检测学生语音质量，及时发现答题语音不合格的学生，以便安排重考。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6.系统支持收集学生答卷包。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三、考试程序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 系统支持准考证号或者学号进行登录；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系统支持与高考试题流程、界面完全一致，对考试环境全真模拟，包括答题时间、语音播放次数限制；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学生按照考试流程、指令完成考试。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支持多种保障安全策略: ①支持相邻的学生试卷不同；②支持同一套试卷小题乱序以及选项乱序，提高防作弊水平。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5.考试完成后，系统自动对学生答题数据进行打包，传到监考机。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四、评测引擎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模拟测试场景的评分引擎，需要具备以下主要功能：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 可以实时提供考试的总分、大题分和小题分。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朗读短文可以提供流畅度、完整度、流畅度更细化的分数反馈；复述题可以提供完整性、准确性、流畅性等细化分数反馈；表达题可以反馈失分原因。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3.引擎需要适应中学不同年龄段的学生的发音特点，评分合理、可信。</w:t>
            </w:r>
          </w:p>
        </w:tc>
        <w:tc>
          <w:tcPr>
            <w:tcW w:w="240" w:type="dxa"/>
            <w:noWrap w:val="0"/>
            <w:vAlign w:val="center"/>
          </w:tcPr>
          <w:p w14:paraId="1F17D926">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1"/>
                <w:szCs w:val="21"/>
                <w:u w:val="none"/>
                <w:lang w:val="en-US" w:eastAsia="zh-CN" w:bidi="ar"/>
              </w:rPr>
              <w:t>套</w:t>
            </w:r>
          </w:p>
        </w:tc>
        <w:tc>
          <w:tcPr>
            <w:tcW w:w="666" w:type="dxa"/>
            <w:noWrap w:val="0"/>
            <w:vAlign w:val="center"/>
          </w:tcPr>
          <w:p w14:paraId="5B25B7D5">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1044" w:type="dxa"/>
            <w:noWrap w:val="0"/>
            <w:vAlign w:val="center"/>
          </w:tcPr>
          <w:p w14:paraId="2A2CDC3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color w:val="000000"/>
                <w:sz w:val="20"/>
                <w:szCs w:val="24"/>
              </w:rPr>
              <w:t>软件和信息技术服务业</w:t>
            </w:r>
          </w:p>
        </w:tc>
      </w:tr>
      <w:tr w14:paraId="6B24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noWrap w:val="0"/>
            <w:vAlign w:val="center"/>
          </w:tcPr>
          <w:p w14:paraId="026EFC7E">
            <w:pPr>
              <w:jc w:val="center"/>
              <w:rPr>
                <w:rFonts w:hint="default"/>
                <w:color w:val="auto"/>
                <w:highlight w:val="none"/>
                <w:vertAlign w:val="baseline"/>
                <w:lang w:val="en-US" w:eastAsia="zh-CN"/>
              </w:rPr>
            </w:pPr>
            <w:r>
              <w:rPr>
                <w:rFonts w:hint="eastAsia"/>
                <w:color w:val="auto"/>
                <w:highlight w:val="none"/>
                <w:vertAlign w:val="baseline"/>
                <w:lang w:val="en-US" w:eastAsia="zh-CN"/>
              </w:rPr>
              <w:t>15</w:t>
            </w:r>
          </w:p>
        </w:tc>
        <w:tc>
          <w:tcPr>
            <w:tcW w:w="1124" w:type="dxa"/>
            <w:noWrap w:val="0"/>
            <w:vAlign w:val="center"/>
          </w:tcPr>
          <w:p w14:paraId="41EFEBA0">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专用耳机</w:t>
            </w:r>
          </w:p>
        </w:tc>
        <w:tc>
          <w:tcPr>
            <w:tcW w:w="5493" w:type="dxa"/>
            <w:noWrap w:val="0"/>
            <w:vAlign w:val="center"/>
          </w:tcPr>
          <w:p w14:paraId="0D6CA08B">
            <w:pPr>
              <w:keepNext w:val="0"/>
              <w:keepLines w:val="0"/>
              <w:widowControl/>
              <w:numPr>
                <w:ilvl w:val="0"/>
                <w:numId w:val="14"/>
              </w:numPr>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外形设计：双头梁耳麦，头梁自适应调节，佩戴时无需手动调整。包耳式耳罩，隔音效果良好，耳罩可拆卸更换。耳麦整体无音量调节旋钮或按钮。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2.声卡参数：内置双声道声卡。主流操作系统免驱，即插即用。USB2.0接口，线长2.5米以上，具有抗干扰磁环，具有绿色LED指示灯。信噪比≥60dB；总谐波失真≤0.3%。</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3.麦克风参数：超心型指向性；（麦克风位置具有方向指示标志）麦克风正对声源（0°）与背对（180°）声源时，拾取信号强度相差10dB以上；灵敏度：-35dB（±3dB）；频响：100Hz - 10kHz；信噪比：＞50dB；连接杆长度：≥18cm，旋转角度：＞120°。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4.喇叭直径：40mm 钕铁硼喇叭；阻抗：32Ω（±15%）；灵敏度：108±3dB；频响：20Hz - 20kHz；功率：20mW。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5.耳机外壳具有唯一编号；芯片内置耳机编号，且与编号对应；编号信息可被程序识别，可用于追溯考生录音来源。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6.提供可编程接口(SDK)，可对耳机唯一编号进行管理；耳麦可与考试系统进行通讯。</w:t>
            </w:r>
          </w:p>
        </w:tc>
        <w:tc>
          <w:tcPr>
            <w:tcW w:w="240" w:type="dxa"/>
            <w:noWrap w:val="0"/>
            <w:vAlign w:val="center"/>
          </w:tcPr>
          <w:p w14:paraId="313983C0">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1"/>
                <w:szCs w:val="21"/>
                <w:u w:val="none"/>
                <w:lang w:val="en-US" w:eastAsia="zh-CN" w:bidi="ar"/>
              </w:rPr>
              <w:t>套</w:t>
            </w:r>
          </w:p>
        </w:tc>
        <w:tc>
          <w:tcPr>
            <w:tcW w:w="666" w:type="dxa"/>
            <w:noWrap w:val="0"/>
            <w:vAlign w:val="center"/>
          </w:tcPr>
          <w:p w14:paraId="6F92438D">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1"/>
                <w:szCs w:val="21"/>
                <w:u w:val="none"/>
                <w:lang w:val="en-US" w:eastAsia="zh-CN" w:bidi="ar"/>
              </w:rPr>
              <w:t>330</w:t>
            </w:r>
          </w:p>
        </w:tc>
        <w:tc>
          <w:tcPr>
            <w:tcW w:w="1044" w:type="dxa"/>
            <w:noWrap w:val="0"/>
            <w:vAlign w:val="center"/>
          </w:tcPr>
          <w:p w14:paraId="32735C3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14:paraId="60CA7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noWrap w:val="0"/>
            <w:vAlign w:val="center"/>
          </w:tcPr>
          <w:p w14:paraId="0655AE94">
            <w:pPr>
              <w:jc w:val="center"/>
              <w:rPr>
                <w:rFonts w:hint="default"/>
                <w:color w:val="auto"/>
                <w:highlight w:val="none"/>
                <w:vertAlign w:val="baseline"/>
                <w:lang w:val="en-US" w:eastAsia="zh-CN"/>
              </w:rPr>
            </w:pPr>
            <w:r>
              <w:rPr>
                <w:rFonts w:hint="eastAsia"/>
                <w:color w:val="auto"/>
                <w:highlight w:val="none"/>
                <w:vertAlign w:val="baseline"/>
                <w:lang w:val="en-US" w:eastAsia="zh-CN"/>
              </w:rPr>
              <w:t>16</w:t>
            </w:r>
          </w:p>
        </w:tc>
        <w:tc>
          <w:tcPr>
            <w:tcW w:w="1124" w:type="dxa"/>
            <w:noWrap w:val="0"/>
            <w:vAlign w:val="center"/>
          </w:tcPr>
          <w:p w14:paraId="6A4C4EEA">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1"/>
                <w:szCs w:val="21"/>
                <w:u w:val="none"/>
                <w:lang w:val="en-US" w:eastAsia="zh-CN" w:bidi="ar"/>
              </w:rPr>
              <w:t>个性化学习手册（数学）</w:t>
            </w:r>
          </w:p>
        </w:tc>
        <w:tc>
          <w:tcPr>
            <w:tcW w:w="5493" w:type="dxa"/>
            <w:noWrap w:val="0"/>
            <w:vAlign w:val="center"/>
          </w:tcPr>
          <w:p w14:paraId="4331368C">
            <w:pPr>
              <w:keepNext w:val="0"/>
              <w:keepLines w:val="0"/>
              <w:widowControl/>
              <w:suppressLineNumbers w:val="0"/>
              <w:jc w:val="left"/>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一、个性化学情诊断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1.需支持查看本次考试测验信息，包括考试名称、学生错题数、考试测验成绩；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2.需支持查看历次考试测验得分率情况；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3.需支持查看考试测验涉及的优势和短板分析；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二、个性化学习资源管理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1.服务期内，需为个性化学习手册覆盖年级学科各提供≥</w:t>
            </w:r>
            <w:r>
              <w:rPr>
                <w:rFonts w:hint="eastAsia" w:ascii="宋体" w:hAnsi="宋体" w:cs="宋体"/>
                <w:i w:val="0"/>
                <w:iCs w:val="0"/>
                <w:color w:val="000000"/>
                <w:kern w:val="0"/>
                <w:sz w:val="22"/>
                <w:szCs w:val="22"/>
                <w:u w:val="none"/>
                <w:lang w:val="en-US" w:eastAsia="zh-CN" w:bidi="ar"/>
              </w:rPr>
              <w:t>1</w:t>
            </w:r>
            <w:r>
              <w:rPr>
                <w:rFonts w:hint="eastAsia" w:ascii="宋体" w:hAnsi="宋体" w:eastAsia="宋体" w:cs="宋体"/>
                <w:i w:val="0"/>
                <w:iCs w:val="0"/>
                <w:color w:val="000000"/>
                <w:kern w:val="0"/>
                <w:sz w:val="22"/>
                <w:szCs w:val="22"/>
                <w:u w:val="none"/>
                <w:lang w:val="en-US" w:eastAsia="zh-CN" w:bidi="ar"/>
              </w:rPr>
              <w:t>0套试卷加工服务；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2.服务期内，需为个性化作业的学习资源提供题型、知识点、答案、解析标签的标注、审核、校对服务；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3.服务期内，需为个性化学习手册覆盖年级学科组织的考试测验提供数据采集服务；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4.服务期内，需为个性化学习手册覆盖年级学科提供新建空白答题卡、题库制卡、导入word试卷制卡服务；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三、试题质量检测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1.需支持教师对AI自动推荐的试题进行审核，支持教师对试题进行收藏、吐槽、纠错、采纳的操作；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2.需支持教师查看试题审核进度；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3.需支持将已采纳的推荐试题标记为典例题；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4.数学学科需支持按知识点、按关键词两类方式搜题；数学学科按知识点搜题需支持根据试题年份、难度、题型、地区搜索举一反三推荐试题资源；数学学科按知识点搜题需支持从校本资源选择试题；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5.需支持针对试题原题，自定义设置推题或不推题；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四、个性化推荐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1.数学学科需提供基于考试错题的变式练习，变式练习需包括巩固题和拓展题；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2.数学学科需支持提供班级高频错题或拔高训练题两种补题策略；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3.数学学科需支持典例精讲；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4.数学学科需支持按班级得分率配置典例精讲精练；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5.数学学科需支持配置典例精练推题量；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6.数学学科需支持将学生分为学困生、学中生、学优生；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7.数学学科需支持设置个性化作业的做题题量；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8.数学学科需支持根据年级得分率将试题原题分为难题、中等题、简单题；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9.数学学科需支持生成教师讲义；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10.数学学科需支持根据学生层次自定义学生错题是否推题；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11.数学学科需支持根据学生层次和题目难度设置巩固题和拓展题；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12.数学学科需支持提供年级共性版本和班级共性版本两种阶段复习；年级共性版本和班级共性版本阶段复习需支持错题训练和薄弱项训练两种模式；错题训练模式需支持对原题年级得分率、复习范围、复习题量自定义；薄弱项训练需支持对知识点年级得分率、复习题量自定义；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五、名师解析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1.需提供考试测验原错题的参考答案、试题解析及解答；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2.需提供推荐练习试题的参考答案、试题解析及解答；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六、阶段专题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1</w:t>
            </w:r>
            <w:r>
              <w:rPr>
                <w:rFonts w:hint="eastAsia" w:ascii="宋体" w:hAnsi="宋体" w:eastAsia="宋体" w:cs="宋体"/>
                <w:i w:val="0"/>
                <w:iCs w:val="0"/>
                <w:color w:val="000000"/>
                <w:kern w:val="0"/>
                <w:sz w:val="22"/>
                <w:szCs w:val="22"/>
                <w:u w:val="none"/>
                <w:lang w:val="en-US" w:eastAsia="zh-CN" w:bidi="ar"/>
              </w:rPr>
              <w:t>.数学学科需支持按照年级、每层题量、练习范围进行试题资源的推荐；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.数学学科需支持按照推荐配比和自定义两种方式配置分层的题型题量；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七、高三备考方案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1.数学学科需支持根据学情数据提供一轮复习学情诊断报告，包括高考考情研读、学情概览、复习指南；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2.数学学科需支持根据一轮复习考试数据提供二轮复习学情诊断报告，包括专题概览、微专题分析、重点学生分析、复习指南；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八、APP端服务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1.数学学科需支持根据学情推荐和热题推荐提供试题资源的推荐服务；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2.数学学科需支持按照教材、题型、难度和来源进行试题资源的筛选；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3.数学学科需支持按照教材章节选择试题资源；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九、打印配送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1.需提供学生个性化作业所需的纸张、打印耗材和外壳；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2.需提供学生个性化作业的打印、成品装订及配送服务；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3.需提供教师讲义所需的纸张、打印耗材和外壳；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4.需提供教师讲义的打印、装订及配送服务；</w:t>
            </w:r>
          </w:p>
        </w:tc>
        <w:tc>
          <w:tcPr>
            <w:tcW w:w="240" w:type="dxa"/>
            <w:noWrap w:val="0"/>
            <w:vAlign w:val="center"/>
          </w:tcPr>
          <w:p w14:paraId="4223A3B6">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套</w:t>
            </w:r>
          </w:p>
        </w:tc>
        <w:tc>
          <w:tcPr>
            <w:tcW w:w="666" w:type="dxa"/>
            <w:noWrap w:val="0"/>
            <w:vAlign w:val="center"/>
          </w:tcPr>
          <w:p w14:paraId="201C90FF">
            <w:pPr>
              <w:keepNext w:val="0"/>
              <w:keepLines w:val="0"/>
              <w:widowControl/>
              <w:suppressLineNumbers w:val="0"/>
              <w:jc w:val="center"/>
              <w:textAlignment w:val="center"/>
              <w:rPr>
                <w:rFonts w:hint="default"/>
                <w:color w:val="auto"/>
                <w:highlight w:val="none"/>
                <w:vertAlign w:val="baseline"/>
                <w:lang w:val="en-US" w:eastAsia="zh-CN"/>
              </w:rPr>
            </w:pPr>
            <w:r>
              <w:rPr>
                <w:rFonts w:hint="eastAsia" w:ascii="宋体" w:hAnsi="宋体" w:cs="宋体"/>
                <w:i w:val="0"/>
                <w:iCs w:val="0"/>
                <w:color w:val="000000"/>
                <w:kern w:val="0"/>
                <w:sz w:val="22"/>
                <w:szCs w:val="22"/>
                <w:u w:val="none"/>
                <w:lang w:val="en-US" w:eastAsia="zh-CN" w:bidi="ar"/>
              </w:rPr>
              <w:t>2300</w:t>
            </w:r>
          </w:p>
        </w:tc>
        <w:tc>
          <w:tcPr>
            <w:tcW w:w="1044" w:type="dxa"/>
            <w:noWrap w:val="0"/>
            <w:vAlign w:val="center"/>
          </w:tcPr>
          <w:p w14:paraId="59C26306">
            <w:pPr>
              <w:pStyle w:val="18"/>
              <w:ind w:firstLine="0" w:firstLineChars="0"/>
              <w:jc w:val="center"/>
              <w:rPr>
                <w:rFonts w:hint="eastAsia" w:hAnsi="宋体"/>
                <w:b/>
                <w:bCs/>
                <w:color w:val="auto"/>
                <w:sz w:val="50"/>
                <w:szCs w:val="50"/>
                <w:highlight w:val="none"/>
              </w:rPr>
            </w:pPr>
            <w:r>
              <w:rPr>
                <w:rFonts w:hint="eastAsia" w:ascii="宋体"/>
                <w:color w:val="000000"/>
                <w:sz w:val="20"/>
                <w:szCs w:val="24"/>
              </w:rPr>
              <w:t>软件和信息技术服务业</w:t>
            </w:r>
          </w:p>
          <w:p w14:paraId="5F3A1BAC">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p>
        </w:tc>
      </w:tr>
      <w:tr w14:paraId="3C2E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noWrap w:val="0"/>
            <w:vAlign w:val="center"/>
          </w:tcPr>
          <w:p w14:paraId="6055F4E6">
            <w:pPr>
              <w:jc w:val="center"/>
              <w:rPr>
                <w:rFonts w:hint="default"/>
                <w:color w:val="auto"/>
                <w:highlight w:val="none"/>
                <w:vertAlign w:val="baseline"/>
                <w:lang w:val="en-US" w:eastAsia="zh-CN"/>
              </w:rPr>
            </w:pPr>
            <w:r>
              <w:rPr>
                <w:rFonts w:hint="eastAsia"/>
                <w:color w:val="auto"/>
                <w:highlight w:val="none"/>
                <w:vertAlign w:val="baseline"/>
                <w:lang w:val="en-US" w:eastAsia="zh-CN"/>
              </w:rPr>
              <w:t>17</w:t>
            </w:r>
          </w:p>
        </w:tc>
        <w:tc>
          <w:tcPr>
            <w:tcW w:w="1124" w:type="dxa"/>
            <w:noWrap w:val="0"/>
            <w:vAlign w:val="center"/>
          </w:tcPr>
          <w:p w14:paraId="00048B5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整套广播系统</w:t>
            </w:r>
          </w:p>
        </w:tc>
        <w:tc>
          <w:tcPr>
            <w:tcW w:w="5493" w:type="dxa"/>
            <w:noWrap w:val="0"/>
            <w:vAlign w:val="center"/>
          </w:tcPr>
          <w:p w14:paraId="45205DF1">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具体配置清单，详见附表一</w:t>
            </w:r>
          </w:p>
        </w:tc>
        <w:tc>
          <w:tcPr>
            <w:tcW w:w="240" w:type="dxa"/>
            <w:noWrap w:val="0"/>
            <w:vAlign w:val="center"/>
          </w:tcPr>
          <w:p w14:paraId="17C2155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6" w:type="dxa"/>
            <w:noWrap w:val="0"/>
            <w:vAlign w:val="center"/>
          </w:tcPr>
          <w:p w14:paraId="7C00E292">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p>
        </w:tc>
        <w:tc>
          <w:tcPr>
            <w:tcW w:w="1044" w:type="dxa"/>
            <w:noWrap w:val="0"/>
            <w:vAlign w:val="center"/>
          </w:tcPr>
          <w:p w14:paraId="695585E4">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p>
        </w:tc>
      </w:tr>
      <w:tr w14:paraId="288EF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7" w:type="dxa"/>
            <w:noWrap w:val="0"/>
            <w:vAlign w:val="center"/>
          </w:tcPr>
          <w:p w14:paraId="7E318F45">
            <w:pPr>
              <w:jc w:val="center"/>
              <w:rPr>
                <w:rFonts w:hint="default"/>
                <w:color w:val="auto"/>
                <w:highlight w:val="none"/>
                <w:vertAlign w:val="baseline"/>
                <w:lang w:val="en-US" w:eastAsia="zh-CN"/>
              </w:rPr>
            </w:pPr>
            <w:r>
              <w:rPr>
                <w:rFonts w:hint="eastAsia"/>
                <w:color w:val="auto"/>
                <w:highlight w:val="none"/>
                <w:vertAlign w:val="baseline"/>
                <w:lang w:val="en-US" w:eastAsia="zh-CN"/>
              </w:rPr>
              <w:t>18</w:t>
            </w:r>
          </w:p>
        </w:tc>
        <w:tc>
          <w:tcPr>
            <w:tcW w:w="1124" w:type="dxa"/>
            <w:noWrap w:val="0"/>
            <w:vAlign w:val="center"/>
          </w:tcPr>
          <w:p w14:paraId="0571027F">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常态化视频监控系统</w:t>
            </w:r>
          </w:p>
        </w:tc>
        <w:tc>
          <w:tcPr>
            <w:tcW w:w="5493" w:type="dxa"/>
            <w:noWrap w:val="0"/>
            <w:vAlign w:val="center"/>
          </w:tcPr>
          <w:p w14:paraId="6F4E20D9">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具体配置清单，详见附表二</w:t>
            </w:r>
          </w:p>
        </w:tc>
        <w:tc>
          <w:tcPr>
            <w:tcW w:w="240" w:type="dxa"/>
            <w:noWrap w:val="0"/>
            <w:vAlign w:val="center"/>
          </w:tcPr>
          <w:p w14:paraId="286D811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6" w:type="dxa"/>
            <w:noWrap w:val="0"/>
            <w:vAlign w:val="center"/>
          </w:tcPr>
          <w:p w14:paraId="786036A4">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p>
        </w:tc>
        <w:tc>
          <w:tcPr>
            <w:tcW w:w="1044" w:type="dxa"/>
            <w:noWrap w:val="0"/>
            <w:vAlign w:val="center"/>
          </w:tcPr>
          <w:p w14:paraId="14E82D33">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p>
        </w:tc>
      </w:tr>
      <w:tr w14:paraId="63A63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noWrap w:val="0"/>
            <w:vAlign w:val="center"/>
          </w:tcPr>
          <w:p w14:paraId="76D688BE">
            <w:pPr>
              <w:jc w:val="center"/>
              <w:rPr>
                <w:rFonts w:hint="default"/>
                <w:color w:val="auto"/>
                <w:highlight w:val="none"/>
                <w:vertAlign w:val="baseline"/>
                <w:lang w:val="en-US" w:eastAsia="zh-CN"/>
              </w:rPr>
            </w:pPr>
            <w:r>
              <w:rPr>
                <w:rFonts w:hint="eastAsia"/>
                <w:color w:val="auto"/>
                <w:highlight w:val="none"/>
                <w:vertAlign w:val="baseline"/>
                <w:lang w:val="en-US" w:eastAsia="zh-CN"/>
              </w:rPr>
              <w:t>19</w:t>
            </w:r>
          </w:p>
        </w:tc>
        <w:tc>
          <w:tcPr>
            <w:tcW w:w="1124" w:type="dxa"/>
            <w:noWrap w:val="0"/>
            <w:vAlign w:val="center"/>
          </w:tcPr>
          <w:p w14:paraId="317CA96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室外全彩LED显示屏</w:t>
            </w:r>
          </w:p>
        </w:tc>
        <w:tc>
          <w:tcPr>
            <w:tcW w:w="5493" w:type="dxa"/>
            <w:noWrap w:val="0"/>
            <w:vAlign w:val="center"/>
          </w:tcPr>
          <w:p w14:paraId="36B876D2">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具体配置清单，详见附表三</w:t>
            </w:r>
          </w:p>
        </w:tc>
        <w:tc>
          <w:tcPr>
            <w:tcW w:w="240" w:type="dxa"/>
            <w:noWrap w:val="0"/>
            <w:vAlign w:val="center"/>
          </w:tcPr>
          <w:p w14:paraId="1B94DE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6" w:type="dxa"/>
            <w:noWrap w:val="0"/>
            <w:vAlign w:val="center"/>
          </w:tcPr>
          <w:p w14:paraId="38DF5ED2">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p>
        </w:tc>
        <w:tc>
          <w:tcPr>
            <w:tcW w:w="1044" w:type="dxa"/>
            <w:noWrap w:val="0"/>
            <w:vAlign w:val="center"/>
          </w:tcPr>
          <w:p w14:paraId="4CE19768">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p>
        </w:tc>
      </w:tr>
    </w:tbl>
    <w:p w14:paraId="6B63B289">
      <w:pPr>
        <w:spacing w:line="360" w:lineRule="auto"/>
        <w:jc w:val="left"/>
        <w:rPr>
          <w:rFonts w:hint="eastAsia" w:ascii="宋体" w:cs="宋体"/>
          <w:b/>
          <w:bCs/>
          <w:kern w:val="0"/>
          <w:lang w:bidi="ar-SA"/>
        </w:rPr>
      </w:pPr>
    </w:p>
    <w:p w14:paraId="3AD5396D">
      <w:pPr>
        <w:spacing w:line="360" w:lineRule="auto"/>
        <w:jc w:val="left"/>
        <w:rPr>
          <w:rFonts w:hint="eastAsia" w:ascii="宋体" w:cs="宋体"/>
          <w:b/>
          <w:bCs/>
          <w:kern w:val="0"/>
          <w:lang w:bidi="ar-SA"/>
        </w:rPr>
      </w:pPr>
      <w:r>
        <w:rPr>
          <w:rFonts w:hint="eastAsia" w:ascii="宋体" w:cs="宋体"/>
          <w:b/>
          <w:bCs/>
          <w:kern w:val="0"/>
          <w:lang w:val="en-US" w:eastAsia="zh-CN" w:bidi="ar-SA"/>
        </w:rPr>
        <w:t>附表一</w:t>
      </w:r>
      <w:r>
        <w:rPr>
          <w:rFonts w:hint="eastAsia" w:ascii="宋体" w:cs="宋体"/>
          <w:b/>
          <w:bCs/>
          <w:kern w:val="0"/>
          <w:lang w:bidi="ar-SA"/>
        </w:rPr>
        <w:t>：</w:t>
      </w:r>
    </w:p>
    <w:p w14:paraId="7597147D">
      <w:pPr>
        <w:spacing w:line="360" w:lineRule="auto"/>
        <w:jc w:val="center"/>
        <w:rPr>
          <w:rFonts w:hint="default" w:ascii="宋体" w:cs="宋体"/>
          <w:b/>
          <w:bCs/>
          <w:kern w:val="0"/>
          <w:sz w:val="28"/>
          <w:szCs w:val="28"/>
          <w:lang w:val="en-US" w:bidi="ar-SA"/>
        </w:rPr>
      </w:pPr>
      <w:r>
        <w:rPr>
          <w:rFonts w:hint="eastAsia" w:ascii="宋体" w:hAnsi="宋体" w:eastAsia="宋体" w:cs="宋体"/>
          <w:b/>
          <w:bCs/>
          <w:i w:val="0"/>
          <w:iCs w:val="0"/>
          <w:color w:val="000000"/>
          <w:kern w:val="0"/>
          <w:sz w:val="28"/>
          <w:szCs w:val="28"/>
          <w:u w:val="none"/>
          <w:lang w:val="en-US" w:eastAsia="zh-CN" w:bidi="ar"/>
        </w:rPr>
        <w:t>整套广播系统具体配置清单</w:t>
      </w:r>
    </w:p>
    <w:tbl>
      <w:tblPr>
        <w:tblStyle w:val="19"/>
        <w:tblpPr w:leftFromText="180" w:rightFromText="180" w:vertAnchor="text" w:horzAnchor="page" w:tblpX="1498" w:tblpY="510"/>
        <w:tblOverlap w:val="never"/>
        <w:tblW w:w="9116"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520"/>
        <w:gridCol w:w="692"/>
        <w:gridCol w:w="5472"/>
        <w:gridCol w:w="800"/>
        <w:gridCol w:w="662"/>
        <w:gridCol w:w="970"/>
      </w:tblGrid>
      <w:tr w14:paraId="02EC094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4DBC9E8C">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b/>
                <w:bCs/>
                <w:caps w:val="0"/>
                <w:color w:val="000000"/>
                <w:sz w:val="22"/>
                <w:szCs w:val="22"/>
                <w:vertAlign w:val="baseline"/>
              </w:rPr>
            </w:pPr>
            <w:r>
              <w:rPr>
                <w:rFonts w:hint="eastAsia" w:ascii="宋体" w:hAnsi="宋体" w:eastAsia="宋体" w:cs="微软雅黑"/>
                <w:b/>
                <w:bCs/>
                <w:caps w:val="0"/>
                <w:color w:val="000000"/>
                <w:kern w:val="0"/>
                <w:sz w:val="22"/>
                <w:szCs w:val="22"/>
                <w:vertAlign w:val="baseline"/>
                <w:lang w:val="en-US" w:eastAsia="zh-CN" w:bidi="ar"/>
              </w:rPr>
              <w:t>序号</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66E2D9FA">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b/>
                <w:bCs/>
                <w:caps w:val="0"/>
                <w:color w:val="000000"/>
                <w:sz w:val="22"/>
                <w:szCs w:val="22"/>
                <w:vertAlign w:val="baseline"/>
              </w:rPr>
            </w:pPr>
            <w:r>
              <w:rPr>
                <w:rFonts w:hint="eastAsia" w:ascii="宋体" w:hAnsi="宋体" w:eastAsia="宋体" w:cs="微软雅黑"/>
                <w:b/>
                <w:bCs/>
                <w:caps w:val="0"/>
                <w:color w:val="000000"/>
                <w:kern w:val="0"/>
                <w:sz w:val="22"/>
                <w:szCs w:val="22"/>
                <w:vertAlign w:val="baseline"/>
                <w:lang w:val="en-US" w:eastAsia="zh-CN" w:bidi="ar"/>
              </w:rPr>
              <w:t>设备名称</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2319465A">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b/>
                <w:bCs/>
                <w:caps w:val="0"/>
                <w:color w:val="000000"/>
                <w:sz w:val="22"/>
                <w:szCs w:val="22"/>
                <w:vertAlign w:val="baseline"/>
              </w:rPr>
            </w:pPr>
            <w:r>
              <w:rPr>
                <w:rFonts w:hint="eastAsia" w:ascii="宋体" w:hAnsi="宋体" w:eastAsia="宋体" w:cs="微软雅黑"/>
                <w:b/>
                <w:bCs/>
                <w:caps w:val="0"/>
                <w:color w:val="000000"/>
                <w:kern w:val="0"/>
                <w:sz w:val="22"/>
                <w:szCs w:val="22"/>
                <w:vertAlign w:val="baseline"/>
                <w:lang w:val="en-US" w:eastAsia="zh-CN" w:bidi="ar"/>
              </w:rPr>
              <w:t>常规参数</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2F04E1C6">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b/>
                <w:bCs/>
                <w:caps w:val="0"/>
                <w:color w:val="000000"/>
                <w:sz w:val="22"/>
                <w:szCs w:val="22"/>
                <w:vertAlign w:val="baseline"/>
              </w:rPr>
            </w:pPr>
            <w:r>
              <w:rPr>
                <w:rFonts w:hint="eastAsia" w:ascii="宋体" w:hAnsi="宋体" w:eastAsia="宋体" w:cs="微软雅黑"/>
                <w:b/>
                <w:bCs/>
                <w:caps w:val="0"/>
                <w:color w:val="000000"/>
                <w:kern w:val="0"/>
                <w:sz w:val="22"/>
                <w:szCs w:val="22"/>
                <w:vertAlign w:val="baseline"/>
                <w:lang w:val="en-US" w:eastAsia="zh-CN" w:bidi="ar"/>
              </w:rPr>
              <w:t>数量</w:t>
            </w:r>
          </w:p>
        </w:tc>
        <w:tc>
          <w:tcPr>
            <w:tcW w:w="662" w:type="dxa"/>
            <w:tcBorders>
              <w:top w:val="single" w:color="000000" w:sz="4" w:space="0"/>
              <w:left w:val="single" w:color="000000" w:sz="4" w:space="0"/>
              <w:bottom w:val="single" w:color="000000" w:sz="4" w:space="0"/>
              <w:right w:val="single" w:color="000000" w:sz="4" w:space="0"/>
            </w:tcBorders>
            <w:noWrap w:val="0"/>
            <w:vAlign w:val="center"/>
          </w:tcPr>
          <w:p w14:paraId="7678E582">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b/>
                <w:bCs/>
                <w:caps w:val="0"/>
                <w:color w:val="000000"/>
                <w:sz w:val="22"/>
                <w:szCs w:val="22"/>
                <w:vertAlign w:val="baseline"/>
              </w:rPr>
            </w:pPr>
            <w:r>
              <w:rPr>
                <w:rFonts w:hint="eastAsia" w:ascii="宋体" w:hAnsi="宋体" w:eastAsia="宋体" w:cs="微软雅黑"/>
                <w:b/>
                <w:bCs/>
                <w:caps w:val="0"/>
                <w:color w:val="000000"/>
                <w:kern w:val="0"/>
                <w:sz w:val="22"/>
                <w:szCs w:val="22"/>
                <w:vertAlign w:val="baseline"/>
                <w:lang w:val="en-US" w:eastAsia="zh-CN" w:bidi="ar"/>
              </w:rPr>
              <w:t>单位</w:t>
            </w:r>
          </w:p>
        </w:tc>
        <w:tc>
          <w:tcPr>
            <w:tcW w:w="970" w:type="dxa"/>
            <w:tcBorders>
              <w:top w:val="single" w:color="000000" w:sz="4" w:space="0"/>
              <w:left w:val="single" w:color="000000" w:sz="4" w:space="0"/>
              <w:bottom w:val="single" w:color="000000" w:sz="4" w:space="0"/>
              <w:right w:val="single" w:color="000000" w:sz="4" w:space="0"/>
            </w:tcBorders>
            <w:noWrap w:val="0"/>
            <w:vAlign w:val="center"/>
          </w:tcPr>
          <w:p w14:paraId="0857E3C4">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b/>
                <w:bCs/>
                <w:caps w:val="0"/>
                <w:color w:val="000000"/>
                <w:kern w:val="0"/>
                <w:sz w:val="22"/>
                <w:szCs w:val="22"/>
                <w:vertAlign w:val="baseline"/>
                <w:lang w:bidi="ar"/>
              </w:rPr>
            </w:pPr>
            <w:r>
              <w:rPr>
                <w:rFonts w:hint="eastAsia" w:ascii="宋体" w:hAnsi="宋体" w:eastAsia="宋体" w:cs="宋体"/>
                <w:b/>
                <w:bCs/>
                <w:caps w:val="0"/>
                <w:color w:val="000000"/>
                <w:kern w:val="2"/>
                <w:sz w:val="22"/>
                <w:szCs w:val="22"/>
                <w:vertAlign w:val="baseline"/>
                <w:lang w:val="en-US" w:eastAsia="zh-CN" w:bidi="ar"/>
              </w:rPr>
              <w:t>招标标的对应的中小企业划分标准所属行业</w:t>
            </w:r>
          </w:p>
        </w:tc>
      </w:tr>
      <w:tr w14:paraId="6A928B9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6684" w:type="dxa"/>
            <w:gridSpan w:val="3"/>
            <w:tcBorders>
              <w:top w:val="single" w:color="000000" w:sz="4" w:space="0"/>
              <w:left w:val="single" w:color="000000" w:sz="4" w:space="0"/>
              <w:bottom w:val="single" w:color="000000" w:sz="4" w:space="0"/>
              <w:right w:val="single" w:color="000000" w:sz="4" w:space="0"/>
            </w:tcBorders>
            <w:noWrap/>
            <w:vAlign w:val="center"/>
          </w:tcPr>
          <w:p w14:paraId="653E1A58">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b/>
                <w:bCs/>
                <w:caps w:val="0"/>
                <w:color w:val="000000"/>
                <w:sz w:val="22"/>
                <w:szCs w:val="22"/>
                <w:vertAlign w:val="baseline"/>
              </w:rPr>
            </w:pPr>
            <w:r>
              <w:rPr>
                <w:rFonts w:hint="eastAsia" w:ascii="宋体" w:hAnsi="宋体" w:eastAsia="宋体" w:cs="微软雅黑"/>
                <w:b/>
                <w:bCs/>
                <w:caps w:val="0"/>
                <w:color w:val="000000"/>
                <w:kern w:val="0"/>
                <w:sz w:val="22"/>
                <w:szCs w:val="22"/>
                <w:vertAlign w:val="baseline"/>
                <w:lang w:val="en-US" w:eastAsia="zh-CN" w:bidi="ar"/>
              </w:rPr>
              <w:t>广播控制中心（主控中心）</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657D60A6">
            <w:pPr>
              <w:keepNext w:val="0"/>
              <w:keepLines w:val="0"/>
              <w:widowControl w:val="0"/>
              <w:suppressLineNumbers w:val="0"/>
              <w:spacing w:before="0" w:beforeAutospacing="0" w:after="0" w:afterAutospacing="0" w:line="240" w:lineRule="auto"/>
              <w:ind w:left="0" w:right="0" w:firstLine="0"/>
              <w:jc w:val="left"/>
              <w:rPr>
                <w:rFonts w:hint="eastAsia" w:ascii="宋体" w:hAnsi="宋体" w:eastAsia="宋体" w:cs="微软雅黑"/>
                <w:caps w:val="0"/>
                <w:color w:val="000000"/>
                <w:sz w:val="22"/>
                <w:szCs w:val="22"/>
                <w:vertAlign w:val="baseline"/>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F8AA96C">
            <w:pPr>
              <w:keepNext w:val="0"/>
              <w:keepLines w:val="0"/>
              <w:widowControl w:val="0"/>
              <w:suppressLineNumbers w:val="0"/>
              <w:spacing w:before="0" w:beforeAutospacing="0" w:after="0" w:afterAutospacing="0" w:line="240" w:lineRule="auto"/>
              <w:ind w:left="0" w:right="0" w:firstLine="0"/>
              <w:jc w:val="left"/>
              <w:rPr>
                <w:rFonts w:hint="eastAsia" w:ascii="宋体" w:hAnsi="宋体" w:eastAsia="宋体" w:cs="微软雅黑"/>
                <w:caps w:val="0"/>
                <w:color w:val="000000"/>
                <w:sz w:val="22"/>
                <w:szCs w:val="22"/>
                <w:vertAlign w:val="baseline"/>
              </w:rPr>
            </w:pP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5943EF08">
            <w:pPr>
              <w:keepNext w:val="0"/>
              <w:keepLines w:val="0"/>
              <w:widowControl w:val="0"/>
              <w:suppressLineNumbers w:val="0"/>
              <w:spacing w:before="0" w:beforeAutospacing="0" w:after="0" w:afterAutospacing="0" w:line="240" w:lineRule="auto"/>
              <w:ind w:left="0" w:right="0" w:firstLine="0"/>
              <w:jc w:val="left"/>
              <w:rPr>
                <w:rFonts w:hint="eastAsia" w:ascii="宋体" w:hAnsi="宋体" w:eastAsia="宋体" w:cs="微软雅黑"/>
                <w:caps w:val="0"/>
                <w:color w:val="000000"/>
                <w:sz w:val="22"/>
                <w:szCs w:val="22"/>
                <w:vertAlign w:val="baseline"/>
              </w:rPr>
            </w:pPr>
          </w:p>
        </w:tc>
      </w:tr>
      <w:tr w14:paraId="259239F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9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2951454E">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26D2B1C8">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广播一体机</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7CAB5B20">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采用17.3寸电容式触摸屏，支持10点触控，A+规工业级液晶屏，支持抽拉一体化鼠标键盘</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最大可支持1500路广播点接入，响应时间≤5秒</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支持实时查询和设置终端设备的IP地址、任务程序、在线情况、音量大小等状态</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微软雅黑" w:hAnsi="微软雅黑" w:eastAsia="微软雅黑" w:cs="微软雅黑"/>
                <w:b w:val="0"/>
                <w:bCs w:val="0"/>
                <w:caps w:val="0"/>
                <w:color w:val="000000"/>
                <w:kern w:val="0"/>
                <w:sz w:val="22"/>
                <w:szCs w:val="22"/>
                <w:vertAlign w:val="baseline"/>
                <w:lang w:val="en-US" w:eastAsia="zh-CN" w:bidi="ar"/>
              </w:rPr>
              <w:t>▲</w:t>
            </w:r>
            <w:r>
              <w:rPr>
                <w:rFonts w:hint="eastAsia" w:ascii="宋体" w:hAnsi="宋体" w:eastAsia="宋体" w:cs="微软雅黑"/>
                <w:b w:val="0"/>
                <w:bCs w:val="0"/>
                <w:caps w:val="0"/>
                <w:color w:val="000000"/>
                <w:kern w:val="0"/>
                <w:sz w:val="22"/>
                <w:szCs w:val="22"/>
                <w:vertAlign w:val="baseline"/>
                <w:lang w:val="en-US" w:eastAsia="zh-CN" w:bidi="ar"/>
              </w:rPr>
              <w:t>同时支持B/S架构和C/S架构两种模式，可通过网页端或客户端登录实现网络终端管理、权限管理、播音管理、多媒体资料管理、录音保存、内部信息传输等功能</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具备媒体库文件夹与文件分级管理功能，可上传音频文件，同步广播管理主机的媒体库数据、同步级联广播平台的媒体库数据，为所有定时广播、实时广播、预案广播提供音频内容</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支持平台端对现场的监听与对讲，支持和网络寻呼话筒、网络音柱音箱进行双向对讲，可对网络音箱音柱进行监听</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支持实时喊话广播与紧急广播，通过主机上接入的采集设备将采集到的音频数据实时播放到前端设备</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具备广播设备定时任务配置功能，并按时间计划模板进行统一管理，并可控制定时任务的使能状态</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定时广播任务关联广播点具备分区广播和定点广播功能，可选择音频文件、TTS、终端采集等多种音源，同时关联多个音频文件，做单次或循环播放</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具备全区、分区消防报警联动功能</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对实时广播、智能播报、定时广播操作、广播监听、广播对讲进行录音</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具备本地音频采集功能，可自定义播放到任意指定终端</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微软雅黑" w:hAnsi="微软雅黑" w:eastAsia="微软雅黑" w:cs="微软雅黑"/>
                <w:b w:val="0"/>
                <w:bCs w:val="0"/>
                <w:caps w:val="0"/>
                <w:color w:val="000000"/>
                <w:kern w:val="0"/>
                <w:sz w:val="22"/>
                <w:szCs w:val="22"/>
                <w:vertAlign w:val="baseline"/>
                <w:lang w:val="en-US" w:eastAsia="zh-CN" w:bidi="ar"/>
              </w:rPr>
              <w:t>▲</w:t>
            </w:r>
            <w:r>
              <w:rPr>
                <w:rFonts w:hint="eastAsia" w:ascii="宋体" w:hAnsi="宋体" w:eastAsia="宋体" w:cs="微软雅黑"/>
                <w:b w:val="0"/>
                <w:bCs w:val="0"/>
                <w:caps w:val="0"/>
                <w:color w:val="000000"/>
                <w:kern w:val="0"/>
                <w:sz w:val="22"/>
                <w:szCs w:val="22"/>
                <w:vertAlign w:val="baseline"/>
                <w:lang w:val="en-US" w:eastAsia="zh-CN" w:bidi="ar"/>
              </w:rPr>
              <w:t>具备离线广播功能，终端内置大容量存储器，支持接收通过管理机或平台远程下发的音频文件、定时广播任务和报警触发任务</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具备文字播报功能，可配置转换语速、音量调节，支持播报配置的效果试听、支持男/女声可选</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支持一键预案广播，将需要进行广播的内容预先设置好，使用时一键触发</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支持将所管理终端一键下发给网络寻呼话筒，在网络寻呼话筒上可以进行一键寻呼</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具备对网络音柱音箱和网络功放进行远程升级功能</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支持对接北斗、GPS定时系统功能，可脱离公共互联网独立进行对广播系统进行时间校准，使所管理设备的时间与主机时间统一</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31988D3F">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C80806F">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7A4E8F68">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0533374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270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44A8D962">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2</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08D23C59">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NTP校时服务器</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5DCAD0E8">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 xml:space="preserve"> 支持GPS、北斗、GLONASS、QZSS多种星座;</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内部集成高精度授时GNSS卫星接收机;</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以太端口支持10/100M，全双工、半双工，支持自动协商机制;</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访问量可达6000次/秒;</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局域网同步授时精度：0.5-2ms;</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支持MD5信息验证;</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支持SERVER和BROADCAST工作模式;</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NMEA0183通过TCP协议传输;</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指示灯：1*电源指示灯，1*PW灯，1*NTP灯</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供电方式：6-24V直流输入，默认12V</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70383257">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CE90A44">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419B9932">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56DACAF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422"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35874253">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3</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446B2322">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网络寻呼话筒</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687E2100">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7寸网络寻呼话筒</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前面板7寸彩色IPS 触摸屏，分辨率：1024 × 600</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支持对指定的分区或终端进行实时广播、喊话或者播放媒体库文件</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可选择一个或者多个终端,设定快捷键对外进行广播；最多可定义F1-F6六种快捷选择</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1路鹅颈喊话输入、1路4段式3.5 mm输入</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1路本地扬声器输出， 1路3.5 mm输出</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设备支持通过账号及密码登录设备</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支持参数配置、账号管理、系统维护等操作</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支持长按一键紧急呼叫（长按3秒）指定终端或者所有终端进行紧急喊话</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40015A36">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7DE18692">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0AB1C7CB">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0C52AD9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837"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228DDA32">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auto"/>
                <w:sz w:val="22"/>
                <w:szCs w:val="22"/>
                <w:vertAlign w:val="baseline"/>
              </w:rPr>
            </w:pPr>
            <w:r>
              <w:rPr>
                <w:rFonts w:hint="eastAsia" w:ascii="宋体" w:hAnsi="宋体" w:eastAsia="宋体" w:cs="微软雅黑"/>
                <w:b w:val="0"/>
                <w:bCs w:val="0"/>
                <w:caps w:val="0"/>
                <w:color w:val="auto"/>
                <w:kern w:val="0"/>
                <w:sz w:val="22"/>
                <w:szCs w:val="22"/>
                <w:vertAlign w:val="baseline"/>
                <w:lang w:val="en-US" w:eastAsia="zh-CN" w:bidi="ar"/>
              </w:rPr>
              <w:t>4</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0720A6A5">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auto"/>
                <w:sz w:val="22"/>
                <w:szCs w:val="22"/>
                <w:vertAlign w:val="baseline"/>
              </w:rPr>
            </w:pPr>
            <w:r>
              <w:rPr>
                <w:rFonts w:hint="eastAsia" w:ascii="宋体" w:hAnsi="宋体" w:eastAsia="宋体" w:cs="微软雅黑"/>
                <w:b w:val="0"/>
                <w:bCs w:val="0"/>
                <w:caps w:val="0"/>
                <w:color w:val="auto"/>
                <w:kern w:val="0"/>
                <w:sz w:val="22"/>
                <w:szCs w:val="22"/>
                <w:vertAlign w:val="baseline"/>
                <w:lang w:val="en-US" w:eastAsia="zh-CN" w:bidi="ar"/>
              </w:rPr>
              <w:t>DVD播放器</w:t>
            </w:r>
          </w:p>
        </w:tc>
        <w:tc>
          <w:tcPr>
            <w:tcW w:w="5472" w:type="dxa"/>
            <w:tcBorders>
              <w:top w:val="single" w:color="000000" w:sz="4" w:space="0"/>
              <w:left w:val="single" w:color="000000" w:sz="4" w:space="0"/>
              <w:bottom w:val="single" w:color="000000" w:sz="4" w:space="0"/>
              <w:right w:val="single" w:color="000000" w:sz="4" w:space="0"/>
            </w:tcBorders>
            <w:noWrap w:val="0"/>
            <w:vAlign w:val="top"/>
          </w:tcPr>
          <w:p w14:paraId="18DD1136">
            <w:pPr>
              <w:keepNext w:val="0"/>
              <w:keepLines w:val="0"/>
              <w:widowControl/>
              <w:suppressLineNumbers w:val="0"/>
              <w:spacing w:before="0" w:beforeAutospacing="0" w:after="0" w:afterAutospacing="0" w:line="240" w:lineRule="auto"/>
              <w:ind w:left="0" w:right="0" w:firstLine="0"/>
              <w:jc w:val="left"/>
              <w:textAlignment w:val="top"/>
              <w:rPr>
                <w:rFonts w:hint="eastAsia" w:ascii="宋体" w:hAnsi="宋体" w:eastAsia="宋体" w:cs="微软雅黑"/>
                <w:caps w:val="0"/>
                <w:color w:val="auto"/>
                <w:kern w:val="0"/>
                <w:sz w:val="22"/>
                <w:szCs w:val="22"/>
                <w:vertAlign w:val="baseline"/>
                <w:lang w:bidi="ar"/>
              </w:rPr>
            </w:pPr>
            <w:r>
              <w:rPr>
                <w:rFonts w:hint="eastAsia" w:ascii="宋体" w:hAnsi="宋体" w:eastAsia="宋体" w:cs="微软雅黑"/>
                <w:b w:val="0"/>
                <w:bCs w:val="0"/>
                <w:caps w:val="0"/>
                <w:color w:val="auto"/>
                <w:kern w:val="0"/>
                <w:sz w:val="22"/>
                <w:szCs w:val="22"/>
                <w:vertAlign w:val="baseline"/>
                <w:lang w:val="en-US" w:eastAsia="zh-CN" w:bidi="ar"/>
              </w:rPr>
              <w:t>DVD机</w:t>
            </w:r>
            <w:r>
              <w:rPr>
                <w:rFonts w:hint="eastAsia" w:ascii="宋体" w:hAnsi="宋体" w:eastAsia="宋体" w:cs="微软雅黑"/>
                <w:b w:val="0"/>
                <w:bCs w:val="0"/>
                <w:caps w:val="0"/>
                <w:color w:val="auto"/>
                <w:kern w:val="0"/>
                <w:sz w:val="22"/>
                <w:szCs w:val="22"/>
                <w:vertAlign w:val="baseline"/>
                <w:lang w:val="en-US" w:eastAsia="zh-CN" w:bidi="ar"/>
              </w:rPr>
              <w:br w:type="textWrapping"/>
            </w:r>
            <w:r>
              <w:rPr>
                <w:rFonts w:hint="eastAsia" w:ascii="宋体" w:hAnsi="宋体" w:eastAsia="宋体" w:cs="微软雅黑"/>
                <w:b w:val="0"/>
                <w:bCs w:val="0"/>
                <w:caps w:val="0"/>
                <w:color w:val="auto"/>
                <w:kern w:val="0"/>
                <w:sz w:val="22"/>
                <w:szCs w:val="22"/>
                <w:vertAlign w:val="baseline"/>
                <w:lang w:val="en-US" w:eastAsia="zh-CN" w:bidi="ar"/>
              </w:rPr>
              <w:t>系统+ESS解码方案，超强的纠错功能。</w:t>
            </w:r>
            <w:r>
              <w:rPr>
                <w:rFonts w:hint="eastAsia" w:ascii="宋体" w:hAnsi="宋体" w:eastAsia="宋体" w:cs="微软雅黑"/>
                <w:b w:val="0"/>
                <w:bCs w:val="0"/>
                <w:caps w:val="0"/>
                <w:color w:val="auto"/>
                <w:kern w:val="0"/>
                <w:sz w:val="22"/>
                <w:szCs w:val="22"/>
                <w:vertAlign w:val="baseline"/>
                <w:lang w:val="en-US" w:eastAsia="zh-CN" w:bidi="ar"/>
              </w:rPr>
              <w:br w:type="textWrapping"/>
            </w:r>
            <w:r>
              <w:rPr>
                <w:rFonts w:hint="eastAsia" w:ascii="宋体" w:hAnsi="宋体" w:eastAsia="宋体" w:cs="微软雅黑"/>
                <w:b w:val="0"/>
                <w:bCs w:val="0"/>
                <w:caps w:val="0"/>
                <w:color w:val="auto"/>
                <w:kern w:val="0"/>
                <w:sz w:val="22"/>
                <w:szCs w:val="22"/>
                <w:vertAlign w:val="baseline"/>
                <w:lang w:val="en-US" w:eastAsia="zh-CN" w:bidi="ar"/>
              </w:rPr>
              <w:t>支持视频输出。</w:t>
            </w:r>
            <w:r>
              <w:rPr>
                <w:rFonts w:hint="eastAsia" w:ascii="宋体" w:hAnsi="宋体" w:eastAsia="宋体" w:cs="微软雅黑"/>
                <w:b w:val="0"/>
                <w:bCs w:val="0"/>
                <w:caps w:val="0"/>
                <w:color w:val="auto"/>
                <w:kern w:val="0"/>
                <w:sz w:val="22"/>
                <w:szCs w:val="22"/>
                <w:vertAlign w:val="baseline"/>
                <w:lang w:val="en-US" w:eastAsia="zh-CN" w:bidi="ar"/>
              </w:rPr>
              <w:br w:type="textWrapping"/>
            </w:r>
            <w:r>
              <w:rPr>
                <w:rFonts w:hint="eastAsia" w:ascii="宋体" w:hAnsi="宋体" w:eastAsia="宋体" w:cs="微软雅黑"/>
                <w:b w:val="0"/>
                <w:bCs w:val="0"/>
                <w:caps w:val="0"/>
                <w:color w:val="auto"/>
                <w:kern w:val="0"/>
                <w:sz w:val="22"/>
                <w:szCs w:val="22"/>
                <w:vertAlign w:val="baseline"/>
                <w:lang w:val="en-US" w:eastAsia="zh-CN" w:bidi="ar"/>
              </w:rPr>
              <w:t>带FM收音调音功能，带蓝牙连接播放。</w:t>
            </w:r>
            <w:r>
              <w:rPr>
                <w:rFonts w:hint="eastAsia" w:ascii="宋体" w:hAnsi="宋体" w:eastAsia="宋体" w:cs="微软雅黑"/>
                <w:b w:val="0"/>
                <w:bCs w:val="0"/>
                <w:caps w:val="0"/>
                <w:color w:val="auto"/>
                <w:kern w:val="0"/>
                <w:sz w:val="22"/>
                <w:szCs w:val="22"/>
                <w:vertAlign w:val="baseline"/>
                <w:lang w:val="en-US" w:eastAsia="zh-CN" w:bidi="ar"/>
              </w:rPr>
              <w:br w:type="textWrapping"/>
            </w:r>
            <w:r>
              <w:rPr>
                <w:rFonts w:hint="eastAsia" w:ascii="宋体" w:hAnsi="宋体" w:eastAsia="宋体" w:cs="微软雅黑"/>
                <w:b w:val="0"/>
                <w:bCs w:val="0"/>
                <w:caps w:val="0"/>
                <w:color w:val="auto"/>
                <w:kern w:val="0"/>
                <w:sz w:val="22"/>
                <w:szCs w:val="22"/>
                <w:vertAlign w:val="baseline"/>
                <w:lang w:val="en-US" w:eastAsia="zh-CN" w:bidi="ar"/>
              </w:rPr>
              <w:t>既有CD/DVD部分，蓝牙USB-MP3、FM调频音频可以独立输出，也有音频混合输出接口。</w:t>
            </w:r>
            <w:r>
              <w:rPr>
                <w:rFonts w:hint="eastAsia" w:ascii="宋体" w:hAnsi="宋体" w:eastAsia="宋体" w:cs="微软雅黑"/>
                <w:b w:val="0"/>
                <w:bCs w:val="0"/>
                <w:caps w:val="0"/>
                <w:color w:val="auto"/>
                <w:kern w:val="0"/>
                <w:sz w:val="22"/>
                <w:szCs w:val="22"/>
                <w:vertAlign w:val="baseline"/>
                <w:lang w:val="en-US" w:eastAsia="zh-CN" w:bidi="ar"/>
              </w:rPr>
              <w:br w:type="textWrapping"/>
            </w:r>
            <w:r>
              <w:rPr>
                <w:rFonts w:hint="eastAsia" w:ascii="宋体" w:hAnsi="宋体" w:eastAsia="宋体" w:cs="微软雅黑"/>
                <w:b w:val="0"/>
                <w:bCs w:val="0"/>
                <w:caps w:val="0"/>
                <w:color w:val="auto"/>
                <w:kern w:val="0"/>
                <w:sz w:val="22"/>
                <w:szCs w:val="22"/>
                <w:vertAlign w:val="baseline"/>
                <w:lang w:val="en-US" w:eastAsia="zh-CN" w:bidi="ar"/>
              </w:rPr>
              <w:t>配有遥控器，可以用遥控操作播放。</w:t>
            </w:r>
            <w:r>
              <w:rPr>
                <w:rFonts w:hint="eastAsia" w:ascii="宋体" w:hAnsi="宋体" w:eastAsia="宋体" w:cs="微软雅黑"/>
                <w:b w:val="0"/>
                <w:bCs w:val="0"/>
                <w:caps w:val="0"/>
                <w:color w:val="auto"/>
                <w:kern w:val="0"/>
                <w:sz w:val="22"/>
                <w:szCs w:val="22"/>
                <w:vertAlign w:val="baseline"/>
                <w:lang w:val="en-US" w:eastAsia="zh-CN" w:bidi="ar"/>
              </w:rPr>
              <w:br w:type="textWrapping"/>
            </w:r>
            <w:r>
              <w:rPr>
                <w:rFonts w:hint="eastAsia" w:ascii="宋体" w:hAnsi="宋体" w:eastAsia="宋体" w:cs="微软雅黑"/>
                <w:b w:val="0"/>
                <w:bCs w:val="0"/>
                <w:caps w:val="0"/>
                <w:color w:val="auto"/>
                <w:kern w:val="0"/>
                <w:sz w:val="22"/>
                <w:szCs w:val="22"/>
                <w:vertAlign w:val="baseline"/>
                <w:lang w:val="en-US" w:eastAsia="zh-CN" w:bidi="ar"/>
              </w:rPr>
              <w:t>带有1个混合输出，总音量电位器频率响应：20-20KHz</w:t>
            </w:r>
            <w:r>
              <w:rPr>
                <w:rFonts w:hint="eastAsia" w:ascii="宋体" w:hAnsi="宋体" w:eastAsia="宋体" w:cs="微软雅黑"/>
                <w:b w:val="0"/>
                <w:bCs w:val="0"/>
                <w:caps w:val="0"/>
                <w:color w:val="auto"/>
                <w:kern w:val="0"/>
                <w:sz w:val="22"/>
                <w:szCs w:val="22"/>
                <w:vertAlign w:val="baseline"/>
                <w:lang w:val="en-US" w:eastAsia="zh-CN" w:bidi="ar"/>
              </w:rPr>
              <w:br w:type="textWrapping"/>
            </w:r>
            <w:r>
              <w:rPr>
                <w:rFonts w:hint="eastAsia" w:ascii="宋体" w:hAnsi="宋体" w:eastAsia="宋体" w:cs="微软雅黑"/>
                <w:b w:val="0"/>
                <w:bCs w:val="0"/>
                <w:caps w:val="0"/>
                <w:color w:val="auto"/>
                <w:kern w:val="0"/>
                <w:sz w:val="22"/>
                <w:szCs w:val="22"/>
                <w:vertAlign w:val="baseline"/>
                <w:lang w:val="en-US" w:eastAsia="zh-CN" w:bidi="ar"/>
              </w:rPr>
              <w:t>播放类型：CD/VCD/ MP3/DVD碟片，U盘播放</w:t>
            </w:r>
            <w:r>
              <w:rPr>
                <w:rFonts w:hint="eastAsia" w:ascii="宋体" w:hAnsi="宋体" w:eastAsia="宋体" w:cs="微软雅黑"/>
                <w:b w:val="0"/>
                <w:bCs w:val="0"/>
                <w:caps w:val="0"/>
                <w:color w:val="auto"/>
                <w:kern w:val="0"/>
                <w:sz w:val="22"/>
                <w:szCs w:val="22"/>
                <w:vertAlign w:val="baseline"/>
                <w:lang w:val="en-US" w:eastAsia="zh-CN" w:bidi="ar"/>
              </w:rPr>
              <w:br w:type="textWrapping"/>
            </w:r>
            <w:r>
              <w:rPr>
                <w:rFonts w:hint="eastAsia" w:ascii="宋体" w:hAnsi="宋体" w:eastAsia="宋体" w:cs="微软雅黑"/>
                <w:b w:val="0"/>
                <w:bCs w:val="0"/>
                <w:caps w:val="0"/>
                <w:color w:val="auto"/>
                <w:kern w:val="0"/>
                <w:sz w:val="22"/>
                <w:szCs w:val="22"/>
                <w:vertAlign w:val="baseline"/>
                <w:lang w:val="en-US" w:eastAsia="zh-CN" w:bidi="ar"/>
              </w:rPr>
              <w:t>播放格式：MP3、WMA、WAV、CD、AAC、FLAC</w:t>
            </w:r>
            <w:r>
              <w:rPr>
                <w:rFonts w:hint="eastAsia" w:ascii="宋体" w:hAnsi="宋体" w:eastAsia="宋体" w:cs="微软雅黑"/>
                <w:b w:val="0"/>
                <w:bCs w:val="0"/>
                <w:caps w:val="0"/>
                <w:color w:val="auto"/>
                <w:kern w:val="0"/>
                <w:sz w:val="22"/>
                <w:szCs w:val="22"/>
                <w:vertAlign w:val="baseline"/>
                <w:lang w:val="en-US" w:eastAsia="zh-CN" w:bidi="ar"/>
              </w:rPr>
              <w:br w:type="textWrapping"/>
            </w:r>
            <w:r>
              <w:rPr>
                <w:rFonts w:hint="eastAsia" w:ascii="宋体" w:hAnsi="宋体" w:eastAsia="宋体" w:cs="微软雅黑"/>
                <w:b w:val="0"/>
                <w:bCs w:val="0"/>
                <w:caps w:val="0"/>
                <w:color w:val="auto"/>
                <w:kern w:val="0"/>
                <w:sz w:val="22"/>
                <w:szCs w:val="22"/>
                <w:vertAlign w:val="baseline"/>
                <w:lang w:val="en-US" w:eastAsia="zh-CN" w:bidi="ar"/>
              </w:rPr>
              <w:t>动态范围：90dB</w:t>
            </w:r>
            <w:r>
              <w:rPr>
                <w:rFonts w:hint="eastAsia" w:ascii="宋体" w:hAnsi="宋体" w:eastAsia="宋体" w:cs="微软雅黑"/>
                <w:b w:val="0"/>
                <w:bCs w:val="0"/>
                <w:caps w:val="0"/>
                <w:color w:val="auto"/>
                <w:kern w:val="0"/>
                <w:sz w:val="22"/>
                <w:szCs w:val="22"/>
                <w:vertAlign w:val="baseline"/>
                <w:lang w:val="en-US" w:eastAsia="zh-CN" w:bidi="ar"/>
              </w:rPr>
              <w:br w:type="textWrapping"/>
            </w:r>
            <w:r>
              <w:rPr>
                <w:rFonts w:hint="eastAsia" w:ascii="宋体" w:hAnsi="宋体" w:eastAsia="宋体" w:cs="微软雅黑"/>
                <w:b w:val="0"/>
                <w:bCs w:val="0"/>
                <w:caps w:val="0"/>
                <w:color w:val="auto"/>
                <w:kern w:val="0"/>
                <w:sz w:val="22"/>
                <w:szCs w:val="22"/>
                <w:vertAlign w:val="baseline"/>
                <w:lang w:val="en-US" w:eastAsia="zh-CN" w:bidi="ar"/>
              </w:rPr>
              <w:t>音频输出：1KΩ 0-1.5V 非平衡</w:t>
            </w:r>
            <w:r>
              <w:rPr>
                <w:rFonts w:hint="eastAsia" w:ascii="宋体" w:hAnsi="宋体" w:eastAsia="宋体" w:cs="微软雅黑"/>
                <w:b w:val="0"/>
                <w:bCs w:val="0"/>
                <w:caps w:val="0"/>
                <w:color w:val="auto"/>
                <w:kern w:val="0"/>
                <w:sz w:val="22"/>
                <w:szCs w:val="22"/>
                <w:vertAlign w:val="baseline"/>
                <w:lang w:val="en-US" w:eastAsia="zh-CN" w:bidi="ar"/>
              </w:rPr>
              <w:br w:type="textWrapping"/>
            </w:r>
            <w:r>
              <w:rPr>
                <w:rFonts w:hint="eastAsia" w:ascii="宋体" w:hAnsi="宋体" w:eastAsia="宋体" w:cs="微软雅黑"/>
                <w:b w:val="0"/>
                <w:bCs w:val="0"/>
                <w:caps w:val="0"/>
                <w:color w:val="auto"/>
                <w:kern w:val="0"/>
                <w:sz w:val="22"/>
                <w:szCs w:val="22"/>
                <w:vertAlign w:val="baseline"/>
                <w:lang w:val="en-US" w:eastAsia="zh-CN" w:bidi="ar"/>
              </w:rPr>
              <w:t xml:space="preserve">音频失真度：0.05%                                                                                                                                                                        </w:t>
            </w:r>
            <w:r>
              <w:rPr>
                <w:rFonts w:hint="eastAsia" w:ascii="宋体" w:hAnsi="宋体" w:eastAsia="宋体" w:cs="微软雅黑"/>
                <w:b w:val="0"/>
                <w:bCs w:val="0"/>
                <w:caps w:val="0"/>
                <w:color w:val="auto"/>
                <w:kern w:val="0"/>
                <w:sz w:val="22"/>
                <w:szCs w:val="22"/>
                <w:vertAlign w:val="baseline"/>
                <w:lang w:val="en-US" w:eastAsia="zh-CN" w:bidi="ar"/>
              </w:rPr>
              <w:br w:type="textWrapping"/>
            </w:r>
            <w:r>
              <w:rPr>
                <w:rFonts w:hint="eastAsia" w:ascii="宋体" w:hAnsi="宋体" w:eastAsia="宋体" w:cs="微软雅黑"/>
                <w:b w:val="0"/>
                <w:bCs w:val="0"/>
                <w:caps w:val="0"/>
                <w:color w:val="auto"/>
                <w:kern w:val="0"/>
                <w:sz w:val="22"/>
                <w:szCs w:val="22"/>
                <w:vertAlign w:val="baseline"/>
                <w:lang w:val="en-US" w:eastAsia="zh-CN" w:bidi="ar"/>
              </w:rPr>
              <w:t>信噪比：92dB</w:t>
            </w:r>
            <w:r>
              <w:rPr>
                <w:rFonts w:hint="eastAsia" w:ascii="宋体" w:hAnsi="宋体" w:eastAsia="宋体" w:cs="微软雅黑"/>
                <w:b w:val="0"/>
                <w:bCs w:val="0"/>
                <w:caps w:val="0"/>
                <w:color w:val="auto"/>
                <w:kern w:val="0"/>
                <w:sz w:val="22"/>
                <w:szCs w:val="22"/>
                <w:vertAlign w:val="baseline"/>
                <w:lang w:val="en-US" w:eastAsia="zh-CN" w:bidi="ar"/>
              </w:rPr>
              <w:br w:type="textWrapping"/>
            </w:r>
            <w:r>
              <w:rPr>
                <w:rFonts w:hint="eastAsia" w:ascii="宋体" w:hAnsi="宋体" w:eastAsia="宋体" w:cs="微软雅黑"/>
                <w:b w:val="0"/>
                <w:bCs w:val="0"/>
                <w:caps w:val="0"/>
                <w:color w:val="auto"/>
                <w:kern w:val="0"/>
                <w:sz w:val="22"/>
                <w:szCs w:val="22"/>
                <w:vertAlign w:val="baseline"/>
                <w:lang w:val="en-US" w:eastAsia="zh-CN" w:bidi="ar"/>
              </w:rPr>
              <w:t>保护：AC FUSE×1A</w:t>
            </w:r>
            <w:r>
              <w:rPr>
                <w:rFonts w:hint="eastAsia" w:ascii="宋体" w:hAnsi="宋体" w:eastAsia="宋体" w:cs="微软雅黑"/>
                <w:b w:val="0"/>
                <w:bCs w:val="0"/>
                <w:caps w:val="0"/>
                <w:color w:val="auto"/>
                <w:kern w:val="0"/>
                <w:sz w:val="22"/>
                <w:szCs w:val="22"/>
                <w:vertAlign w:val="baseline"/>
                <w:lang w:val="en-US" w:eastAsia="zh-CN" w:bidi="ar"/>
              </w:rPr>
              <w:br w:type="textWrapping"/>
            </w:r>
            <w:r>
              <w:rPr>
                <w:rFonts w:hint="eastAsia" w:ascii="宋体" w:hAnsi="宋体" w:eastAsia="宋体" w:cs="微软雅黑"/>
                <w:b w:val="0"/>
                <w:bCs w:val="0"/>
                <w:caps w:val="0"/>
                <w:color w:val="auto"/>
                <w:kern w:val="0"/>
                <w:sz w:val="22"/>
                <w:szCs w:val="22"/>
                <w:vertAlign w:val="baseline"/>
                <w:lang w:val="en-US" w:eastAsia="zh-CN" w:bidi="ar"/>
              </w:rPr>
              <w:t xml:space="preserve">工作电压：AC 220V/50Hz                                                                                                                                              </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78B2CED6">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auto"/>
                <w:sz w:val="22"/>
                <w:szCs w:val="22"/>
                <w:vertAlign w:val="baseline"/>
              </w:rPr>
            </w:pPr>
            <w:r>
              <w:rPr>
                <w:rFonts w:hint="eastAsia" w:ascii="宋体" w:hAnsi="宋体" w:eastAsia="宋体" w:cs="微软雅黑"/>
                <w:b w:val="0"/>
                <w:bCs w:val="0"/>
                <w:caps w:val="0"/>
                <w:color w:val="auto"/>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067CECC7">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auto"/>
                <w:sz w:val="22"/>
                <w:szCs w:val="22"/>
                <w:vertAlign w:val="baseline"/>
              </w:rPr>
            </w:pPr>
            <w:r>
              <w:rPr>
                <w:rFonts w:hint="eastAsia" w:ascii="宋体" w:hAnsi="宋体" w:eastAsia="宋体" w:cs="微软雅黑"/>
                <w:b w:val="0"/>
                <w:bCs w:val="0"/>
                <w:caps w:val="0"/>
                <w:color w:val="auto"/>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76185D53">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auto"/>
                <w:kern w:val="0"/>
                <w:sz w:val="22"/>
                <w:szCs w:val="22"/>
                <w:vertAlign w:val="baseline"/>
                <w:lang w:bidi="ar"/>
              </w:rPr>
            </w:pPr>
            <w:r>
              <w:rPr>
                <w:rFonts w:hint="eastAsia" w:ascii="宋体" w:hAnsi="宋体" w:eastAsia="宋体" w:cs="微软雅黑"/>
                <w:b w:val="0"/>
                <w:bCs w:val="0"/>
                <w:caps w:val="0"/>
                <w:color w:val="auto"/>
                <w:kern w:val="0"/>
                <w:sz w:val="22"/>
                <w:szCs w:val="22"/>
                <w:vertAlign w:val="baseline"/>
                <w:lang w:val="en-US" w:eastAsia="zh-CN" w:bidi="ar"/>
              </w:rPr>
              <w:t>工业</w:t>
            </w:r>
          </w:p>
        </w:tc>
      </w:tr>
      <w:tr w14:paraId="50E632F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405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6D9B1844">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5</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275879C1">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数字调谐器</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0041321F">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1U铝合金面板，人性化的抽手设计，美观实用。</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微电脑控制，轻触式按键操作，高亮度动态LED显示，清晰醒目。</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采用进口数码机芯，吸入式防震设备，超强纠错功能。</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自动播放控制，全数码伺服。</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带USB接口，支持1G至32GU盘，支持MP3、WMA、FLAC等格式播放。可播放：CD/VCD/MP3/DVD碟片，U盘播放。</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1路音频信号左右声道（L/R）输出。</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频率响应：20-20KHz</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播放类型：CD/VCD/MP3/DVD碟片，U盘播放</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播放格式：MP3、WMA、CD、FLAC</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动态范围：90dB</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音频输出：1KΩ0-1.5V非平衡</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音频失真度：0.05%</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信噪比：92dB</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保护：ACFUSE×1A</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工作电压：AC220V/50Hz   </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0B7E2CB1">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6019E418">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7343A61E">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284BEBE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297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63486389">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6</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7774A50E">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钟声提示话筒</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66C9143D">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话筒杆：采集现场声音；</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扬声器：还原本地声音；</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广播按键：按BROADCAST键，指示灯亮，话筒会自动播放开始提示音，然后即可进行语音广播；结束时，再按BROADCAST键，结束提示音播放完毕后，话筒进入待机状态。</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换能方式：电容式</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频率响应：40HZ－16KHz</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指向性：心形指向</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输出阻抗：200欧姆</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灵敏度：－42DB</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供应电压：DV9V-12V</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频率响应：40HZ－16KHz</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4A8E1D5C">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2</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3D4A2425">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57E8DCD1">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0689816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788"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29BF3E68">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7</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44EF4738">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前置放大器</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5F19965E">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标准(2U)机柜式设计，黑色喷砂面板</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具有5路话筒(MIC)输入，第1路话筒(MIC1)具有优先级。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3线路标准信号(AUX输入。2路EMC线路RCA输入，2路EMC话筒MIC输入。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MIC1和EMC最高优先权限功能可通过拨动开关选择。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MIC2、3、4、5和AUX1、2、3可交叉混合输出。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话筒(MIC)输入和线路(AUX输入可独立调节，设有总音量调节，高低音调节，具有默音调节和EMC输入增益调节。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灵敏度：AUX1/AUX2/AUX3输入灵敏度：-10dB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频率响应：20Hz-20KHz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工作电源：220V~50Hz F1AL250V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电源功耗：15W </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196C7C86">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3FCA667E">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18FCB6F8">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641F82E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174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448F49A7">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8</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2404A3DE">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网络音频采集器</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1D4C13DC">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 xml:space="preserve">网络音频采集器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前面板7寸彩色IPS 触摸屏，分辨率：1024 × 600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支持对指定的分区或终端进行实时广播、喊话或者播放媒体库文件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可选择一个或者多个终端,设定快捷键对外进行广播；最多可定义F1-F6六种快捷选择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1路4段式3.5mm输入、2路6.5mm音频输入接口、1路RCA输入接口、蓝牙输入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1路本地扬声器输出， 1路3.5mm输出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设备支持通过账号及密码登录设备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支持参数配置、账号管理、系统维护等操作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支持长按一键紧急呼叫（长按3秒）指定终端或者所有终端进行紧急喊话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支持通过手机蓝牙广播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支持通过遥控器进行远程操作快捷广播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音频编码及码率：G.711U，64 Kbps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采样位宽支持16bits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回声消除：支持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系统兼容性：支持嵌入式操作系统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蓝牙：支持蓝牙BT5.0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网络：1个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本地存储：支持TF卡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显示屏：IPS，7英寸，1024 × 600，支持触摸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按键类型：实体按键+触摸按键  </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37D63F7F">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29F60888">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710CABE8">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5EF69C3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254"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73D47FC1">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9</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72C3AE05">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8路电源时序器</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7BF6B573">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双2寸彩色液晶智能显示窗，可实时显示当前电压、电流，日期时间，通道开关状态,主机带有系统设置、保护设置、时间设置、通道设置4个功能设置模式，可直接在智能显示窗上进行查看操作内容。</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8路开关通道输出，每路延时开启和关闭时间可自由设置（范围0-999秒）。</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支持面板Lock锁定功能，防止误操作。</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内置时钟芯片，可根据日期时间定时设置自动开关机,无需人为操作，支持脱机模式，在脱离服务器时，也能保证定时任务按时执行。</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配置1路485凤凰端子串口，支持多台设备级联顺序控制，级联自动检测设置。</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具有1个10M/100M网口，支持网络远程固件升级，多台设备通过级联后只需一路网口即可接入局域网通过软件控制</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具有1路RS232接口，支持TCP/IP、RS232协议在电脑上控制，具有开放的第三方接口协议，支持第三方设备对接控制。</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支持PC客户端软件管理，支持局域网下安卓手机APP进行移动端软件管理</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支持对每一路电源输出进行定时编程，实现全自动无人值守的电源管理。</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支持手动电源管理，独立控制每一路电源输出，一键全开或全关等。</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支持顺序打开或关闭电源功能，支持设置电源的开关时序间隔。</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02019AF7">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2237EAD9">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476163A2">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00A54AB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405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3CED79D8">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10</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1BB62E1F">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网络监听音箱</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6F8CE5D9">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10W网络音箱</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一体化壁挂式设计，网络音频解码、高性能D类功放及5.25寸全频喇叭三合一</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采用高速工业级双核芯片，内置NOR Flash+EMMC双存储，支持系统双备份，系统稳定可靠</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支持安全启动、用户登录锁定机制及密码复杂度提示，支持安全审计日志事后可追溯，提升系统网络安全</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支持通过IP网络（局域网/公网），远程平台批量统一管理+本地WEB单机灵活配置，同时支持本地音频采集（蓝牙/3.5 mm音频输入）播放，适配各类场景应用</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支持NTP自动校时，系统时间与服务器自动同步，确保多设备播放同步和定时任务准时执行</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支持TTS语音合成和文本广播，自然流畅的标准男女双声可选</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支持广播混音、优先级灵活配置</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支持监听与对讲</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麦克风类型：MEMS</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阵列数量：2</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频率响应：100 Hz~20 kHz</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灵敏度：-42 dBV/Pa</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采样率：48 kHz</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73DF9424">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24E6EFE3">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7F341A5B">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774F495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9"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511962E2">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11</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6842BD05">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主备功率切换器</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3DA6B1E5">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标准（2U）机柜式设计，黑色喷砂面板，高档大气。</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轻触式按键操作，LED指示灯显示工作状态，一目了然。</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具有4路完全相同的独立切换通道，供4台主功放和4台备用功放通道切换。</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自动检测声频功放故障并在主功放和备功放之间自动切换，自动切换时间小于0.1S。</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可手动切换主功放和备功放。有4组功率信号输出端子，接扬声器。</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输入电源：AC220V±10%50-60Hz</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输出通道：四组CH1～CH4</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音频输出：主功放输出口：MAIN1、MAIN2、MAIN3、MAIN4</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备用功放输出口：SUB1、SUB2、SUB3、SUB4</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08B5BA5C">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7471DECE">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4D453187">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669A028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9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21F6BED2">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12</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34FFF577">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2000W纯后级功放</w:t>
            </w:r>
          </w:p>
        </w:tc>
        <w:tc>
          <w:tcPr>
            <w:tcW w:w="5472" w:type="dxa"/>
            <w:tcBorders>
              <w:top w:val="single" w:color="000000" w:sz="4" w:space="0"/>
              <w:left w:val="single" w:color="000000" w:sz="4" w:space="0"/>
              <w:bottom w:val="single" w:color="000000" w:sz="4" w:space="0"/>
              <w:right w:val="single" w:color="000000" w:sz="4" w:space="0"/>
            </w:tcBorders>
            <w:noWrap w:val="0"/>
            <w:vAlign w:val="top"/>
          </w:tcPr>
          <w:p w14:paraId="39C6DA75">
            <w:pPr>
              <w:keepNext w:val="0"/>
              <w:keepLines w:val="0"/>
              <w:widowControl/>
              <w:suppressLineNumbers w:val="0"/>
              <w:spacing w:before="0" w:beforeAutospacing="0" w:after="0" w:afterAutospacing="0" w:line="240" w:lineRule="auto"/>
              <w:ind w:left="0" w:right="0" w:firstLine="0"/>
              <w:jc w:val="left"/>
              <w:textAlignment w:val="top"/>
              <w:rPr>
                <w:rFonts w:hint="eastAsia" w:ascii="宋体" w:hAnsi="宋体" w:eastAsia="宋体" w:cs="宋体"/>
                <w:caps w:val="0"/>
                <w:color w:val="000000"/>
                <w:sz w:val="22"/>
                <w:szCs w:val="22"/>
                <w:vertAlign w:val="baseline"/>
                <w:lang w:bidi="ar"/>
              </w:rPr>
            </w:pPr>
            <w:r>
              <w:rPr>
                <w:rFonts w:hint="eastAsia" w:ascii="宋体" w:hAnsi="宋体" w:eastAsia="宋体" w:cs="宋体"/>
                <w:b w:val="0"/>
                <w:bCs w:val="0"/>
                <w:caps w:val="0"/>
                <w:color w:val="000000"/>
                <w:kern w:val="2"/>
                <w:sz w:val="22"/>
                <w:szCs w:val="22"/>
                <w:u w:val="none"/>
                <w:vertAlign w:val="baseline"/>
                <w:lang w:val="en-US" w:eastAsia="zh-CN" w:bidi="ar"/>
              </w:rPr>
              <w:t>两路线路输入，第二组PIN2可作为输出级联下一台功放。</w:t>
            </w:r>
            <w:r>
              <w:rPr>
                <w:rFonts w:hint="eastAsia" w:ascii="宋体" w:hAnsi="宋体" w:eastAsia="宋体" w:cs="宋体"/>
                <w:b w:val="0"/>
                <w:bCs w:val="0"/>
                <w:caps w:val="0"/>
                <w:color w:val="000000"/>
                <w:kern w:val="2"/>
                <w:sz w:val="22"/>
                <w:szCs w:val="22"/>
                <w:u w:val="none"/>
                <w:vertAlign w:val="baseline"/>
                <w:lang w:val="en-US" w:eastAsia="zh-CN" w:bidi="ar"/>
              </w:rPr>
              <w:br w:type="textWrapping"/>
            </w:r>
            <w:r>
              <w:rPr>
                <w:rFonts w:hint="eastAsia" w:ascii="宋体" w:hAnsi="宋体" w:eastAsia="宋体" w:cs="宋体"/>
                <w:b w:val="0"/>
                <w:bCs w:val="0"/>
                <w:caps w:val="0"/>
                <w:color w:val="000000"/>
                <w:kern w:val="2"/>
                <w:sz w:val="22"/>
                <w:szCs w:val="22"/>
                <w:u w:val="none"/>
                <w:vertAlign w:val="baseline"/>
                <w:lang w:val="en-US" w:eastAsia="zh-CN" w:bidi="ar"/>
              </w:rPr>
              <w:t>设有热保护、过流、过压、短路保护等功能。</w:t>
            </w:r>
            <w:r>
              <w:rPr>
                <w:rFonts w:hint="eastAsia" w:ascii="宋体" w:hAnsi="宋体" w:eastAsia="宋体" w:cs="宋体"/>
                <w:b w:val="0"/>
                <w:bCs w:val="0"/>
                <w:caps w:val="0"/>
                <w:color w:val="000000"/>
                <w:kern w:val="2"/>
                <w:sz w:val="22"/>
                <w:szCs w:val="22"/>
                <w:u w:val="none"/>
                <w:vertAlign w:val="baseline"/>
                <w:lang w:val="en-US" w:eastAsia="zh-CN" w:bidi="ar"/>
              </w:rPr>
              <w:br w:type="textWrapping"/>
            </w:r>
            <w:r>
              <w:rPr>
                <w:rFonts w:hint="eastAsia" w:ascii="宋体" w:hAnsi="宋体" w:eastAsia="宋体" w:cs="宋体"/>
                <w:b w:val="0"/>
                <w:bCs w:val="0"/>
                <w:caps w:val="0"/>
                <w:color w:val="000000"/>
                <w:kern w:val="2"/>
                <w:sz w:val="22"/>
                <w:szCs w:val="22"/>
                <w:u w:val="none"/>
                <w:vertAlign w:val="baseline"/>
                <w:lang w:val="en-US" w:eastAsia="zh-CN" w:bidi="ar"/>
              </w:rPr>
              <w:t>支持多种指示灯显示（电源、信号、峰值、故障）。</w:t>
            </w:r>
            <w:r>
              <w:rPr>
                <w:rFonts w:hint="eastAsia" w:ascii="宋体" w:hAnsi="宋体" w:eastAsia="宋体" w:cs="宋体"/>
                <w:b w:val="0"/>
                <w:bCs w:val="0"/>
                <w:caps w:val="0"/>
                <w:color w:val="000000"/>
                <w:kern w:val="2"/>
                <w:sz w:val="22"/>
                <w:szCs w:val="22"/>
                <w:u w:val="none"/>
                <w:vertAlign w:val="baseline"/>
                <w:lang w:val="en-US" w:eastAsia="zh-CN" w:bidi="ar"/>
              </w:rPr>
              <w:br w:type="textWrapping"/>
            </w:r>
            <w:r>
              <w:rPr>
                <w:rFonts w:hint="eastAsia" w:ascii="宋体" w:hAnsi="宋体" w:eastAsia="宋体" w:cs="宋体"/>
                <w:b w:val="0"/>
                <w:bCs w:val="0"/>
                <w:caps w:val="0"/>
                <w:color w:val="000000"/>
                <w:kern w:val="2"/>
                <w:sz w:val="22"/>
                <w:szCs w:val="22"/>
                <w:u w:val="none"/>
                <w:vertAlign w:val="baseline"/>
                <w:lang w:val="en-US" w:eastAsia="zh-CN" w:bidi="ar"/>
              </w:rPr>
              <w:t>采用风机强制散热结构，可以让机器长时间工作。</w:t>
            </w:r>
            <w:r>
              <w:rPr>
                <w:rFonts w:hint="eastAsia" w:ascii="宋体" w:hAnsi="宋体" w:eastAsia="宋体" w:cs="宋体"/>
                <w:b w:val="0"/>
                <w:bCs w:val="0"/>
                <w:caps w:val="0"/>
                <w:color w:val="000000"/>
                <w:kern w:val="2"/>
                <w:sz w:val="22"/>
                <w:szCs w:val="22"/>
                <w:u w:val="none"/>
                <w:vertAlign w:val="baseline"/>
                <w:lang w:val="en-US" w:eastAsia="zh-CN" w:bidi="ar"/>
              </w:rPr>
              <w:br w:type="textWrapping"/>
            </w:r>
            <w:r>
              <w:rPr>
                <w:rFonts w:hint="eastAsia" w:ascii="宋体" w:hAnsi="宋体" w:eastAsia="宋体" w:cs="宋体"/>
                <w:b w:val="0"/>
                <w:bCs w:val="0"/>
                <w:caps w:val="0"/>
                <w:color w:val="000000"/>
                <w:kern w:val="2"/>
                <w:sz w:val="22"/>
                <w:szCs w:val="22"/>
                <w:u w:val="none"/>
                <w:vertAlign w:val="baseline"/>
                <w:lang w:val="en-US" w:eastAsia="zh-CN" w:bidi="ar"/>
              </w:rPr>
              <w:t>本机有热保护、过流、过压、短路保护，开机延时等功能。</w:t>
            </w:r>
            <w:r>
              <w:rPr>
                <w:rFonts w:hint="eastAsia" w:ascii="宋体" w:hAnsi="宋体" w:eastAsia="宋体" w:cs="宋体"/>
                <w:b w:val="0"/>
                <w:bCs w:val="0"/>
                <w:caps w:val="0"/>
                <w:color w:val="000000"/>
                <w:kern w:val="2"/>
                <w:sz w:val="22"/>
                <w:szCs w:val="22"/>
                <w:u w:val="none"/>
                <w:vertAlign w:val="baseline"/>
                <w:lang w:val="en-US" w:eastAsia="zh-CN" w:bidi="ar"/>
              </w:rPr>
              <w:br w:type="textWrapping"/>
            </w:r>
            <w:r>
              <w:rPr>
                <w:rFonts w:hint="eastAsia" w:ascii="宋体" w:hAnsi="宋体" w:eastAsia="宋体" w:cs="宋体"/>
                <w:b w:val="0"/>
                <w:bCs w:val="0"/>
                <w:caps w:val="0"/>
                <w:color w:val="000000"/>
                <w:kern w:val="2"/>
                <w:sz w:val="22"/>
                <w:szCs w:val="22"/>
                <w:u w:val="none"/>
                <w:vertAlign w:val="baseline"/>
                <w:lang w:val="en-US" w:eastAsia="zh-CN" w:bidi="ar"/>
              </w:rPr>
              <w:t>音频处理 信噪比 ≥85dB</w:t>
            </w:r>
            <w:r>
              <w:rPr>
                <w:rFonts w:hint="eastAsia" w:ascii="宋体" w:hAnsi="宋体" w:eastAsia="宋体" w:cs="宋体"/>
                <w:b w:val="0"/>
                <w:bCs w:val="0"/>
                <w:caps w:val="0"/>
                <w:color w:val="000000"/>
                <w:kern w:val="2"/>
                <w:sz w:val="22"/>
                <w:szCs w:val="22"/>
                <w:u w:val="none"/>
                <w:vertAlign w:val="baseline"/>
                <w:lang w:val="en-US" w:eastAsia="zh-CN" w:bidi="ar"/>
              </w:rPr>
              <w:br w:type="textWrapping"/>
            </w:r>
            <w:r>
              <w:rPr>
                <w:rFonts w:hint="eastAsia" w:ascii="宋体" w:hAnsi="宋体" w:eastAsia="宋体" w:cs="宋体"/>
                <w:b w:val="0"/>
                <w:bCs w:val="0"/>
                <w:caps w:val="0"/>
                <w:color w:val="000000"/>
                <w:kern w:val="2"/>
                <w:sz w:val="22"/>
                <w:szCs w:val="22"/>
                <w:u w:val="none"/>
                <w:vertAlign w:val="baseline"/>
                <w:lang w:val="en-US" w:eastAsia="zh-CN" w:bidi="ar"/>
              </w:rPr>
              <w:t>音频输出</w:t>
            </w:r>
            <w:r>
              <w:rPr>
                <w:rFonts w:hint="eastAsia" w:ascii="宋体" w:hAnsi="宋体" w:eastAsia="宋体" w:cs="宋体"/>
                <w:b w:val="0"/>
                <w:bCs w:val="0"/>
                <w:caps w:val="0"/>
                <w:color w:val="000000"/>
                <w:kern w:val="2"/>
                <w:sz w:val="22"/>
                <w:szCs w:val="22"/>
                <w:u w:val="none"/>
                <w:vertAlign w:val="baseline"/>
                <w:lang w:val="en-US" w:eastAsia="zh-CN" w:bidi="ar"/>
              </w:rPr>
              <w:br w:type="textWrapping"/>
            </w:r>
            <w:r>
              <w:rPr>
                <w:rFonts w:hint="eastAsia" w:ascii="宋体" w:hAnsi="宋体" w:eastAsia="宋体" w:cs="宋体"/>
                <w:b w:val="0"/>
                <w:bCs w:val="0"/>
                <w:caps w:val="0"/>
                <w:color w:val="000000"/>
                <w:kern w:val="2"/>
                <w:sz w:val="22"/>
                <w:szCs w:val="22"/>
                <w:u w:val="none"/>
                <w:vertAlign w:val="baseline"/>
                <w:lang w:val="en-US" w:eastAsia="zh-CN" w:bidi="ar"/>
              </w:rPr>
              <w:t>额定功率 2000W</w:t>
            </w:r>
            <w:r>
              <w:rPr>
                <w:rFonts w:hint="eastAsia" w:ascii="宋体" w:hAnsi="宋体" w:eastAsia="宋体" w:cs="宋体"/>
                <w:b w:val="0"/>
                <w:bCs w:val="0"/>
                <w:caps w:val="0"/>
                <w:color w:val="000000"/>
                <w:kern w:val="2"/>
                <w:sz w:val="22"/>
                <w:szCs w:val="22"/>
                <w:u w:val="none"/>
                <w:vertAlign w:val="baseline"/>
                <w:lang w:val="en-US" w:eastAsia="zh-CN" w:bidi="ar"/>
              </w:rPr>
              <w:br w:type="textWrapping"/>
            </w:r>
            <w:r>
              <w:rPr>
                <w:rFonts w:hint="eastAsia" w:ascii="宋体" w:hAnsi="宋体" w:eastAsia="宋体" w:cs="宋体"/>
                <w:b w:val="0"/>
                <w:bCs w:val="0"/>
                <w:caps w:val="0"/>
                <w:color w:val="000000"/>
                <w:kern w:val="2"/>
                <w:sz w:val="22"/>
                <w:szCs w:val="22"/>
                <w:u w:val="none"/>
                <w:vertAlign w:val="baseline"/>
                <w:lang w:val="en-US" w:eastAsia="zh-CN" w:bidi="ar"/>
              </w:rPr>
              <w:t>总谐波失真THD</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6FA1D764">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4</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4AADC55C">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680D633B">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3479149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23"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08C29C0E">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13</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43CD4A58">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2000W纯后级功放</w:t>
            </w:r>
          </w:p>
        </w:tc>
        <w:tc>
          <w:tcPr>
            <w:tcW w:w="5472" w:type="dxa"/>
            <w:tcBorders>
              <w:top w:val="single" w:color="000000" w:sz="4" w:space="0"/>
              <w:left w:val="single" w:color="000000" w:sz="4" w:space="0"/>
              <w:bottom w:val="single" w:color="000000" w:sz="4" w:space="0"/>
              <w:right w:val="single" w:color="000000" w:sz="4" w:space="0"/>
            </w:tcBorders>
            <w:noWrap w:val="0"/>
            <w:vAlign w:val="top"/>
          </w:tcPr>
          <w:p w14:paraId="2C108E76">
            <w:pPr>
              <w:keepNext w:val="0"/>
              <w:keepLines w:val="0"/>
              <w:widowControl/>
              <w:suppressLineNumbers w:val="0"/>
              <w:spacing w:before="0" w:beforeAutospacing="0" w:after="0" w:afterAutospacing="0" w:line="240" w:lineRule="auto"/>
              <w:ind w:left="0" w:right="0" w:firstLine="0"/>
              <w:jc w:val="left"/>
              <w:textAlignment w:val="top"/>
              <w:rPr>
                <w:rFonts w:hint="eastAsia" w:ascii="宋体" w:hAnsi="宋体" w:eastAsia="宋体" w:cs="宋体"/>
                <w:caps w:val="0"/>
                <w:color w:val="000000"/>
                <w:sz w:val="22"/>
                <w:szCs w:val="22"/>
                <w:vertAlign w:val="baseline"/>
                <w:lang w:bidi="ar"/>
              </w:rPr>
            </w:pPr>
            <w:r>
              <w:rPr>
                <w:rFonts w:hint="eastAsia" w:ascii="宋体" w:hAnsi="宋体" w:eastAsia="宋体" w:cs="宋体"/>
                <w:b w:val="0"/>
                <w:bCs w:val="0"/>
                <w:caps w:val="0"/>
                <w:color w:val="000000"/>
                <w:kern w:val="2"/>
                <w:sz w:val="22"/>
                <w:szCs w:val="22"/>
                <w:u w:val="none"/>
                <w:vertAlign w:val="baseline"/>
                <w:lang w:val="en-US" w:eastAsia="zh-CN" w:bidi="ar"/>
              </w:rPr>
              <w:t>两路线路输入，第二组PIN2可作为输出级联下一台功放。</w:t>
            </w:r>
            <w:r>
              <w:rPr>
                <w:rFonts w:hint="eastAsia" w:ascii="宋体" w:hAnsi="宋体" w:eastAsia="宋体" w:cs="宋体"/>
                <w:b w:val="0"/>
                <w:bCs w:val="0"/>
                <w:caps w:val="0"/>
                <w:color w:val="000000"/>
                <w:kern w:val="2"/>
                <w:sz w:val="22"/>
                <w:szCs w:val="22"/>
                <w:u w:val="none"/>
                <w:vertAlign w:val="baseline"/>
                <w:lang w:val="en-US" w:eastAsia="zh-CN" w:bidi="ar"/>
              </w:rPr>
              <w:br w:type="textWrapping"/>
            </w:r>
            <w:r>
              <w:rPr>
                <w:rFonts w:hint="eastAsia" w:ascii="宋体" w:hAnsi="宋体" w:eastAsia="宋体" w:cs="宋体"/>
                <w:b w:val="0"/>
                <w:bCs w:val="0"/>
                <w:caps w:val="0"/>
                <w:color w:val="000000"/>
                <w:kern w:val="2"/>
                <w:sz w:val="22"/>
                <w:szCs w:val="22"/>
                <w:u w:val="none"/>
                <w:vertAlign w:val="baseline"/>
                <w:lang w:val="en-US" w:eastAsia="zh-CN" w:bidi="ar"/>
              </w:rPr>
              <w:t>设有热保护、过流、过压、短路保护等功能。</w:t>
            </w:r>
            <w:r>
              <w:rPr>
                <w:rFonts w:hint="eastAsia" w:ascii="宋体" w:hAnsi="宋体" w:eastAsia="宋体" w:cs="宋体"/>
                <w:b w:val="0"/>
                <w:bCs w:val="0"/>
                <w:caps w:val="0"/>
                <w:color w:val="000000"/>
                <w:kern w:val="2"/>
                <w:sz w:val="22"/>
                <w:szCs w:val="22"/>
                <w:u w:val="none"/>
                <w:vertAlign w:val="baseline"/>
                <w:lang w:val="en-US" w:eastAsia="zh-CN" w:bidi="ar"/>
              </w:rPr>
              <w:br w:type="textWrapping"/>
            </w:r>
            <w:r>
              <w:rPr>
                <w:rFonts w:hint="eastAsia" w:ascii="宋体" w:hAnsi="宋体" w:eastAsia="宋体" w:cs="宋体"/>
                <w:b w:val="0"/>
                <w:bCs w:val="0"/>
                <w:caps w:val="0"/>
                <w:color w:val="000000"/>
                <w:kern w:val="2"/>
                <w:sz w:val="22"/>
                <w:szCs w:val="22"/>
                <w:u w:val="none"/>
                <w:vertAlign w:val="baseline"/>
                <w:lang w:val="en-US" w:eastAsia="zh-CN" w:bidi="ar"/>
              </w:rPr>
              <w:t>支持多种指示灯显示（电源、信号、峰值、故障）。</w:t>
            </w:r>
            <w:r>
              <w:rPr>
                <w:rFonts w:hint="eastAsia" w:ascii="宋体" w:hAnsi="宋体" w:eastAsia="宋体" w:cs="宋体"/>
                <w:b w:val="0"/>
                <w:bCs w:val="0"/>
                <w:caps w:val="0"/>
                <w:color w:val="000000"/>
                <w:kern w:val="2"/>
                <w:sz w:val="22"/>
                <w:szCs w:val="22"/>
                <w:u w:val="none"/>
                <w:vertAlign w:val="baseline"/>
                <w:lang w:val="en-US" w:eastAsia="zh-CN" w:bidi="ar"/>
              </w:rPr>
              <w:br w:type="textWrapping"/>
            </w:r>
            <w:r>
              <w:rPr>
                <w:rFonts w:hint="eastAsia" w:ascii="宋体" w:hAnsi="宋体" w:eastAsia="宋体" w:cs="宋体"/>
                <w:b w:val="0"/>
                <w:bCs w:val="0"/>
                <w:caps w:val="0"/>
                <w:color w:val="000000"/>
                <w:kern w:val="2"/>
                <w:sz w:val="22"/>
                <w:szCs w:val="22"/>
                <w:u w:val="none"/>
                <w:vertAlign w:val="baseline"/>
                <w:lang w:val="en-US" w:eastAsia="zh-CN" w:bidi="ar"/>
              </w:rPr>
              <w:t>采用风机强制散热结构，可以让机器长时间工作。</w:t>
            </w:r>
            <w:r>
              <w:rPr>
                <w:rFonts w:hint="eastAsia" w:ascii="宋体" w:hAnsi="宋体" w:eastAsia="宋体" w:cs="宋体"/>
                <w:b w:val="0"/>
                <w:bCs w:val="0"/>
                <w:caps w:val="0"/>
                <w:color w:val="000000"/>
                <w:kern w:val="2"/>
                <w:sz w:val="22"/>
                <w:szCs w:val="22"/>
                <w:u w:val="none"/>
                <w:vertAlign w:val="baseline"/>
                <w:lang w:val="en-US" w:eastAsia="zh-CN" w:bidi="ar"/>
              </w:rPr>
              <w:br w:type="textWrapping"/>
            </w:r>
            <w:r>
              <w:rPr>
                <w:rFonts w:hint="eastAsia" w:ascii="宋体" w:hAnsi="宋体" w:eastAsia="宋体" w:cs="宋体"/>
                <w:b w:val="0"/>
                <w:bCs w:val="0"/>
                <w:caps w:val="0"/>
                <w:color w:val="000000"/>
                <w:kern w:val="2"/>
                <w:sz w:val="22"/>
                <w:szCs w:val="22"/>
                <w:u w:val="none"/>
                <w:vertAlign w:val="baseline"/>
                <w:lang w:val="en-US" w:eastAsia="zh-CN" w:bidi="ar"/>
              </w:rPr>
              <w:t>本机有热保护、过流、过压、短路保护，开机延时等功能。</w:t>
            </w:r>
            <w:r>
              <w:rPr>
                <w:rFonts w:hint="eastAsia" w:ascii="宋体" w:hAnsi="宋体" w:eastAsia="宋体" w:cs="宋体"/>
                <w:b w:val="0"/>
                <w:bCs w:val="0"/>
                <w:caps w:val="0"/>
                <w:color w:val="000000"/>
                <w:kern w:val="2"/>
                <w:sz w:val="22"/>
                <w:szCs w:val="22"/>
                <w:u w:val="none"/>
                <w:vertAlign w:val="baseline"/>
                <w:lang w:val="en-US" w:eastAsia="zh-CN" w:bidi="ar"/>
              </w:rPr>
              <w:br w:type="textWrapping"/>
            </w:r>
            <w:r>
              <w:rPr>
                <w:rFonts w:hint="eastAsia" w:ascii="宋体" w:hAnsi="宋体" w:eastAsia="宋体" w:cs="宋体"/>
                <w:b w:val="0"/>
                <w:bCs w:val="0"/>
                <w:caps w:val="0"/>
                <w:color w:val="000000"/>
                <w:kern w:val="2"/>
                <w:sz w:val="22"/>
                <w:szCs w:val="22"/>
                <w:u w:val="none"/>
                <w:vertAlign w:val="baseline"/>
                <w:lang w:val="en-US" w:eastAsia="zh-CN" w:bidi="ar"/>
              </w:rPr>
              <w:t>额定功率 2000W</w:t>
            </w:r>
            <w:r>
              <w:rPr>
                <w:rFonts w:hint="eastAsia" w:ascii="宋体" w:hAnsi="宋体" w:eastAsia="宋体" w:cs="宋体"/>
                <w:b w:val="0"/>
                <w:bCs w:val="0"/>
                <w:caps w:val="0"/>
                <w:color w:val="000000"/>
                <w:kern w:val="2"/>
                <w:sz w:val="22"/>
                <w:szCs w:val="22"/>
                <w:u w:val="none"/>
                <w:vertAlign w:val="baseline"/>
                <w:lang w:val="en-US" w:eastAsia="zh-CN" w:bidi="ar"/>
              </w:rPr>
              <w:br w:type="textWrapping"/>
            </w:r>
            <w:r>
              <w:rPr>
                <w:rFonts w:hint="eastAsia" w:ascii="宋体" w:hAnsi="宋体" w:eastAsia="宋体" w:cs="宋体"/>
                <w:b w:val="0"/>
                <w:bCs w:val="0"/>
                <w:caps w:val="0"/>
                <w:color w:val="000000"/>
                <w:kern w:val="2"/>
                <w:sz w:val="22"/>
                <w:szCs w:val="22"/>
                <w:u w:val="none"/>
                <w:vertAlign w:val="baseline"/>
                <w:lang w:val="en-US" w:eastAsia="zh-CN" w:bidi="ar"/>
              </w:rPr>
              <w:t>定压100V输出</w:t>
            </w:r>
            <w:r>
              <w:rPr>
                <w:rFonts w:hint="eastAsia" w:ascii="宋体" w:hAnsi="宋体" w:eastAsia="宋体" w:cs="宋体"/>
                <w:b w:val="0"/>
                <w:bCs w:val="0"/>
                <w:caps w:val="0"/>
                <w:color w:val="000000"/>
                <w:kern w:val="2"/>
                <w:sz w:val="22"/>
                <w:szCs w:val="22"/>
                <w:u w:val="none"/>
                <w:vertAlign w:val="baseline"/>
                <w:lang w:val="en-US" w:eastAsia="zh-CN" w:bidi="ar"/>
              </w:rPr>
              <w:br w:type="textWrapping"/>
            </w:r>
            <w:r>
              <w:rPr>
                <w:rFonts w:hint="eastAsia" w:ascii="宋体" w:hAnsi="宋体" w:eastAsia="宋体" w:cs="宋体"/>
                <w:b w:val="0"/>
                <w:bCs w:val="0"/>
                <w:caps w:val="0"/>
                <w:color w:val="000000"/>
                <w:kern w:val="2"/>
                <w:sz w:val="22"/>
                <w:szCs w:val="22"/>
                <w:u w:val="none"/>
                <w:vertAlign w:val="baseline"/>
                <w:lang w:val="en-US" w:eastAsia="zh-CN" w:bidi="ar"/>
              </w:rPr>
              <w:t>输入电源</w:t>
            </w:r>
            <w:r>
              <w:rPr>
                <w:rFonts w:hint="eastAsia" w:ascii="宋体" w:hAnsi="宋体" w:eastAsia="宋体" w:cs="宋体"/>
                <w:b w:val="0"/>
                <w:bCs w:val="0"/>
                <w:caps w:val="0"/>
                <w:color w:val="000000"/>
                <w:kern w:val="2"/>
                <w:sz w:val="22"/>
                <w:szCs w:val="22"/>
                <w:u w:val="none"/>
                <w:vertAlign w:val="baseline"/>
                <w:lang w:val="en-US" w:eastAsia="zh-CN" w:bidi="ar"/>
              </w:rPr>
              <w:br w:type="textWrapping"/>
            </w:r>
            <w:r>
              <w:rPr>
                <w:rFonts w:hint="eastAsia" w:ascii="宋体" w:hAnsi="宋体" w:eastAsia="宋体" w:cs="宋体"/>
                <w:b w:val="0"/>
                <w:bCs w:val="0"/>
                <w:caps w:val="0"/>
                <w:color w:val="000000"/>
                <w:kern w:val="2"/>
                <w:sz w:val="22"/>
                <w:szCs w:val="22"/>
                <w:u w:val="none"/>
                <w:vertAlign w:val="baseline"/>
                <w:lang w:val="en-US" w:eastAsia="zh-CN" w:bidi="ar"/>
              </w:rPr>
              <w:t>100-240V~  50Hz/60Hz</w:t>
            </w:r>
            <w:r>
              <w:rPr>
                <w:rFonts w:hint="eastAsia" w:ascii="宋体" w:hAnsi="宋体" w:eastAsia="宋体" w:cs="宋体"/>
                <w:b w:val="0"/>
                <w:bCs w:val="0"/>
                <w:caps w:val="0"/>
                <w:color w:val="000000"/>
                <w:kern w:val="2"/>
                <w:sz w:val="22"/>
                <w:szCs w:val="22"/>
                <w:u w:val="none"/>
                <w:vertAlign w:val="baseline"/>
                <w:lang w:val="en-US" w:eastAsia="zh-CN" w:bidi="ar"/>
              </w:rPr>
              <w:br w:type="textWrapping"/>
            </w:r>
            <w:r>
              <w:rPr>
                <w:rFonts w:hint="eastAsia" w:ascii="宋体" w:hAnsi="宋体" w:eastAsia="宋体" w:cs="宋体"/>
                <w:b w:val="0"/>
                <w:bCs w:val="0"/>
                <w:caps w:val="0"/>
                <w:color w:val="000000"/>
                <w:kern w:val="2"/>
                <w:sz w:val="22"/>
                <w:szCs w:val="22"/>
                <w:u w:val="none"/>
                <w:vertAlign w:val="baseline"/>
                <w:lang w:val="en-US" w:eastAsia="zh-CN" w:bidi="ar"/>
              </w:rPr>
              <w:t>频率响应</w:t>
            </w:r>
            <w:r>
              <w:rPr>
                <w:rFonts w:hint="eastAsia" w:ascii="宋体" w:hAnsi="宋体" w:eastAsia="宋体" w:cs="宋体"/>
                <w:b w:val="0"/>
                <w:bCs w:val="0"/>
                <w:caps w:val="0"/>
                <w:color w:val="000000"/>
                <w:kern w:val="2"/>
                <w:sz w:val="22"/>
                <w:szCs w:val="22"/>
                <w:u w:val="none"/>
                <w:vertAlign w:val="baseline"/>
                <w:lang w:val="en-US" w:eastAsia="zh-CN" w:bidi="ar"/>
              </w:rPr>
              <w:br w:type="textWrapping"/>
            </w:r>
            <w:r>
              <w:rPr>
                <w:rFonts w:hint="eastAsia" w:ascii="宋体" w:hAnsi="宋体" w:eastAsia="宋体" w:cs="宋体"/>
                <w:b w:val="0"/>
                <w:bCs w:val="0"/>
                <w:caps w:val="0"/>
                <w:color w:val="000000"/>
                <w:kern w:val="2"/>
                <w:sz w:val="22"/>
                <w:szCs w:val="22"/>
                <w:u w:val="none"/>
                <w:vertAlign w:val="baseline"/>
                <w:lang w:val="en-US" w:eastAsia="zh-CN" w:bidi="ar"/>
              </w:rPr>
              <w:t>80Hz-16KHz</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73D12E36">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4</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04DAA28F">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4705687B">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2C05180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6684" w:type="dxa"/>
            <w:gridSpan w:val="3"/>
            <w:tcBorders>
              <w:top w:val="single" w:color="000000" w:sz="4" w:space="0"/>
              <w:left w:val="single" w:color="000000" w:sz="4" w:space="0"/>
              <w:bottom w:val="single" w:color="000000" w:sz="4" w:space="0"/>
              <w:right w:val="single" w:color="000000" w:sz="4" w:space="0"/>
            </w:tcBorders>
            <w:noWrap/>
            <w:vAlign w:val="center"/>
          </w:tcPr>
          <w:p w14:paraId="51992AC6">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b/>
                <w:bCs/>
                <w:caps w:val="0"/>
                <w:color w:val="000000"/>
                <w:sz w:val="22"/>
                <w:szCs w:val="22"/>
                <w:vertAlign w:val="baseline"/>
              </w:rPr>
            </w:pPr>
            <w:r>
              <w:rPr>
                <w:rFonts w:hint="eastAsia" w:ascii="宋体" w:hAnsi="宋体" w:eastAsia="宋体" w:cs="微软雅黑"/>
                <w:b/>
                <w:bCs/>
                <w:caps w:val="0"/>
                <w:color w:val="000000"/>
                <w:kern w:val="0"/>
                <w:sz w:val="22"/>
                <w:szCs w:val="22"/>
                <w:vertAlign w:val="baseline"/>
                <w:lang w:val="en-US" w:eastAsia="zh-CN" w:bidi="ar"/>
              </w:rPr>
              <w:t>不间断电源</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34A5D48D">
            <w:pPr>
              <w:keepNext w:val="0"/>
              <w:keepLines w:val="0"/>
              <w:widowControl w:val="0"/>
              <w:suppressLineNumbers w:val="0"/>
              <w:spacing w:before="0" w:beforeAutospacing="0" w:after="0" w:afterAutospacing="0" w:line="240" w:lineRule="auto"/>
              <w:ind w:left="0" w:right="0" w:firstLine="0"/>
              <w:jc w:val="center"/>
              <w:rPr>
                <w:rFonts w:hint="eastAsia" w:ascii="宋体" w:hAnsi="宋体" w:eastAsia="宋体" w:cs="微软雅黑"/>
                <w:caps w:val="0"/>
                <w:color w:val="000000"/>
                <w:sz w:val="22"/>
                <w:szCs w:val="22"/>
                <w:vertAlign w:val="baseline"/>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77CA6220">
            <w:pPr>
              <w:keepNext w:val="0"/>
              <w:keepLines w:val="0"/>
              <w:widowControl w:val="0"/>
              <w:suppressLineNumbers w:val="0"/>
              <w:spacing w:before="0" w:beforeAutospacing="0" w:after="0" w:afterAutospacing="0" w:line="240" w:lineRule="auto"/>
              <w:ind w:left="0" w:right="0" w:firstLine="0"/>
              <w:jc w:val="center"/>
              <w:rPr>
                <w:rFonts w:hint="eastAsia" w:ascii="宋体" w:hAnsi="宋体" w:eastAsia="宋体" w:cs="微软雅黑"/>
                <w:caps w:val="0"/>
                <w:color w:val="000000"/>
                <w:sz w:val="22"/>
                <w:szCs w:val="22"/>
                <w:vertAlign w:val="baseline"/>
              </w:rPr>
            </w:pP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5D35A00A">
            <w:pPr>
              <w:keepNext w:val="0"/>
              <w:keepLines w:val="0"/>
              <w:widowControl w:val="0"/>
              <w:suppressLineNumbers w:val="0"/>
              <w:spacing w:before="0" w:beforeAutospacing="0" w:after="0" w:afterAutospacing="0" w:line="240" w:lineRule="auto"/>
              <w:ind w:left="0" w:right="0" w:firstLine="0"/>
              <w:jc w:val="center"/>
              <w:rPr>
                <w:rFonts w:hint="eastAsia" w:ascii="宋体" w:hAnsi="宋体" w:eastAsia="宋体" w:cs="微软雅黑"/>
                <w:caps w:val="0"/>
                <w:color w:val="000000"/>
                <w:sz w:val="22"/>
                <w:szCs w:val="22"/>
                <w:vertAlign w:val="baseline"/>
              </w:rPr>
            </w:pPr>
          </w:p>
        </w:tc>
      </w:tr>
      <w:tr w14:paraId="52750D2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1679"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306344D7">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7D473D60">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UPS主机</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6742799D">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 xml:space="preserve">三进三出 or 三进单出 or 单进单出可调，高频在线式UPS主机，13.5KW/15KVA，长延时机型，高频机，塔式&amp;机架式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额定容量：13.5KW/15KVA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额定输入电压：380/400/415Vac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输入电压范围：138～485Vac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相数：三相五线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输入频率范围：40~70 Hz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输入功率因数：满载≥0.99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输出电压：380/400/415(1±1%)Vac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输出频率：市电模式：与输入同步；当市电频率超出最大±10%（可设置±1%、±2%、±4%、±5%）时，输出频率50/60(±0.1); 电池模式：50/60(±0.1)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整机效率：≥95%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功率因数：0.9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告警功能：具备LCD和蜂鸣器声光告警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保护功能：具备输出过载、短路；电池欠压、过压；充电过温、短路；交流输入电压、频率、相序异常；UPS过温、风机故障等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通信功能：通讯功能标配 RS485，可定制 RS232、干接点 、SNMP </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7DF00601">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9335E00">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029C5001">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3B06661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037"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76DF953A">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auto"/>
                <w:sz w:val="22"/>
                <w:szCs w:val="22"/>
                <w:vertAlign w:val="baseline"/>
              </w:rPr>
            </w:pPr>
            <w:r>
              <w:rPr>
                <w:rFonts w:hint="eastAsia" w:ascii="宋体" w:hAnsi="宋体" w:eastAsia="宋体" w:cs="微软雅黑"/>
                <w:b w:val="0"/>
                <w:bCs w:val="0"/>
                <w:caps w:val="0"/>
                <w:color w:val="auto"/>
                <w:kern w:val="0"/>
                <w:sz w:val="22"/>
                <w:szCs w:val="22"/>
                <w:vertAlign w:val="baseline"/>
                <w:lang w:val="en-US" w:eastAsia="zh-CN" w:bidi="ar"/>
              </w:rPr>
              <w:t>2</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27BE1891">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auto"/>
                <w:sz w:val="22"/>
                <w:szCs w:val="22"/>
                <w:vertAlign w:val="baseline"/>
              </w:rPr>
            </w:pPr>
            <w:r>
              <w:rPr>
                <w:rFonts w:hint="eastAsia" w:ascii="宋体" w:hAnsi="宋体" w:eastAsia="宋体" w:cs="微软雅黑"/>
                <w:b w:val="0"/>
                <w:bCs w:val="0"/>
                <w:caps w:val="0"/>
                <w:color w:val="auto"/>
                <w:kern w:val="0"/>
                <w:sz w:val="22"/>
                <w:szCs w:val="22"/>
                <w:vertAlign w:val="baseline"/>
                <w:lang w:val="en-US" w:eastAsia="zh-CN" w:bidi="ar"/>
              </w:rPr>
              <w:t>电池</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21D752C9">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b w:val="0"/>
                <w:bCs w:val="0"/>
                <w:caps w:val="0"/>
                <w:color w:val="auto"/>
                <w:kern w:val="0"/>
                <w:sz w:val="22"/>
                <w:szCs w:val="22"/>
                <w:vertAlign w:val="baseline"/>
                <w:lang w:val="en-US" w:eastAsia="zh-CN" w:bidi="ar"/>
              </w:rPr>
            </w:pPr>
            <w:r>
              <w:rPr>
                <w:rFonts w:hint="eastAsia" w:ascii="宋体" w:hAnsi="宋体" w:eastAsia="宋体" w:cs="微软雅黑"/>
                <w:b w:val="0"/>
                <w:bCs w:val="0"/>
                <w:caps w:val="0"/>
                <w:color w:val="auto"/>
                <w:kern w:val="0"/>
                <w:sz w:val="22"/>
                <w:szCs w:val="22"/>
                <w:vertAlign w:val="baseline"/>
                <w:lang w:val="en-US" w:eastAsia="zh-CN" w:bidi="ar"/>
              </w:rPr>
              <w:t xml:space="preserve">标称电压：12V </w:t>
            </w:r>
            <w:r>
              <w:rPr>
                <w:rFonts w:hint="eastAsia" w:ascii="宋体" w:hAnsi="宋体" w:eastAsia="宋体" w:cs="微软雅黑"/>
                <w:b w:val="0"/>
                <w:bCs w:val="0"/>
                <w:caps w:val="0"/>
                <w:color w:val="auto"/>
                <w:kern w:val="0"/>
                <w:sz w:val="22"/>
                <w:szCs w:val="22"/>
                <w:vertAlign w:val="baseline"/>
                <w:lang w:val="en-US" w:eastAsia="zh-CN" w:bidi="ar"/>
              </w:rPr>
              <w:br w:type="textWrapping"/>
            </w:r>
            <w:r>
              <w:rPr>
                <w:rFonts w:hint="eastAsia" w:ascii="宋体" w:hAnsi="宋体" w:eastAsia="宋体" w:cs="微软雅黑"/>
                <w:b w:val="0"/>
                <w:bCs w:val="0"/>
                <w:caps w:val="0"/>
                <w:color w:val="auto"/>
                <w:kern w:val="0"/>
                <w:sz w:val="22"/>
                <w:szCs w:val="22"/>
                <w:vertAlign w:val="baseline"/>
                <w:lang w:val="en-US" w:eastAsia="zh-CN" w:bidi="ar"/>
              </w:rPr>
              <w:t xml:space="preserve">额定容量：65Ah（C10，1.8V/单体、25℃） </w:t>
            </w:r>
            <w:r>
              <w:rPr>
                <w:rFonts w:hint="eastAsia" w:ascii="宋体" w:hAnsi="宋体" w:eastAsia="宋体" w:cs="微软雅黑"/>
                <w:b w:val="0"/>
                <w:bCs w:val="0"/>
                <w:caps w:val="0"/>
                <w:color w:val="auto"/>
                <w:kern w:val="0"/>
                <w:sz w:val="22"/>
                <w:szCs w:val="22"/>
                <w:vertAlign w:val="baseline"/>
                <w:lang w:val="en-US" w:eastAsia="zh-CN" w:bidi="ar"/>
              </w:rPr>
              <w:br w:type="textWrapping"/>
            </w:r>
            <w:r>
              <w:rPr>
                <w:rFonts w:hint="eastAsia" w:ascii="宋体" w:hAnsi="宋体" w:eastAsia="宋体" w:cs="微软雅黑"/>
                <w:b w:val="0"/>
                <w:bCs w:val="0"/>
                <w:caps w:val="0"/>
                <w:color w:val="auto"/>
                <w:kern w:val="0"/>
                <w:sz w:val="22"/>
                <w:szCs w:val="22"/>
                <w:vertAlign w:val="baseline"/>
                <w:lang w:val="en-US" w:eastAsia="zh-CN" w:bidi="ar"/>
              </w:rPr>
              <w:t xml:space="preserve">短路电流：1600A </w:t>
            </w:r>
            <w:r>
              <w:rPr>
                <w:rFonts w:hint="eastAsia" w:ascii="宋体" w:hAnsi="宋体" w:eastAsia="宋体" w:cs="微软雅黑"/>
                <w:b w:val="0"/>
                <w:bCs w:val="0"/>
                <w:caps w:val="0"/>
                <w:color w:val="auto"/>
                <w:kern w:val="0"/>
                <w:sz w:val="22"/>
                <w:szCs w:val="22"/>
                <w:vertAlign w:val="baseline"/>
                <w:lang w:val="en-US" w:eastAsia="zh-CN" w:bidi="ar"/>
              </w:rPr>
              <w:br w:type="textWrapping"/>
            </w:r>
            <w:r>
              <w:rPr>
                <w:rFonts w:hint="eastAsia" w:ascii="宋体" w:hAnsi="宋体" w:eastAsia="宋体" w:cs="微软雅黑"/>
                <w:b w:val="0"/>
                <w:bCs w:val="0"/>
                <w:caps w:val="0"/>
                <w:color w:val="auto"/>
                <w:kern w:val="0"/>
                <w:sz w:val="22"/>
                <w:szCs w:val="22"/>
                <w:vertAlign w:val="baseline"/>
                <w:lang w:val="en-US" w:eastAsia="zh-CN" w:bidi="ar"/>
              </w:rPr>
              <w:t xml:space="preserve">设计寿命：10年 </w:t>
            </w:r>
            <w:r>
              <w:rPr>
                <w:rFonts w:hint="eastAsia" w:ascii="宋体" w:hAnsi="宋体" w:eastAsia="宋体" w:cs="微软雅黑"/>
                <w:b w:val="0"/>
                <w:bCs w:val="0"/>
                <w:caps w:val="0"/>
                <w:color w:val="auto"/>
                <w:kern w:val="0"/>
                <w:sz w:val="22"/>
                <w:szCs w:val="22"/>
                <w:vertAlign w:val="baseline"/>
                <w:lang w:val="en-US" w:eastAsia="zh-CN" w:bidi="ar"/>
              </w:rPr>
              <w:br w:type="textWrapping"/>
            </w:r>
            <w:r>
              <w:rPr>
                <w:rFonts w:hint="eastAsia" w:ascii="宋体" w:hAnsi="宋体" w:eastAsia="宋体" w:cs="微软雅黑"/>
                <w:b w:val="0"/>
                <w:bCs w:val="0"/>
                <w:caps w:val="0"/>
                <w:color w:val="auto"/>
                <w:kern w:val="0"/>
                <w:sz w:val="22"/>
                <w:szCs w:val="22"/>
                <w:vertAlign w:val="baseline"/>
                <w:lang w:val="en-US" w:eastAsia="zh-CN" w:bidi="ar"/>
              </w:rPr>
              <w:t xml:space="preserve">执行标准：GB/T 19638.1-2014 </w:t>
            </w:r>
            <w:r>
              <w:rPr>
                <w:rFonts w:hint="eastAsia" w:ascii="宋体" w:hAnsi="宋体" w:eastAsia="宋体" w:cs="微软雅黑"/>
                <w:b w:val="0"/>
                <w:bCs w:val="0"/>
                <w:caps w:val="0"/>
                <w:color w:val="auto"/>
                <w:kern w:val="0"/>
                <w:sz w:val="22"/>
                <w:szCs w:val="22"/>
                <w:vertAlign w:val="baseline"/>
                <w:lang w:val="en-US" w:eastAsia="zh-CN" w:bidi="ar"/>
              </w:rPr>
              <w:br w:type="textWrapping"/>
            </w:r>
            <w:r>
              <w:rPr>
                <w:rFonts w:hint="eastAsia" w:ascii="宋体" w:hAnsi="宋体" w:eastAsia="宋体" w:cs="微软雅黑"/>
                <w:b w:val="0"/>
                <w:bCs w:val="0"/>
                <w:caps w:val="0"/>
                <w:color w:val="auto"/>
                <w:kern w:val="0"/>
                <w:sz w:val="22"/>
                <w:szCs w:val="22"/>
                <w:vertAlign w:val="baseline"/>
                <w:lang w:val="en-US" w:eastAsia="zh-CN" w:bidi="ar"/>
              </w:rPr>
              <w:t xml:space="preserve">均充电压：2.35V/单体（25℃） </w:t>
            </w:r>
            <w:r>
              <w:rPr>
                <w:rFonts w:hint="eastAsia" w:ascii="宋体" w:hAnsi="宋体" w:eastAsia="宋体" w:cs="微软雅黑"/>
                <w:b w:val="0"/>
                <w:bCs w:val="0"/>
                <w:caps w:val="0"/>
                <w:color w:val="auto"/>
                <w:kern w:val="0"/>
                <w:sz w:val="22"/>
                <w:szCs w:val="22"/>
                <w:vertAlign w:val="baseline"/>
                <w:lang w:val="en-US" w:eastAsia="zh-CN" w:bidi="ar"/>
              </w:rPr>
              <w:br w:type="textWrapping"/>
            </w:r>
            <w:r>
              <w:rPr>
                <w:rFonts w:hint="eastAsia" w:ascii="宋体" w:hAnsi="宋体" w:eastAsia="宋体" w:cs="微软雅黑"/>
                <w:b w:val="0"/>
                <w:bCs w:val="0"/>
                <w:caps w:val="0"/>
                <w:color w:val="auto"/>
                <w:kern w:val="0"/>
                <w:sz w:val="22"/>
                <w:szCs w:val="22"/>
                <w:vertAlign w:val="baseline"/>
                <w:lang w:val="en-US" w:eastAsia="zh-CN" w:bidi="ar"/>
              </w:rPr>
              <w:t xml:space="preserve">浮充电压V/单体：2.25V/单体（25℃） </w:t>
            </w:r>
            <w:r>
              <w:rPr>
                <w:rFonts w:hint="eastAsia" w:ascii="宋体" w:hAnsi="宋体" w:eastAsia="宋体" w:cs="微软雅黑"/>
                <w:b w:val="0"/>
                <w:bCs w:val="0"/>
                <w:caps w:val="0"/>
                <w:color w:val="auto"/>
                <w:kern w:val="0"/>
                <w:sz w:val="22"/>
                <w:szCs w:val="22"/>
                <w:vertAlign w:val="baseline"/>
                <w:lang w:val="en-US" w:eastAsia="zh-CN" w:bidi="ar"/>
              </w:rPr>
              <w:br w:type="textWrapping"/>
            </w:r>
            <w:r>
              <w:rPr>
                <w:rFonts w:hint="eastAsia" w:ascii="宋体" w:hAnsi="宋体" w:eastAsia="宋体" w:cs="微软雅黑"/>
                <w:b w:val="0"/>
                <w:bCs w:val="0"/>
                <w:caps w:val="0"/>
                <w:color w:val="auto"/>
                <w:kern w:val="0"/>
                <w:sz w:val="22"/>
                <w:szCs w:val="22"/>
                <w:vertAlign w:val="baseline"/>
                <w:lang w:val="en-US" w:eastAsia="zh-CN" w:bidi="ar"/>
              </w:rPr>
              <w:t xml:space="preserve">温度补偿系数：-4mV/℃·单体 </w:t>
            </w:r>
            <w:r>
              <w:rPr>
                <w:rFonts w:hint="eastAsia" w:ascii="宋体" w:hAnsi="宋体" w:eastAsia="宋体" w:cs="微软雅黑"/>
                <w:b w:val="0"/>
                <w:bCs w:val="0"/>
                <w:caps w:val="0"/>
                <w:color w:val="auto"/>
                <w:kern w:val="0"/>
                <w:sz w:val="22"/>
                <w:szCs w:val="22"/>
                <w:vertAlign w:val="baseline"/>
                <w:lang w:val="en-US" w:eastAsia="zh-CN" w:bidi="ar"/>
              </w:rPr>
              <w:br w:type="textWrapping"/>
            </w:r>
            <w:r>
              <w:rPr>
                <w:rFonts w:hint="eastAsia" w:ascii="宋体" w:hAnsi="宋体" w:eastAsia="宋体" w:cs="微软雅黑"/>
                <w:b w:val="0"/>
                <w:bCs w:val="0"/>
                <w:caps w:val="0"/>
                <w:color w:val="auto"/>
                <w:kern w:val="0"/>
                <w:sz w:val="22"/>
                <w:szCs w:val="22"/>
                <w:vertAlign w:val="baseline"/>
                <w:lang w:val="en-US" w:eastAsia="zh-CN" w:bidi="ar"/>
              </w:rPr>
              <w:t>最大充电电流 ：16A</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75765DD2">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auto"/>
                <w:sz w:val="22"/>
                <w:szCs w:val="22"/>
                <w:vertAlign w:val="baseline"/>
              </w:rPr>
            </w:pPr>
            <w:r>
              <w:rPr>
                <w:rFonts w:hint="eastAsia" w:ascii="宋体" w:hAnsi="宋体" w:eastAsia="宋体" w:cs="微软雅黑"/>
                <w:b w:val="0"/>
                <w:bCs w:val="0"/>
                <w:caps w:val="0"/>
                <w:color w:val="auto"/>
                <w:kern w:val="0"/>
                <w:sz w:val="22"/>
                <w:szCs w:val="22"/>
                <w:vertAlign w:val="baseline"/>
                <w:lang w:val="en-US" w:eastAsia="zh-CN" w:bidi="ar"/>
              </w:rPr>
              <w:t>32</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016C108F">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auto"/>
                <w:sz w:val="22"/>
                <w:szCs w:val="22"/>
                <w:vertAlign w:val="baseline"/>
              </w:rPr>
            </w:pPr>
            <w:r>
              <w:rPr>
                <w:rFonts w:hint="eastAsia" w:ascii="宋体" w:hAnsi="宋体" w:eastAsia="宋体" w:cs="微软雅黑"/>
                <w:b w:val="0"/>
                <w:bCs w:val="0"/>
                <w:caps w:val="0"/>
                <w:color w:val="auto"/>
                <w:kern w:val="0"/>
                <w:sz w:val="22"/>
                <w:szCs w:val="22"/>
                <w:vertAlign w:val="baseline"/>
                <w:lang w:val="en-US" w:eastAsia="zh-CN" w:bidi="ar"/>
              </w:rPr>
              <w:t>块</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6425EF7F">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auto"/>
                <w:kern w:val="0"/>
                <w:sz w:val="22"/>
                <w:szCs w:val="22"/>
                <w:vertAlign w:val="baseline"/>
                <w:lang w:bidi="ar"/>
              </w:rPr>
            </w:pPr>
            <w:r>
              <w:rPr>
                <w:rFonts w:hint="eastAsia" w:ascii="宋体" w:hAnsi="宋体" w:eastAsia="宋体" w:cs="微软雅黑"/>
                <w:b w:val="0"/>
                <w:bCs w:val="0"/>
                <w:caps w:val="0"/>
                <w:color w:val="auto"/>
                <w:kern w:val="0"/>
                <w:sz w:val="22"/>
                <w:szCs w:val="22"/>
                <w:vertAlign w:val="baseline"/>
                <w:lang w:val="en-US" w:eastAsia="zh-CN" w:bidi="ar"/>
              </w:rPr>
              <w:t>工业</w:t>
            </w:r>
          </w:p>
        </w:tc>
      </w:tr>
      <w:tr w14:paraId="398029C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189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11F39776">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3</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4CB9E0B8">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电池箱</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45984875">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颜色：黑色</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外观尺寸：长*宽*高=950*780*1200(mm)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安装方式：框架焊接式，前后插板，四层结构，每层8只电池；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材料类型：冷轧钢板（SPCC）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其他板厚：立柱为角铁型材增加加强筋结构，柜体为整体受力结构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接线柱：含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空开：1个63A/3P</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23F4CD7F">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3193433B">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36E6D52F">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1C3CF55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222B1463">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4</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1F32F487">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连接线</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2DAD40A5">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 xml:space="preserve">适配32节电池箱用 </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098E001A">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66C5D376">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批</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5E89B3E7">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48B6615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6684" w:type="dxa"/>
            <w:gridSpan w:val="3"/>
            <w:tcBorders>
              <w:top w:val="single" w:color="000000" w:sz="4" w:space="0"/>
              <w:left w:val="single" w:color="000000" w:sz="4" w:space="0"/>
              <w:bottom w:val="single" w:color="000000" w:sz="4" w:space="0"/>
              <w:right w:val="single" w:color="000000" w:sz="4" w:space="0"/>
            </w:tcBorders>
            <w:noWrap/>
            <w:vAlign w:val="center"/>
          </w:tcPr>
          <w:p w14:paraId="186B0F3B">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b/>
                <w:bCs/>
                <w:caps w:val="0"/>
                <w:color w:val="000000"/>
                <w:sz w:val="22"/>
                <w:szCs w:val="22"/>
                <w:vertAlign w:val="baseline"/>
              </w:rPr>
            </w:pPr>
            <w:r>
              <w:rPr>
                <w:rFonts w:hint="eastAsia" w:ascii="宋体" w:hAnsi="宋体" w:eastAsia="宋体" w:cs="微软雅黑"/>
                <w:b/>
                <w:bCs/>
                <w:caps w:val="0"/>
                <w:color w:val="000000"/>
                <w:kern w:val="0"/>
                <w:sz w:val="22"/>
                <w:szCs w:val="22"/>
                <w:vertAlign w:val="baseline"/>
                <w:lang w:val="en-US" w:eastAsia="zh-CN" w:bidi="ar"/>
              </w:rPr>
              <w:t>四栋教学楼分控中心</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3AD59203">
            <w:pPr>
              <w:keepNext w:val="0"/>
              <w:keepLines w:val="0"/>
              <w:widowControl w:val="0"/>
              <w:suppressLineNumbers w:val="0"/>
              <w:spacing w:before="0" w:beforeAutospacing="0" w:after="0" w:afterAutospacing="0" w:line="240" w:lineRule="auto"/>
              <w:ind w:left="0" w:right="0" w:firstLine="0"/>
              <w:jc w:val="left"/>
              <w:rPr>
                <w:rFonts w:hint="eastAsia" w:ascii="宋体" w:hAnsi="宋体" w:eastAsia="宋体" w:cs="微软雅黑"/>
                <w:b/>
                <w:bCs/>
                <w:caps w:val="0"/>
                <w:color w:val="000000"/>
                <w:sz w:val="22"/>
                <w:szCs w:val="22"/>
                <w:vertAlign w:val="baseline"/>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0F234BA7">
            <w:pPr>
              <w:keepNext w:val="0"/>
              <w:keepLines w:val="0"/>
              <w:widowControl w:val="0"/>
              <w:suppressLineNumbers w:val="0"/>
              <w:spacing w:before="0" w:beforeAutospacing="0" w:after="0" w:afterAutospacing="0" w:line="240" w:lineRule="auto"/>
              <w:ind w:left="0" w:right="0" w:firstLine="0"/>
              <w:jc w:val="left"/>
              <w:rPr>
                <w:rFonts w:hint="eastAsia" w:ascii="宋体" w:hAnsi="宋体" w:eastAsia="宋体" w:cs="微软雅黑"/>
                <w:b/>
                <w:bCs/>
                <w:caps w:val="0"/>
                <w:color w:val="000000"/>
                <w:sz w:val="22"/>
                <w:szCs w:val="22"/>
                <w:vertAlign w:val="baseline"/>
              </w:rPr>
            </w:pP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71734BDC">
            <w:pPr>
              <w:keepNext w:val="0"/>
              <w:keepLines w:val="0"/>
              <w:widowControl w:val="0"/>
              <w:suppressLineNumbers w:val="0"/>
              <w:spacing w:before="0" w:beforeAutospacing="0" w:after="0" w:afterAutospacing="0" w:line="240" w:lineRule="auto"/>
              <w:ind w:left="0" w:right="0" w:firstLine="0"/>
              <w:jc w:val="left"/>
              <w:rPr>
                <w:rFonts w:hint="eastAsia" w:ascii="宋体" w:hAnsi="宋体" w:eastAsia="宋体" w:cs="微软雅黑"/>
                <w:b/>
                <w:bCs/>
                <w:caps w:val="0"/>
                <w:color w:val="000000"/>
                <w:sz w:val="22"/>
                <w:szCs w:val="22"/>
                <w:vertAlign w:val="baseline"/>
              </w:rPr>
            </w:pPr>
          </w:p>
        </w:tc>
      </w:tr>
      <w:tr w14:paraId="7522A38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24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0CEBFDB8">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7AE73A8B">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网络寻呼话筒</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5015F42A">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7寸网络寻呼话筒</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前面板7寸彩色IPS 触摸屏，分辨率：1024 × 600</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支持对指定的分区或终端进行实时广播、喊话或者播放媒体库文件</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可选择一个或者多个终端,设定快捷键对外进行广播；最多可定义F1-F6六种快捷选择</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1路鹅颈喊话输入、1路4段式3.5 mm输入</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1路本地扬声器输出， 1路3.5 mm输出</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设备支持通过账号及密码登录设备</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支持参数配置、账号管理、系统维护等操作</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支持长按一键紧急呼叫（长按3秒）指定终端或者所有终端进行紧急喊话</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50578ABA">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4</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3B4F1CB1">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48359D89">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27439DA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540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44D4A4E0">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2</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1C223DA4">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网络监听音箱</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59AF1762">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10W网络音箱</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麦克风类型：MEMS</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阵列数量：2</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频率响应：100 Hz~20 kHz</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灵敏度：-42 dBV/Pa</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采样率：48 kHz</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量化位数：16 bit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额定功率：10 W</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扬声器单元：全频5.25′′ × 1</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最大声压级（1 m）：98 dBSPL</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频率响应：100 Hz~20 kHz</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信噪比：83 dB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网络协议：IPv4, HTTP, HTTPS , SIP, SSL/TLS , DNS,  NTP, TCP, UDP, IGMP, ICMP, DHCP, ARP, SSH</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通信方式：支持有线网络通信</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网口：1个RJ45 10 M/100 M 自适应以太网口</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音频输入：3.5 mm音频接口 × 1</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定压输入 × 1，COM 100 V</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音频输出：定阻输出 × 1，凤凰端子，COM 8 Ω</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音量旋钮：支持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电源：DC：24 V/1 A</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125401BF">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4</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3E4042B1">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0E822EB1">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37BC8E3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9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7A43EAD5">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3</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57557C0F">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操作终端</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426EB072">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b w:val="0"/>
                <w:bCs w:val="0"/>
                <w:caps w:val="0"/>
                <w:color w:val="000000"/>
                <w:kern w:val="0"/>
                <w:sz w:val="22"/>
                <w:szCs w:val="22"/>
                <w:vertAlign w:val="baseline"/>
                <w:lang w:val="en-US" w:eastAsia="zh-CN" w:bidi="ar"/>
              </w:rPr>
            </w:pPr>
            <w:r>
              <w:rPr>
                <w:rFonts w:hint="eastAsia" w:ascii="宋体" w:hAnsi="宋体" w:eastAsia="宋体" w:cs="微软雅黑"/>
                <w:b w:val="0"/>
                <w:bCs w:val="0"/>
                <w:caps w:val="0"/>
                <w:color w:val="000000"/>
                <w:kern w:val="0"/>
                <w:sz w:val="22"/>
                <w:szCs w:val="22"/>
                <w:vertAlign w:val="baseline"/>
                <w:lang w:val="en-US" w:eastAsia="zh-CN" w:bidi="ar"/>
              </w:rPr>
              <w:t xml:space="preserve">CPU：i5-12400(6核/2.5GHz)；6核12线程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内存：8GB，3200MHz频率，最大支持64 GB内存；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固态硬盘：1个256G SSD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机械硬盘：无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扩展接口：支持4个SATA接口，1个M.2接口，1个PCIE×16插槽，1个PCIE×1插槽，10个USB接口，其中4个USB3.0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显示器：23.8英寸，分辨率1920x1080，刷新率60HZ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显卡：集显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光驱/键鼠：默认不带光驱，含USB有线键鼠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操作系统：Windows10 Home（激活）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电源：200W；机箱大小：11L</w:t>
            </w:r>
          </w:p>
          <w:p w14:paraId="67914EB0">
            <w:pPr>
              <w:rPr>
                <w:rFonts w:hint="eastAsia" w:ascii="宋体" w:hAnsi="宋体" w:eastAsia="宋体" w:cs="微软雅黑"/>
                <w:b w:val="0"/>
                <w:bCs w:val="0"/>
                <w:caps w:val="0"/>
                <w:color w:val="000000"/>
                <w:kern w:val="0"/>
                <w:sz w:val="22"/>
                <w:szCs w:val="22"/>
                <w:vertAlign w:val="baseline"/>
                <w:lang w:val="en-US" w:eastAsia="zh-CN" w:bidi="ar"/>
              </w:rPr>
            </w:pPr>
            <w:r>
              <w:rPr>
                <w:rStyle w:val="40"/>
                <w:b/>
                <w:bCs/>
                <w:color w:val="FF0000"/>
                <w:sz w:val="24"/>
                <w:szCs w:val="24"/>
                <w:highlight w:val="none"/>
              </w:rPr>
              <w:t>所投产品</w:t>
            </w:r>
            <w:r>
              <w:rPr>
                <w:rStyle w:val="40"/>
                <w:rFonts w:hint="eastAsia"/>
                <w:b/>
                <w:bCs/>
                <w:color w:val="FF0000"/>
                <w:sz w:val="24"/>
                <w:szCs w:val="24"/>
                <w:highlight w:val="none"/>
              </w:rPr>
              <w:t>须提供国家确定的认证机构出具的、处于有效期之内的CCC产品认证证书及节能产品认证证书</w:t>
            </w:r>
            <w:r>
              <w:rPr>
                <w:rStyle w:val="40"/>
                <w:b/>
                <w:bCs/>
                <w:color w:val="FF0000"/>
                <w:sz w:val="24"/>
                <w:szCs w:val="24"/>
                <w:highlight w:val="none"/>
              </w:rPr>
              <w:t>扫描件或图片。</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53857EC0">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4</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7D02BEA">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2CA94907">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54B51D8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6684" w:type="dxa"/>
            <w:gridSpan w:val="3"/>
            <w:tcBorders>
              <w:top w:val="single" w:color="000000" w:sz="4" w:space="0"/>
              <w:left w:val="single" w:color="000000" w:sz="4" w:space="0"/>
              <w:bottom w:val="single" w:color="000000" w:sz="4" w:space="0"/>
              <w:right w:val="single" w:color="000000" w:sz="4" w:space="0"/>
            </w:tcBorders>
            <w:noWrap/>
            <w:vAlign w:val="center"/>
          </w:tcPr>
          <w:p w14:paraId="20FB3E77">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b/>
                <w:bCs/>
                <w:caps w:val="0"/>
                <w:color w:val="000000"/>
                <w:sz w:val="22"/>
                <w:szCs w:val="22"/>
                <w:vertAlign w:val="baseline"/>
              </w:rPr>
            </w:pPr>
            <w:r>
              <w:rPr>
                <w:rFonts w:hint="eastAsia" w:ascii="宋体" w:hAnsi="宋体" w:eastAsia="宋体" w:cs="微软雅黑"/>
                <w:b/>
                <w:bCs/>
                <w:caps w:val="0"/>
                <w:color w:val="000000"/>
                <w:kern w:val="0"/>
                <w:sz w:val="22"/>
                <w:szCs w:val="22"/>
                <w:vertAlign w:val="baseline"/>
                <w:lang w:val="en-US" w:eastAsia="zh-CN" w:bidi="ar"/>
              </w:rPr>
              <w:t>四栋教学楼教室（高考听力）</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4F2B4BCB">
            <w:pPr>
              <w:keepNext w:val="0"/>
              <w:keepLines w:val="0"/>
              <w:widowControl w:val="0"/>
              <w:suppressLineNumbers w:val="0"/>
              <w:spacing w:before="0" w:beforeAutospacing="0" w:after="0" w:afterAutospacing="0" w:line="240" w:lineRule="auto"/>
              <w:ind w:left="0" w:right="0" w:firstLine="0"/>
              <w:jc w:val="left"/>
              <w:rPr>
                <w:rFonts w:hint="eastAsia" w:ascii="宋体" w:hAnsi="宋体" w:eastAsia="宋体" w:cs="微软雅黑"/>
                <w:b/>
                <w:bCs/>
                <w:caps w:val="0"/>
                <w:color w:val="000000"/>
                <w:sz w:val="22"/>
                <w:szCs w:val="22"/>
                <w:vertAlign w:val="baseline"/>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1F49A4E8">
            <w:pPr>
              <w:keepNext w:val="0"/>
              <w:keepLines w:val="0"/>
              <w:widowControl w:val="0"/>
              <w:suppressLineNumbers w:val="0"/>
              <w:spacing w:before="0" w:beforeAutospacing="0" w:after="0" w:afterAutospacing="0" w:line="240" w:lineRule="auto"/>
              <w:ind w:left="0" w:right="0" w:firstLine="0"/>
              <w:jc w:val="left"/>
              <w:rPr>
                <w:rFonts w:hint="eastAsia" w:ascii="宋体" w:hAnsi="宋体" w:eastAsia="宋体" w:cs="微软雅黑"/>
                <w:b/>
                <w:bCs/>
                <w:caps w:val="0"/>
                <w:color w:val="000000"/>
                <w:sz w:val="22"/>
                <w:szCs w:val="22"/>
                <w:vertAlign w:val="baseline"/>
              </w:rPr>
            </w:pP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36640B8F">
            <w:pPr>
              <w:keepNext w:val="0"/>
              <w:keepLines w:val="0"/>
              <w:widowControl w:val="0"/>
              <w:suppressLineNumbers w:val="0"/>
              <w:spacing w:before="0" w:beforeAutospacing="0" w:after="0" w:afterAutospacing="0" w:line="240" w:lineRule="auto"/>
              <w:ind w:left="0" w:right="0" w:firstLine="0"/>
              <w:jc w:val="left"/>
              <w:rPr>
                <w:rFonts w:hint="eastAsia" w:ascii="宋体" w:hAnsi="宋体" w:eastAsia="宋体" w:cs="微软雅黑"/>
                <w:b/>
                <w:bCs/>
                <w:caps w:val="0"/>
                <w:color w:val="000000"/>
                <w:sz w:val="22"/>
                <w:szCs w:val="22"/>
                <w:vertAlign w:val="baseline"/>
              </w:rPr>
            </w:pPr>
          </w:p>
        </w:tc>
      </w:tr>
      <w:tr w14:paraId="7B7D3FA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1313"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14:paraId="03283281">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3EAAB607">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定压备份网络音箱</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2787FAA1">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一体化壁挂式设计，内置网络音频解码、高性能功放及全频扬声器单元</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内置双通道数字功放，支持定阻输出，可外接一路副音箱，具备服务器音量调节功能</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采用双核芯片，内置NORFlash+EMMC双存储，支持系统双备份</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支持实时和定时任务播放，支持本地保存60个定时任务，内置1GB存储空间最多支持1000个wav、mp3音频素材库管理</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支持NTP自动校时，系统时间与服务器自动同步，确保多设备播放同步和定时任务准时执行</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集成DRC和AEC、ANS、AGC音频算法，支持播放MP3、WAV格式音频文件，支持48kHz采样率16bit数字音频码流解码</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设备独立支持报警输入、布防计划及语音联动，支持TTS语音合成和文本广播，自然流畅的标准男女双声可选</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支持网络音频信号、本地3.5mm本地输入、蓝牙音频输入进行混音，根据任务优先级自动调整音量，优先级可配置，</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支持广播平台设置断点续播功能，每日同时段的循环播放具备断点记忆，被打断恢复后，可自动从下一个音频文件开始播放</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支持离线广播功能，下发音频文件、定时广播任务和报警触发任务后，终端在断网后可继续播放</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内置阵列麦克风，支持平台端对现场的监听与对讲</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具有过流、过压、欠压、过载、短路保护功能</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物理接口：报警输入╳2；音频输入：Line in╳1、定压输入╳1，蓝牙输入╳1；音频输出：定阻输出╳1</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6931A19F">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160</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37439C97">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只</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31A5EF57">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6F0B377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56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14:paraId="6BF4791B">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2</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334516B7">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副音箱</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0B5E4B04">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连接主音箱扩音;</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额定功率：20W</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扬声器单元：全频5.25′′×1</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灵敏度（1m，1W）：90dB</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最大声压级（1m）：101dBSPL</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频率响应：100Hz-20kHz</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音频输入：定阻输入×1，COM8Ω</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7C6E91EE">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160</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605B4667">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只</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397F90F7">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72C02C9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6684" w:type="dxa"/>
            <w:gridSpan w:val="3"/>
            <w:tcBorders>
              <w:top w:val="single" w:color="000000" w:sz="4" w:space="0"/>
              <w:left w:val="single" w:color="000000" w:sz="4" w:space="0"/>
              <w:bottom w:val="single" w:color="000000" w:sz="4" w:space="0"/>
              <w:right w:val="single" w:color="000000" w:sz="4" w:space="0"/>
            </w:tcBorders>
            <w:noWrap/>
            <w:vAlign w:val="center"/>
          </w:tcPr>
          <w:p w14:paraId="12F8B6B9">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b/>
                <w:bCs/>
                <w:caps w:val="0"/>
                <w:color w:val="000000"/>
                <w:sz w:val="22"/>
                <w:szCs w:val="22"/>
                <w:vertAlign w:val="baseline"/>
              </w:rPr>
            </w:pPr>
            <w:r>
              <w:rPr>
                <w:rFonts w:hint="eastAsia" w:ascii="宋体" w:hAnsi="宋体" w:eastAsia="宋体" w:cs="微软雅黑"/>
                <w:b/>
                <w:bCs/>
                <w:caps w:val="0"/>
                <w:color w:val="000000"/>
                <w:kern w:val="0"/>
                <w:sz w:val="22"/>
                <w:szCs w:val="22"/>
                <w:vertAlign w:val="baseline"/>
                <w:lang w:val="en-US" w:eastAsia="zh-CN" w:bidi="ar"/>
              </w:rPr>
              <w:t>四栋教学楼教室（校园广播）</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22AAB924">
            <w:pPr>
              <w:keepNext w:val="0"/>
              <w:keepLines w:val="0"/>
              <w:widowControl w:val="0"/>
              <w:suppressLineNumbers w:val="0"/>
              <w:spacing w:before="0" w:beforeAutospacing="0" w:after="0" w:afterAutospacing="0" w:line="240" w:lineRule="auto"/>
              <w:ind w:left="0" w:right="0" w:firstLine="0"/>
              <w:jc w:val="left"/>
              <w:rPr>
                <w:rFonts w:hint="eastAsia" w:ascii="宋体" w:hAnsi="宋体" w:eastAsia="宋体" w:cs="微软雅黑"/>
                <w:b/>
                <w:bCs/>
                <w:caps w:val="0"/>
                <w:color w:val="000000"/>
                <w:sz w:val="22"/>
                <w:szCs w:val="22"/>
                <w:vertAlign w:val="baseline"/>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A332481">
            <w:pPr>
              <w:keepNext w:val="0"/>
              <w:keepLines w:val="0"/>
              <w:widowControl w:val="0"/>
              <w:suppressLineNumbers w:val="0"/>
              <w:spacing w:before="0" w:beforeAutospacing="0" w:after="0" w:afterAutospacing="0" w:line="240" w:lineRule="auto"/>
              <w:ind w:left="0" w:right="0" w:firstLine="0"/>
              <w:jc w:val="left"/>
              <w:rPr>
                <w:rFonts w:hint="eastAsia" w:ascii="宋体" w:hAnsi="宋体" w:eastAsia="宋体" w:cs="微软雅黑"/>
                <w:b/>
                <w:bCs/>
                <w:caps w:val="0"/>
                <w:color w:val="000000"/>
                <w:sz w:val="22"/>
                <w:szCs w:val="22"/>
                <w:vertAlign w:val="baseline"/>
              </w:rPr>
            </w:pP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1F1C4AFD">
            <w:pPr>
              <w:keepNext w:val="0"/>
              <w:keepLines w:val="0"/>
              <w:widowControl w:val="0"/>
              <w:suppressLineNumbers w:val="0"/>
              <w:spacing w:before="0" w:beforeAutospacing="0" w:after="0" w:afterAutospacing="0" w:line="240" w:lineRule="auto"/>
              <w:ind w:left="0" w:right="0" w:firstLine="0"/>
              <w:jc w:val="left"/>
              <w:rPr>
                <w:rFonts w:hint="eastAsia" w:ascii="宋体" w:hAnsi="宋体" w:eastAsia="宋体" w:cs="微软雅黑"/>
                <w:b/>
                <w:bCs/>
                <w:caps w:val="0"/>
                <w:color w:val="000000"/>
                <w:sz w:val="22"/>
                <w:szCs w:val="22"/>
                <w:vertAlign w:val="baseline"/>
              </w:rPr>
            </w:pPr>
          </w:p>
        </w:tc>
      </w:tr>
      <w:tr w14:paraId="00701BF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10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14:paraId="6071BF4B">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42E45607">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壁挂音箱</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3BA38F8A">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壁挂音箱</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壁挂式安装设计，木质音箱，带3档音量调节</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最大功率 10W</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壳体 ABS+木箱</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28E2025C">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300</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25C774D6">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只</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1B3100D1">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0583E95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486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14:paraId="4DF88961">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2</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63DCF1EF">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网络功放</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04B36F47">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单通道网络数字功放</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2U机架式设计，高性能的网络定压功放，启动时间≤1秒；</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内置240 W高效率数字功放，定压100 V输出，效率高达90%以上；</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带前置信号输入功能(1路话筒输入、1路RCA输入、1路网络音频)；</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设备具有音量环形指示灯，支持远程或本地音量调节旋钮调节所有通道的输出音量；</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支持被广播主机或平台发起实时广播；</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支持通过6.5 mm、线路输入或莲花头输入进行实时广播；</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具有红绿双色指示灯，显示设备工作状态；</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标准RJ45接口，有以太网口地方即可接入，支持跨网段和跨路由。</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操作系统：嵌入式Linux</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设备电源：100~240VAC  50/60Hz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安装方式：2U机架安装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输出功率：240 W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支持本地音量调节：支持</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音频采样率：16K</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音量调节：支持</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音频输入：6.5 mm MIC输入接口×1，莲花头输入×1，网络音频输入×1</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音频输出：单通道100 V输出 </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41CC7F07">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20</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75BA3DC9">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2DB3444E">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12536C5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6684" w:type="dxa"/>
            <w:gridSpan w:val="3"/>
            <w:tcBorders>
              <w:top w:val="single" w:color="000000" w:sz="4" w:space="0"/>
              <w:left w:val="single" w:color="000000" w:sz="4" w:space="0"/>
              <w:bottom w:val="single" w:color="000000" w:sz="4" w:space="0"/>
              <w:right w:val="single" w:color="000000" w:sz="4" w:space="0"/>
            </w:tcBorders>
            <w:noWrap/>
            <w:vAlign w:val="center"/>
          </w:tcPr>
          <w:p w14:paraId="39D080E1">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b/>
                <w:bCs/>
                <w:caps w:val="0"/>
                <w:color w:val="000000"/>
                <w:sz w:val="22"/>
                <w:szCs w:val="22"/>
                <w:vertAlign w:val="baseline"/>
              </w:rPr>
            </w:pPr>
            <w:r>
              <w:rPr>
                <w:rFonts w:hint="eastAsia" w:ascii="宋体" w:hAnsi="宋体" w:eastAsia="宋体" w:cs="微软雅黑"/>
                <w:b/>
                <w:bCs/>
                <w:caps w:val="0"/>
                <w:color w:val="000000"/>
                <w:kern w:val="0"/>
                <w:sz w:val="22"/>
                <w:szCs w:val="22"/>
                <w:vertAlign w:val="baseline"/>
                <w:lang w:val="en-US" w:eastAsia="zh-CN" w:bidi="ar"/>
              </w:rPr>
              <w:t>校园外部广播</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3C318759">
            <w:pPr>
              <w:keepNext w:val="0"/>
              <w:keepLines w:val="0"/>
              <w:widowControl w:val="0"/>
              <w:suppressLineNumbers w:val="0"/>
              <w:spacing w:before="0" w:beforeAutospacing="0" w:after="0" w:afterAutospacing="0" w:line="240" w:lineRule="auto"/>
              <w:ind w:left="0" w:right="0" w:firstLine="0"/>
              <w:jc w:val="left"/>
              <w:rPr>
                <w:rFonts w:hint="eastAsia" w:ascii="宋体" w:hAnsi="宋体" w:eastAsia="宋体" w:cs="微软雅黑"/>
                <w:b/>
                <w:bCs/>
                <w:caps w:val="0"/>
                <w:color w:val="000000"/>
                <w:sz w:val="22"/>
                <w:szCs w:val="22"/>
                <w:vertAlign w:val="baseline"/>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1FA82AD4">
            <w:pPr>
              <w:keepNext w:val="0"/>
              <w:keepLines w:val="0"/>
              <w:widowControl w:val="0"/>
              <w:suppressLineNumbers w:val="0"/>
              <w:spacing w:before="0" w:beforeAutospacing="0" w:after="0" w:afterAutospacing="0" w:line="240" w:lineRule="auto"/>
              <w:ind w:left="0" w:right="0" w:firstLine="0"/>
              <w:jc w:val="left"/>
              <w:rPr>
                <w:rFonts w:hint="eastAsia" w:ascii="宋体" w:hAnsi="宋体" w:eastAsia="宋体" w:cs="微软雅黑"/>
                <w:b/>
                <w:bCs/>
                <w:caps w:val="0"/>
                <w:color w:val="000000"/>
                <w:sz w:val="22"/>
                <w:szCs w:val="22"/>
                <w:vertAlign w:val="baseline"/>
              </w:rPr>
            </w:pP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0963C1DB">
            <w:pPr>
              <w:keepNext w:val="0"/>
              <w:keepLines w:val="0"/>
              <w:widowControl w:val="0"/>
              <w:suppressLineNumbers w:val="0"/>
              <w:spacing w:before="0" w:beforeAutospacing="0" w:after="0" w:afterAutospacing="0" w:line="240" w:lineRule="auto"/>
              <w:ind w:left="0" w:right="0" w:firstLine="0"/>
              <w:jc w:val="left"/>
              <w:rPr>
                <w:rFonts w:hint="eastAsia" w:ascii="宋体" w:hAnsi="宋体" w:eastAsia="宋体" w:cs="微软雅黑"/>
                <w:b/>
                <w:bCs/>
                <w:caps w:val="0"/>
                <w:color w:val="000000"/>
                <w:sz w:val="22"/>
                <w:szCs w:val="22"/>
                <w:vertAlign w:val="baseline"/>
              </w:rPr>
            </w:pPr>
          </w:p>
        </w:tc>
      </w:tr>
      <w:tr w14:paraId="204B2BD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405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0C01CA50">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5AF3567C">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室外防水音柱</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（120W）</w:t>
            </w:r>
          </w:p>
        </w:tc>
        <w:tc>
          <w:tcPr>
            <w:tcW w:w="5472" w:type="dxa"/>
            <w:tcBorders>
              <w:top w:val="single" w:color="000000" w:sz="4" w:space="0"/>
              <w:left w:val="single" w:color="000000" w:sz="4" w:space="0"/>
              <w:bottom w:val="single" w:color="000000" w:sz="4" w:space="0"/>
              <w:right w:val="single" w:color="000000" w:sz="4" w:space="0"/>
            </w:tcBorders>
            <w:noWrap w:val="0"/>
            <w:vAlign w:val="top"/>
          </w:tcPr>
          <w:p w14:paraId="6CB149AD">
            <w:pPr>
              <w:keepNext w:val="0"/>
              <w:keepLines w:val="0"/>
              <w:widowControl/>
              <w:suppressLineNumbers w:val="0"/>
              <w:spacing w:before="0" w:beforeAutospacing="0" w:after="0" w:afterAutospacing="0" w:line="240" w:lineRule="auto"/>
              <w:ind w:left="0" w:right="0" w:firstLine="0"/>
              <w:jc w:val="left"/>
              <w:textAlignment w:val="top"/>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采用网络音频解码、高性能功放及扬声器三合一，中低音和高音分频设计</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采用双核芯片，内置NOR Flash+EMMC双存储，支持系统双备份</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支持安全启动、用户登录锁定机制及密码复杂度提示，支持安全审计日志事后可追溯</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支持通过IP网络（局域网/公网），远程平台批量统一管理+本地WEB单机灵活配置，同时支持本地音频采集播放</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支持实时和定时任务播放，支持本地保存60个定时任务，内置1GB存储空间支持1000个wav、mp3音频素材库管理</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支持NTP自动校时，系统时间与服务器自动同步，确保多设备播放同步和定时任务准时执行</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集成DRC和AEC、ANS、AGC音频算法，支持播放MP3、WAV格式音频文件，支持48kHz采样率16bit数字音频码流解码</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支持DC24V/POE等多种供电方式</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设备独立支持报警输入、布防计划及语音联动，支持TTS语音合成和文本广播，自然流畅的标准男女双声可选</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支持网络广播及本地输入混音、优先级可配置</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可脱离平台独立联动IPC事件报警，如人员聚集报警、异常事件检测等，针对不同报警事件播报不同内容</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支持离线广播功能，下发音频文件、定时广播任务和报警触发任务后，终端在断网后可继续播放</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支持广播平台设置断点续播功能，每日同时段的循环播放具备断点记忆，被打断恢复后，可自动从下一个音频文件开始播放</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内置阵列麦克风，支持平台端对现场的监听与对讲</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物理接口：报警输入 ╳ 2、音频输入：Line in ╳ 2</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0DDB43FE">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24</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ABF580F">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只</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35A8F827">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0172CCB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6684" w:type="dxa"/>
            <w:gridSpan w:val="3"/>
            <w:tcBorders>
              <w:top w:val="single" w:color="000000" w:sz="4" w:space="0"/>
              <w:left w:val="single" w:color="000000" w:sz="4" w:space="0"/>
              <w:bottom w:val="single" w:color="000000" w:sz="4" w:space="0"/>
              <w:right w:val="single" w:color="000000" w:sz="4" w:space="0"/>
            </w:tcBorders>
            <w:noWrap/>
            <w:vAlign w:val="center"/>
          </w:tcPr>
          <w:p w14:paraId="0BF50516">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b/>
                <w:bCs/>
                <w:caps w:val="0"/>
                <w:color w:val="000000"/>
                <w:sz w:val="22"/>
                <w:szCs w:val="22"/>
                <w:vertAlign w:val="baseline"/>
              </w:rPr>
            </w:pPr>
            <w:r>
              <w:rPr>
                <w:rFonts w:hint="eastAsia" w:ascii="宋体" w:hAnsi="宋体" w:eastAsia="宋体" w:cs="微软雅黑"/>
                <w:b/>
                <w:bCs/>
                <w:caps w:val="0"/>
                <w:color w:val="000000"/>
                <w:kern w:val="0"/>
                <w:sz w:val="22"/>
                <w:szCs w:val="22"/>
                <w:vertAlign w:val="baseline"/>
                <w:lang w:val="en-US" w:eastAsia="zh-CN" w:bidi="ar"/>
              </w:rPr>
              <w:t>室外体育场</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7E6C2BC6">
            <w:pPr>
              <w:keepNext w:val="0"/>
              <w:keepLines w:val="0"/>
              <w:widowControl w:val="0"/>
              <w:suppressLineNumbers w:val="0"/>
              <w:spacing w:before="0" w:beforeAutospacing="0" w:after="0" w:afterAutospacing="0" w:line="240" w:lineRule="auto"/>
              <w:ind w:left="0" w:right="0" w:firstLine="0"/>
              <w:jc w:val="left"/>
              <w:rPr>
                <w:rFonts w:hint="eastAsia" w:ascii="宋体" w:hAnsi="宋体" w:eastAsia="宋体" w:cs="微软雅黑"/>
                <w:b/>
                <w:bCs/>
                <w:caps w:val="0"/>
                <w:color w:val="000000"/>
                <w:sz w:val="22"/>
                <w:szCs w:val="22"/>
                <w:vertAlign w:val="baseline"/>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6E315D1">
            <w:pPr>
              <w:keepNext w:val="0"/>
              <w:keepLines w:val="0"/>
              <w:widowControl w:val="0"/>
              <w:suppressLineNumbers w:val="0"/>
              <w:spacing w:before="0" w:beforeAutospacing="0" w:after="0" w:afterAutospacing="0" w:line="240" w:lineRule="auto"/>
              <w:ind w:left="0" w:right="0" w:firstLine="0"/>
              <w:jc w:val="left"/>
              <w:rPr>
                <w:rFonts w:hint="eastAsia" w:ascii="宋体" w:hAnsi="宋体" w:eastAsia="宋体" w:cs="微软雅黑"/>
                <w:b/>
                <w:bCs/>
                <w:caps w:val="0"/>
                <w:color w:val="000000"/>
                <w:sz w:val="22"/>
                <w:szCs w:val="22"/>
                <w:vertAlign w:val="baseline"/>
              </w:rPr>
            </w:pP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4B518C5F">
            <w:pPr>
              <w:keepNext w:val="0"/>
              <w:keepLines w:val="0"/>
              <w:widowControl w:val="0"/>
              <w:suppressLineNumbers w:val="0"/>
              <w:spacing w:before="0" w:beforeAutospacing="0" w:after="0" w:afterAutospacing="0" w:line="240" w:lineRule="auto"/>
              <w:ind w:left="0" w:right="0" w:firstLine="0"/>
              <w:jc w:val="left"/>
              <w:rPr>
                <w:rFonts w:hint="eastAsia" w:ascii="宋体" w:hAnsi="宋体" w:eastAsia="宋体" w:cs="微软雅黑"/>
                <w:b/>
                <w:bCs/>
                <w:caps w:val="0"/>
                <w:color w:val="000000"/>
                <w:sz w:val="22"/>
                <w:szCs w:val="22"/>
                <w:vertAlign w:val="baseline"/>
              </w:rPr>
            </w:pPr>
          </w:p>
        </w:tc>
      </w:tr>
      <w:tr w14:paraId="121F4CE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459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4419024F">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2384205B">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网络解码器</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62A2D719">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 xml:space="preserve">网络音频解码器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2U机架式设计，高性能的网络定压功放，启动时间≤1秒；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带本地音频输入功能，1路话筒输入、1路RCA输入、1路网络音频， 各音频通道均有独立的音量调节；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设备具有音量环形指示灯，支持远程或本地音量调节旋钮调节网络通道的输出音量；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支持被广播主机或平台发起实时广播，可对单个通道进行广播；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支持通过6.5 mm、莲花头输入进行实时广播；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内置大容量存储器，支持接收通过管理机或平台远程下发的音频文件、定时广播任务和报警触发任务；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支持离线广播，当网络中断时、可自动开启本地播放；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支持网络输入和本地音频输入进行混音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标准RJ45接口，有以太网口地方即可接入，支持跨网段和跨路由。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操作系统：嵌入式Linux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设备电源：100~240VAC  50/60Hz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支持本地音量调节：支持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音频采样率：16K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音量调节：支持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音频输入：6.5 mm MIC输入接口×1，莲花头输入×1，网络音频输入×1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音频输出：1路莲花头输出 </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4FA2BCE7">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6D0D9425">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4D1B542A">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07D960F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24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144559C2">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2</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0E852446">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前置放大器</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65D86AFB">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标准(2U)机柜式设计，黑色喷砂面板</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具有5路话筒(MIC)输入，第1路话筒(MIC1)具有优先级。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3线路标准信号(AUX输入。2路EMC线路RCA输入，2路EMC话筒MIC输入。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MIC1和EMC最高优先权限功能可通过拨动开关选择。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MIC2、3、4、5和AUX1、2、3可交叉混合输出。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话筒(MIC)输入和线路(AUX输入可独立调节，设有总音量调节，高低音调节，具有默音调节和EMC输入增益调节。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信噪比：≥75dB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总谐波失真THD：≤1%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指示灯：POWER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频率响应：20Hz-20KHz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工作电源：220V~50Hz F1AL250V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电源功耗：15W </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7BA3F509">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BF5761C">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3F7B2246">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643487C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162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0969DBAF">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3</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4B20FA8C">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纯后级功放</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25DC153F">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 xml:space="preserve">2000W纯后级功放D类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两路线路输入，第二组PIN2可作为输出级联下一台功放。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设有热保护、过流、过压、短路保护等功能。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支持多种指示灯显示（电源、信号、峰值、故障）。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采用风机强制散热结构，可以让机器长时间工作。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本机有热保护、过流、过压、短路保护，开机延时等功能。 </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67DD0A51">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6DA33739">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3FAD668E">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29E02CB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189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6E69D76A">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4</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7CE04EAA">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室外音柱</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22635922">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 xml:space="preserve">模拟音柱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额定功率（PHC） 120W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额定电压 100V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产品尺寸160×160×780mm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灵敏度 （1kHz,1 米） 91dB±3 dB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壳体 整体铝型材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输出功率：120W        </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6E7F203A">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8</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11EF6088">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24821373">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2D4890D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1175"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00C15F79">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5</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4FF197DE">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手持一拖二</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08FF8AEA">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用UHF超高频段，比传统的VHF频段干扰更少，传输更可靠</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具有一键自动扫频功能，可自动扫描出使用环境中最干净的频点。</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具备前置监听接口，可便捷对接收机的音频输出效果进行监听</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支持平衡和非平衡两种选择输出端口，适应不同的设备连接需求</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支持mic/line两种输出模式，适配不同后级接入设备</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红外对频功能，只需一按接收机对频键，发射机就会自动追锁接收机频率并调整一致，方便使用</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接收机可设置锁屏功能，防止使用误操作</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高档液晶显示屏采用全新的背光补亮方式，使接收机及发射器的工作状态一目了然</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70F17FA6">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2</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661D92C">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3DC2B61B">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0FEAF93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25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23DF62CA">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6</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5F91294D">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天线放大器</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1D4C2E02">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 xml:space="preserve">天线放大系统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有源对数周期天线支持多种安装方式（话筒支架、壁装、悬挂吊装)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具备四组 DC 12/1A直流输出。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电源输入：DC 12V/5 A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射频范围：450~972 MHz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直流输出：4 × DC 12 V/1 A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天线输入端口：2 × DC 12 V/150 mA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天线接头类型：BNC插座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天线阻抗：50欧姆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天线输出口：4路双通道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天线级联口：1路双通道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天线增益：3 dB/10 dB两档可调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接收角度：65°（垂直角），120°（水平角） </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3D726BE8">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FCDDA9F">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238EF613">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p>
        </w:tc>
      </w:tr>
      <w:tr w14:paraId="432EE5A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6684" w:type="dxa"/>
            <w:gridSpan w:val="3"/>
            <w:tcBorders>
              <w:top w:val="single" w:color="000000" w:sz="4" w:space="0"/>
              <w:left w:val="single" w:color="000000" w:sz="4" w:space="0"/>
              <w:bottom w:val="single" w:color="000000" w:sz="4" w:space="0"/>
              <w:right w:val="single" w:color="000000" w:sz="4" w:space="0"/>
            </w:tcBorders>
            <w:noWrap/>
            <w:vAlign w:val="center"/>
          </w:tcPr>
          <w:p w14:paraId="1C48849A">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b/>
                <w:bCs/>
                <w:caps w:val="0"/>
                <w:color w:val="000000"/>
                <w:sz w:val="22"/>
                <w:szCs w:val="22"/>
                <w:vertAlign w:val="baseline"/>
              </w:rPr>
            </w:pPr>
            <w:r>
              <w:rPr>
                <w:rFonts w:hint="eastAsia" w:ascii="宋体" w:hAnsi="宋体" w:eastAsia="宋体" w:cs="微软雅黑"/>
                <w:b/>
                <w:bCs/>
                <w:caps w:val="0"/>
                <w:color w:val="000000"/>
                <w:kern w:val="0"/>
                <w:sz w:val="22"/>
                <w:szCs w:val="22"/>
                <w:vertAlign w:val="baseline"/>
                <w:lang w:val="en-US" w:eastAsia="zh-CN" w:bidi="ar"/>
              </w:rPr>
              <w:t>学校广场</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57DC8525">
            <w:pPr>
              <w:keepNext w:val="0"/>
              <w:keepLines w:val="0"/>
              <w:widowControl w:val="0"/>
              <w:suppressLineNumbers w:val="0"/>
              <w:spacing w:before="0" w:beforeAutospacing="0" w:after="0" w:afterAutospacing="0" w:line="240" w:lineRule="auto"/>
              <w:ind w:left="0" w:right="0" w:firstLine="0"/>
              <w:jc w:val="left"/>
              <w:rPr>
                <w:rFonts w:hint="eastAsia" w:ascii="宋体" w:hAnsi="宋体" w:eastAsia="宋体" w:cs="微软雅黑"/>
                <w:b/>
                <w:bCs/>
                <w:caps w:val="0"/>
                <w:color w:val="000000"/>
                <w:sz w:val="22"/>
                <w:szCs w:val="22"/>
                <w:vertAlign w:val="baseline"/>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23D137E0">
            <w:pPr>
              <w:keepNext w:val="0"/>
              <w:keepLines w:val="0"/>
              <w:widowControl w:val="0"/>
              <w:suppressLineNumbers w:val="0"/>
              <w:spacing w:before="0" w:beforeAutospacing="0" w:after="0" w:afterAutospacing="0" w:line="240" w:lineRule="auto"/>
              <w:ind w:left="0" w:right="0" w:firstLine="0"/>
              <w:jc w:val="left"/>
              <w:rPr>
                <w:rFonts w:hint="eastAsia" w:ascii="宋体" w:hAnsi="宋体" w:eastAsia="宋体" w:cs="微软雅黑"/>
                <w:b/>
                <w:bCs/>
                <w:caps w:val="0"/>
                <w:color w:val="000000"/>
                <w:sz w:val="22"/>
                <w:szCs w:val="22"/>
                <w:vertAlign w:val="baseline"/>
              </w:rPr>
            </w:pP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2421FF89">
            <w:pPr>
              <w:keepNext w:val="0"/>
              <w:keepLines w:val="0"/>
              <w:widowControl w:val="0"/>
              <w:suppressLineNumbers w:val="0"/>
              <w:spacing w:before="0" w:beforeAutospacing="0" w:after="0" w:afterAutospacing="0" w:line="240" w:lineRule="auto"/>
              <w:ind w:left="0" w:right="0" w:firstLine="0"/>
              <w:jc w:val="left"/>
              <w:rPr>
                <w:rFonts w:hint="eastAsia" w:ascii="宋体" w:hAnsi="宋体" w:eastAsia="宋体" w:cs="微软雅黑"/>
                <w:b/>
                <w:bCs/>
                <w:caps w:val="0"/>
                <w:color w:val="000000"/>
                <w:sz w:val="22"/>
                <w:szCs w:val="22"/>
                <w:vertAlign w:val="baseline"/>
              </w:rPr>
            </w:pPr>
          </w:p>
        </w:tc>
      </w:tr>
      <w:tr w14:paraId="7257057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432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3566BF0E">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51449E39">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网络解码器</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3DECA73A">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 xml:space="preserve">网络音频解码器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2U机架式设计，高性能的网络定压功放，启动时间≤1秒；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支持将网络音频解码成模拟音源，解码完成后可通过外接的功放进行扩音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带本地音频输入功能，1路话筒输入、1路RCA输入、1路网络音频， 各音频通道均有独立的音量调节；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设备具有音量环形指示灯，支持远程或本地音量调节旋钮调节网络通道的输出音量；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支持被广播主机或平台发起实时广播，可对单个通道进行广播；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支持通过6.5 mm、莲花头输入进行实时广播；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内置大容量存储器，支持接收通过管理机或平台远程下发的音频文件、定时广播任务和报警触发任务；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标准RJ45接口，有以太网口地方即可接入，支持跨网段和跨路由。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操作系统：嵌入式Linux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设备电源：100~240VAC  50/60Hz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支持本地音量调节：支持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音频采样率：16K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音量调节：支持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音频输入：6.5 mm MIC输入接口×1，莲花头输入×1，网络音频输入×1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音频输出：1路莲花头输出 </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7E9C481F">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CB3B3CF">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611A966B">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1B2B094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24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20E378B3">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2</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40ADDF1D">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前置放大器</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409EF156">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标准(2U)机柜式设计，黑色喷砂面板</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具有5路话筒(MIC)输入，第1路话筒(MIC1)具有优先级。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3线路标准信号(AUX输入。2路EMC线路RCA输入，2路EMC话筒MIC输入。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MIC1和EMC最高优先权限功能可通过拨动开关选择。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MIC2、3、4、5和AUX1、2、3可交叉混合输出。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话筒(MIC)输入和线路(AUX输入可独立调节，设有总音量调节，高低音调节，具有默音调节和EMC输入增益调节。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信噪比：≥75dB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总谐波失真THD：≤1%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指示灯：POWER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频率响应：20Hz-20KHz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工作电源：220V~50Hz F1AL250V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电源功耗：15W </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5C90B23D">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1236BEFC">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61CEB951">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5AA358E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162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67ACC037">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3</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706B217E">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纯后级功放</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4BE087A2">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 xml:space="preserve">2000W纯后级功放D类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两路线路输入，第二组PIN2可作为输出级联下一台功放。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设有热保护、过流、过压、短路保护等功能。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支持多种指示灯显示（电源、信号、峰值、故障）。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采用风机强制散热结构，可以让机器长时间工作。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本机有热保护、过流、过压、短路保护，开机延时等功能。 </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643A8AF4">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1C9C64BA">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48FCBA64">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228069F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189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0C087E54">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4</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43307055">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室外音柱</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0F30F478">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 xml:space="preserve">模拟音柱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额定功率（PHC） 120W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额定电压 100V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产品尺寸160×160×780mm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灵敏度 （1kHz,1 米） 91dB±3 dB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壳体 整体铝型材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输出功率：120W        </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6410C212">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6</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1A6F7691">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7630B852">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2411C41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115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2994902C">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5</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6F37D748">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手持一拖二</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6B365FEB">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用UHF超高频段，比传统的VHF频段干扰更少，传输更可靠</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具有一键自动扫频功能，可自动扫描出使用环境中最干净的频点。</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具备前置监听接口，可便捷对接收机的音频输出效果进行监听</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支持平衡和非平衡两种选择输出端口，适应不同的设备连接需求</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支持mic/line两种输出模式，适配不同后级接入设备</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红外对频功能，只需一按接收机对频键，发射机就会自动追锁接收机频率并调整一致，方便使用</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接收机可设置锁屏功能，防止使用误操作</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高档液晶显示屏采用全新的背光补亮方式，使接收机及发射器的工作状态一目了然</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3B26D7BA">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2</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679688B">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0CF2B1B9">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126D194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405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36DEACDB">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6</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5B90C7B3">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天线放大器</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1B38D9D1">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 xml:space="preserve">天线放大系统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UHF天线分配器，单机能够让四套无线麦克风接收机共用一对接收天线，级联端口能够连接到第五套无线麦克风接收机或级联到下一套天线分配器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具备四组 DC 12/1A直流输出。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电源输入：DC 12V/5 A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射频范围：450~972 MHz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直流输出：4 × DC 12 V/1 A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天线输入端口：2 × DC 12 V/150 mA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天线接头类型：BNC插座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天线阻抗：50欧姆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天线输出口：4路双通道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天线级联口：1路双通道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天线增益：3 dB/10 dB两档可调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接收角度：65°（垂直角），120°（水平角）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电流消耗：＞ 60 mA/DC 12 V </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634D8F4B">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921776A">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657CD93B">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74DACD1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6684" w:type="dxa"/>
            <w:gridSpan w:val="3"/>
            <w:tcBorders>
              <w:top w:val="single" w:color="000000" w:sz="4" w:space="0"/>
              <w:left w:val="single" w:color="000000" w:sz="4" w:space="0"/>
              <w:bottom w:val="single" w:color="000000" w:sz="4" w:space="0"/>
              <w:right w:val="single" w:color="000000" w:sz="4" w:space="0"/>
            </w:tcBorders>
            <w:noWrap/>
            <w:vAlign w:val="center"/>
          </w:tcPr>
          <w:p w14:paraId="52F0064E">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b/>
                <w:bCs/>
                <w:caps w:val="0"/>
                <w:color w:val="000000"/>
                <w:sz w:val="22"/>
                <w:szCs w:val="22"/>
                <w:vertAlign w:val="baseline"/>
              </w:rPr>
            </w:pPr>
            <w:r>
              <w:rPr>
                <w:rFonts w:hint="eastAsia" w:ascii="宋体" w:hAnsi="宋体" w:eastAsia="宋体" w:cs="微软雅黑"/>
                <w:b/>
                <w:bCs/>
                <w:caps w:val="0"/>
                <w:color w:val="000000"/>
                <w:kern w:val="0"/>
                <w:sz w:val="22"/>
                <w:szCs w:val="22"/>
                <w:vertAlign w:val="baseline"/>
                <w:lang w:val="en-US" w:eastAsia="zh-CN" w:bidi="ar"/>
              </w:rPr>
              <w:t>施工辅材</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1C1A10C3">
            <w:pPr>
              <w:keepNext w:val="0"/>
              <w:keepLines w:val="0"/>
              <w:widowControl w:val="0"/>
              <w:suppressLineNumbers w:val="0"/>
              <w:spacing w:before="0" w:beforeAutospacing="0" w:after="0" w:afterAutospacing="0" w:line="240" w:lineRule="auto"/>
              <w:ind w:left="0" w:right="0" w:firstLine="0"/>
              <w:jc w:val="left"/>
              <w:rPr>
                <w:rFonts w:hint="eastAsia" w:ascii="宋体" w:hAnsi="宋体" w:eastAsia="宋体" w:cs="微软雅黑"/>
                <w:b/>
                <w:bCs/>
                <w:caps w:val="0"/>
                <w:color w:val="000000"/>
                <w:sz w:val="22"/>
                <w:szCs w:val="22"/>
                <w:vertAlign w:val="baseline"/>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F5984D1">
            <w:pPr>
              <w:keepNext w:val="0"/>
              <w:keepLines w:val="0"/>
              <w:widowControl w:val="0"/>
              <w:suppressLineNumbers w:val="0"/>
              <w:spacing w:before="0" w:beforeAutospacing="0" w:after="0" w:afterAutospacing="0" w:line="240" w:lineRule="auto"/>
              <w:ind w:left="0" w:right="0" w:firstLine="0"/>
              <w:jc w:val="left"/>
              <w:rPr>
                <w:rFonts w:hint="eastAsia" w:ascii="宋体" w:hAnsi="宋体" w:eastAsia="宋体" w:cs="微软雅黑"/>
                <w:b/>
                <w:bCs/>
                <w:caps w:val="0"/>
                <w:color w:val="000000"/>
                <w:sz w:val="22"/>
                <w:szCs w:val="22"/>
                <w:vertAlign w:val="baseline"/>
              </w:rPr>
            </w:pP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7A48156F">
            <w:pPr>
              <w:keepNext w:val="0"/>
              <w:keepLines w:val="0"/>
              <w:widowControl w:val="0"/>
              <w:suppressLineNumbers w:val="0"/>
              <w:spacing w:before="0" w:beforeAutospacing="0" w:after="0" w:afterAutospacing="0" w:line="240" w:lineRule="auto"/>
              <w:ind w:left="0" w:right="0" w:firstLine="0"/>
              <w:jc w:val="left"/>
              <w:rPr>
                <w:rFonts w:hint="eastAsia" w:ascii="宋体" w:hAnsi="宋体" w:eastAsia="宋体" w:cs="微软雅黑"/>
                <w:b/>
                <w:bCs/>
                <w:caps w:val="0"/>
                <w:color w:val="000000"/>
                <w:sz w:val="22"/>
                <w:szCs w:val="22"/>
                <w:vertAlign w:val="baseline"/>
              </w:rPr>
            </w:pPr>
          </w:p>
        </w:tc>
      </w:tr>
      <w:tr w14:paraId="5F397DB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270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0ED07F9A">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650A3E6A">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42U机柜</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0FE121C4">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42U，网孔门，落地机柜</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承重：静态1000KG</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前后门材质：前单开网孔门，后双开网孔门，冷轧板 T=1.2</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门敞开百分比：前门78%，后门77.2%</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侧门材质：冷轧板 T=1.0</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门框左右立柱材质：冷轧板 T=1.2（框架）</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PDU：1个，8口PDU，输入10A，带2M线</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滚轮：支持，4个</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脚撑：支持，4个</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辅件：40套安装螺丝，前/后侧门钥匙各两把</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269B7EF8">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3</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06FB6ABC">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1921F6AB">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18992D1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162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4A86E481">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2</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3FCE0780">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超五类网线</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7E8207A7">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 xml:space="preserve">超5类网线,Cat5e非屏蔽双绞线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标准：符合ISO/IEC 11801、TIA-568.2-D、GB/T 18015.5要求,所用材料符合RoHS要求，性能指标优于现行5e类线缆100MHz标准；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标准装箱长度:305m±1.5m；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芯线规格:24AWG,无氧铜；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线缆结构：4对8芯双绞线,每芯均有颜色区分,外皮印有厂商标识及电缆编码，有撕裂绳；</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21B73DC5">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8</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3A29C9F0">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箱</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191C1A13">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68E2432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162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2B7F84CD">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3</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4DD863F4">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超五类水晶头</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233CF405">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超5类非屏蔽水晶头</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标准:符合ISO/IEC 11801:2002 Ed2.0</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ANSI/TIA 568C.2要求</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所用材料符合RoHS要求</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通过UL认证；</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包装:100颗/盒;</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6E8F5581">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3</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05922016">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盒</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599BD42F">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47F3F37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189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6C973B0A">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4</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2F2451A9">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交换机</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319A46DA">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 xml:space="preserve">提供8个千兆电口、2个千兆光口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交换容量：20 Gbps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包转发率：14.88 Mpps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支持IEEE 802.3、IEEE 802.3u、IEEE 802.3x、IEEE 802.3ab标准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支持管理平台管理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支持安防网络拓扑管理、端口管理，支持远程升级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支持VLAN </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5F190460">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12</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4F335355">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159F6B43">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1AAF862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162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706A333C">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5</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249A849F">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交换机</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046F136B">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 xml:space="preserve">提供16个千兆光口，8个千兆电口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交换容量：56 Gbps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包转发率：41.66 Mpps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支持管理平台管理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支持安防网络拓扑管理、端口管理，支持远程升级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支持VLAN </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6C0FE16F">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2</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1EA08760">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00AC442B">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4EF756E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842"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320D5527">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6</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1C0CD915">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交换机</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1AF8419D">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 xml:space="preserve">二层网管型千兆交换机（24千兆电+4千兆光）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交换容量：336Gbps/3.36Tbps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包转发率：108/126Mpps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端口规格：24个10/100/1000Base-T以太网端口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4个1000Base-X以太网端口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电源特性：AC：100 V~240 V AC，50/60 Hz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MAC地址表：支持黑洞MAC地址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支持设置端口MAC地址学习最大个数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VLAN：支持基于端口的VLAN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支持基于MAC的VLAN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支持QinQ、灵活QinQ、VLAN Mapping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ARP：支持ARP Detection功能 </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30C93F07">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2</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039FA05">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2AC4FCAE">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5A1246D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108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57DE59F9">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7</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1D895720">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光模块</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1D8B6C40">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 xml:space="preserve">千兆10公里单模双纤模块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不分收发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发射光功率:-9～-3dBm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接收灵敏度（低值）:-21dBm</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3206C0F7">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24</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00BEE78D">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块</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62D2318F">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7317407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270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167FCBEE">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8</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778B3214">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光纤</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3E966801">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 xml:space="preserve">室外铠装型48芯9/125μmOS2单模光缆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室外铠装48芯OS2单模光缆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工作温度为-20~60℃；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光缆结构:GYTS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护套类型:PE护套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执行标准：ISO/IEC 11801:2002 Ed2.0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衰减：≤0.4dB/km（1310nm）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≤0.3dB/km（1550nm）；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芯核直径：9±2.5μm；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包层直径：125±2μm。 </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76F05DFD">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2000</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D816ABB">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米</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192B0895">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2AF9A23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51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0FA1F09D">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9</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68CA7361">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线缆</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74EAF8C6">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b w:val="0"/>
                <w:bCs w:val="0"/>
                <w:caps w:val="0"/>
                <w:color w:val="000000"/>
                <w:kern w:val="0"/>
                <w:sz w:val="22"/>
                <w:szCs w:val="22"/>
                <w:vertAlign w:val="baseline"/>
                <w:lang w:val="en-US" w:eastAsia="zh-CN" w:bidi="ar"/>
              </w:rPr>
            </w:pPr>
            <w:r>
              <w:rPr>
                <w:rFonts w:hint="eastAsia" w:ascii="宋体" w:hAnsi="宋体" w:eastAsia="宋体" w:cs="微软雅黑"/>
                <w:b w:val="0"/>
                <w:bCs w:val="0"/>
                <w:caps w:val="0"/>
                <w:color w:val="000000"/>
                <w:kern w:val="0"/>
                <w:sz w:val="22"/>
                <w:szCs w:val="22"/>
                <w:vertAlign w:val="baseline"/>
                <w:lang w:val="en-US" w:eastAsia="zh-CN" w:bidi="ar"/>
              </w:rPr>
              <w:t xml:space="preserve">2芯RVV电源线（1.5mm2）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无氧铜线芯，电阻低，导电性强，传输损耗低，发热小，更省电。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环保绝缘、护被，耐磨耐拉伸，抗潮防冻，抵抗各种恶劣气候，可靠耐用。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线芯同心度高，绝缘和护套厚度均匀，防止击穿</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线芯绝缘颜色鲜艳，便于区分，便于施工识别。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符合RoHS 2.0 环保认证。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导体类型：无氧铜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护套类型：PVC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线缆芯数：2芯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线缆类型（电源线）：RVV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屏蔽性能：非屏蔽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标称截面积：1.5mm2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每卷200米</w:t>
            </w:r>
          </w:p>
          <w:p w14:paraId="17025355">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b w:val="0"/>
                <w:bCs w:val="0"/>
                <w:caps w:val="0"/>
                <w:color w:val="000000"/>
                <w:kern w:val="0"/>
                <w:sz w:val="22"/>
                <w:szCs w:val="22"/>
                <w:vertAlign w:val="baseline"/>
                <w:lang w:val="en-US" w:eastAsia="zh-CN" w:bidi="ar"/>
              </w:rPr>
            </w:pPr>
            <w:r>
              <w:rPr>
                <w:rStyle w:val="40"/>
                <w:b/>
                <w:bCs/>
                <w:color w:val="FF0000"/>
                <w:sz w:val="24"/>
                <w:szCs w:val="24"/>
                <w:highlight w:val="none"/>
              </w:rPr>
              <w:t>所投产品</w:t>
            </w:r>
            <w:r>
              <w:rPr>
                <w:rStyle w:val="40"/>
                <w:rFonts w:hint="eastAsia"/>
                <w:b/>
                <w:bCs/>
                <w:color w:val="FF0000"/>
                <w:sz w:val="24"/>
                <w:szCs w:val="24"/>
                <w:highlight w:val="none"/>
              </w:rPr>
              <w:t>须提供国家确定的认证机构出具的、处于有效期之内的CCC产品认证证书</w:t>
            </w:r>
            <w:r>
              <w:rPr>
                <w:rStyle w:val="40"/>
                <w:b/>
                <w:bCs/>
                <w:color w:val="FF0000"/>
                <w:sz w:val="24"/>
                <w:szCs w:val="24"/>
                <w:highlight w:val="none"/>
              </w:rPr>
              <w:t>扫描件或图片。</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112A1E57">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90</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21D0F299">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卷</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2DA40ACF">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51A52CA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9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7A1C2A99">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10</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7858AED4">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线缆</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41E1B601">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b w:val="0"/>
                <w:bCs w:val="0"/>
                <w:caps w:val="0"/>
                <w:color w:val="000000"/>
                <w:kern w:val="0"/>
                <w:sz w:val="22"/>
                <w:szCs w:val="22"/>
                <w:vertAlign w:val="baseline"/>
                <w:lang w:val="en-US" w:eastAsia="zh-CN" w:bidi="ar"/>
              </w:rPr>
            </w:pPr>
            <w:r>
              <w:rPr>
                <w:rFonts w:hint="eastAsia" w:ascii="宋体" w:hAnsi="宋体" w:eastAsia="宋体" w:cs="微软雅黑"/>
                <w:b w:val="0"/>
                <w:bCs w:val="0"/>
                <w:caps w:val="0"/>
                <w:color w:val="000000"/>
                <w:kern w:val="0"/>
                <w:sz w:val="22"/>
                <w:szCs w:val="22"/>
                <w:vertAlign w:val="baseline"/>
                <w:lang w:val="en-US" w:eastAsia="zh-CN" w:bidi="ar"/>
              </w:rPr>
              <w:t xml:space="preserve">2芯RVV电源线（2.5mm2）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无氧铜线芯，电阻低，导电性强，传输损耗低，发热小，更省电。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环保绝缘、护被，耐磨耐拉伸，抗潮防冻，抵抗各种恶劣气候，可靠耐用。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线芯同心度高，绝缘和护套厚度均匀，防止击穿</w:t>
            </w:r>
          </w:p>
          <w:p w14:paraId="58D7FF9A">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b w:val="0"/>
                <w:bCs w:val="0"/>
                <w:caps w:val="0"/>
                <w:color w:val="000000"/>
                <w:kern w:val="0"/>
                <w:sz w:val="22"/>
                <w:szCs w:val="22"/>
                <w:vertAlign w:val="baseline"/>
                <w:lang w:val="en-US" w:eastAsia="zh-CN" w:bidi="ar"/>
              </w:rPr>
            </w:pPr>
            <w:r>
              <w:rPr>
                <w:rFonts w:hint="eastAsia" w:ascii="宋体" w:hAnsi="宋体" w:eastAsia="宋体" w:cs="微软雅黑"/>
                <w:b w:val="0"/>
                <w:bCs w:val="0"/>
                <w:caps w:val="0"/>
                <w:color w:val="000000"/>
                <w:kern w:val="0"/>
                <w:sz w:val="22"/>
                <w:szCs w:val="22"/>
                <w:vertAlign w:val="baseline"/>
                <w:lang w:val="en-US" w:eastAsia="zh-CN" w:bidi="ar"/>
              </w:rPr>
              <w:t xml:space="preserve">线芯绝缘颜色鲜艳，便于区分，便于施工识别。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符合RoHS 2.0 环保认证。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导体类型：无氧铜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护套类型：PVC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线缆芯数：2芯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线缆类型（电源线）：RVV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屏蔽性能：非屏蔽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 xml:space="preserve">标称截面积：2.5mm2 </w:t>
            </w:r>
            <w:r>
              <w:rPr>
                <w:rFonts w:hint="eastAsia" w:ascii="宋体" w:hAnsi="宋体" w:eastAsia="宋体" w:cs="微软雅黑"/>
                <w:b w:val="0"/>
                <w:bCs w:val="0"/>
                <w:caps w:val="0"/>
                <w:color w:val="000000"/>
                <w:kern w:val="0"/>
                <w:sz w:val="22"/>
                <w:szCs w:val="22"/>
                <w:vertAlign w:val="baseline"/>
                <w:lang w:val="en-US" w:eastAsia="zh-CN" w:bidi="ar"/>
              </w:rPr>
              <w:br w:type="textWrapping"/>
            </w:r>
            <w:r>
              <w:rPr>
                <w:rFonts w:hint="eastAsia" w:ascii="宋体" w:hAnsi="宋体" w:eastAsia="宋体" w:cs="微软雅黑"/>
                <w:b w:val="0"/>
                <w:bCs w:val="0"/>
                <w:caps w:val="0"/>
                <w:color w:val="000000"/>
                <w:kern w:val="0"/>
                <w:sz w:val="22"/>
                <w:szCs w:val="22"/>
                <w:vertAlign w:val="baseline"/>
                <w:lang w:val="en-US" w:eastAsia="zh-CN" w:bidi="ar"/>
              </w:rPr>
              <w:t>每卷200米</w:t>
            </w:r>
          </w:p>
          <w:p w14:paraId="6DA3A15E">
            <w:pPr>
              <w:rPr>
                <w:rFonts w:hint="eastAsia" w:ascii="宋体" w:hAnsi="宋体" w:eastAsia="宋体" w:cs="微软雅黑"/>
                <w:b w:val="0"/>
                <w:bCs w:val="0"/>
                <w:caps w:val="0"/>
                <w:color w:val="000000"/>
                <w:kern w:val="0"/>
                <w:sz w:val="22"/>
                <w:szCs w:val="22"/>
                <w:vertAlign w:val="baseline"/>
                <w:lang w:val="en-US" w:eastAsia="zh-CN" w:bidi="ar"/>
              </w:rPr>
            </w:pPr>
            <w:r>
              <w:rPr>
                <w:rStyle w:val="40"/>
                <w:b/>
                <w:bCs/>
                <w:color w:val="FF0000"/>
                <w:sz w:val="24"/>
                <w:szCs w:val="24"/>
                <w:highlight w:val="none"/>
              </w:rPr>
              <w:t>所投产品</w:t>
            </w:r>
            <w:r>
              <w:rPr>
                <w:rStyle w:val="40"/>
                <w:rFonts w:hint="eastAsia"/>
                <w:b/>
                <w:bCs/>
                <w:color w:val="FF0000"/>
                <w:sz w:val="24"/>
                <w:szCs w:val="24"/>
                <w:highlight w:val="none"/>
              </w:rPr>
              <w:t>须提供国家确定的认证机构出具的、处于有效期之内的CCC产品认证证书</w:t>
            </w:r>
            <w:r>
              <w:rPr>
                <w:rStyle w:val="40"/>
                <w:b/>
                <w:bCs/>
                <w:color w:val="FF0000"/>
                <w:sz w:val="24"/>
                <w:szCs w:val="24"/>
                <w:highlight w:val="none"/>
              </w:rPr>
              <w:t>扫描件或图片。</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6AA13611">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35</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2EDDC549">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卷</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74A9C845">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57DDEEB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auto" w:sz="4" w:space="0"/>
              <w:right w:val="single" w:color="000000" w:sz="4" w:space="0"/>
            </w:tcBorders>
            <w:noWrap w:val="0"/>
            <w:vAlign w:val="center"/>
          </w:tcPr>
          <w:p w14:paraId="0EDB0F92">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bookmarkStart w:id="0" w:name="_Hlk190113639"/>
            <w:r>
              <w:rPr>
                <w:rFonts w:hint="eastAsia" w:ascii="宋体" w:hAnsi="宋体" w:eastAsia="宋体" w:cs="微软雅黑"/>
                <w:b w:val="0"/>
                <w:bCs w:val="0"/>
                <w:caps w:val="0"/>
                <w:color w:val="000000"/>
                <w:kern w:val="0"/>
                <w:sz w:val="22"/>
                <w:szCs w:val="22"/>
                <w:vertAlign w:val="baseline"/>
                <w:lang w:val="en-US" w:eastAsia="zh-CN" w:bidi="ar"/>
              </w:rPr>
              <w:t>11</w:t>
            </w:r>
          </w:p>
        </w:tc>
        <w:tc>
          <w:tcPr>
            <w:tcW w:w="692" w:type="dxa"/>
            <w:tcBorders>
              <w:top w:val="single" w:color="000000" w:sz="4" w:space="0"/>
              <w:left w:val="single" w:color="000000" w:sz="4" w:space="0"/>
              <w:bottom w:val="single" w:color="auto" w:sz="4" w:space="0"/>
              <w:right w:val="single" w:color="000000" w:sz="4" w:space="0"/>
            </w:tcBorders>
            <w:noWrap w:val="0"/>
            <w:vAlign w:val="center"/>
          </w:tcPr>
          <w:p w14:paraId="082AFFD7">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辅材</w:t>
            </w:r>
          </w:p>
        </w:tc>
        <w:tc>
          <w:tcPr>
            <w:tcW w:w="5472" w:type="dxa"/>
            <w:tcBorders>
              <w:top w:val="single" w:color="000000" w:sz="4" w:space="0"/>
              <w:left w:val="single" w:color="000000" w:sz="4" w:space="0"/>
              <w:bottom w:val="single" w:color="auto" w:sz="4" w:space="0"/>
              <w:right w:val="single" w:color="000000" w:sz="4" w:space="0"/>
            </w:tcBorders>
            <w:noWrap w:val="0"/>
            <w:vAlign w:val="center"/>
          </w:tcPr>
          <w:p w14:paraId="4EA7F467">
            <w:pPr>
              <w:keepNext w:val="0"/>
              <w:keepLines w:val="0"/>
              <w:widowControl/>
              <w:suppressLineNumbers w:val="0"/>
              <w:spacing w:before="0" w:beforeAutospacing="0" w:after="0" w:afterAutospacing="0" w:line="240" w:lineRule="auto"/>
              <w:ind w:left="0" w:right="0" w:firstLine="0"/>
              <w:jc w:val="left"/>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桥架、机柜、扎带、插座、插排、螺丝包等辅材</w:t>
            </w:r>
          </w:p>
        </w:tc>
        <w:tc>
          <w:tcPr>
            <w:tcW w:w="800" w:type="dxa"/>
            <w:tcBorders>
              <w:top w:val="single" w:color="000000" w:sz="4" w:space="0"/>
              <w:left w:val="single" w:color="000000" w:sz="4" w:space="0"/>
              <w:bottom w:val="single" w:color="auto" w:sz="4" w:space="0"/>
              <w:right w:val="single" w:color="000000" w:sz="4" w:space="0"/>
            </w:tcBorders>
            <w:noWrap w:val="0"/>
            <w:vAlign w:val="center"/>
          </w:tcPr>
          <w:p w14:paraId="5390C62F">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1</w:t>
            </w:r>
          </w:p>
        </w:tc>
        <w:tc>
          <w:tcPr>
            <w:tcW w:w="662" w:type="dxa"/>
            <w:tcBorders>
              <w:top w:val="single" w:color="000000" w:sz="4" w:space="0"/>
              <w:left w:val="single" w:color="000000" w:sz="4" w:space="0"/>
              <w:bottom w:val="single" w:color="auto" w:sz="4" w:space="0"/>
              <w:right w:val="single" w:color="000000" w:sz="4" w:space="0"/>
            </w:tcBorders>
            <w:noWrap/>
            <w:vAlign w:val="center"/>
          </w:tcPr>
          <w:p w14:paraId="1B435FC1">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批</w:t>
            </w:r>
          </w:p>
        </w:tc>
        <w:tc>
          <w:tcPr>
            <w:tcW w:w="970" w:type="dxa"/>
            <w:tcBorders>
              <w:top w:val="single" w:color="000000" w:sz="4" w:space="0"/>
              <w:left w:val="single" w:color="000000" w:sz="4" w:space="0"/>
              <w:bottom w:val="single" w:color="auto" w:sz="4" w:space="0"/>
              <w:right w:val="single" w:color="000000" w:sz="4" w:space="0"/>
            </w:tcBorders>
            <w:noWrap/>
            <w:vAlign w:val="center"/>
          </w:tcPr>
          <w:p w14:paraId="58D1C1B6">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bookmarkStart w:id="1" w:name="OLE_LINK3"/>
            <w:bookmarkStart w:id="2" w:name="OLE_LINK4"/>
            <w:r>
              <w:rPr>
                <w:rFonts w:hint="eastAsia" w:ascii="宋体" w:hAnsi="宋体" w:eastAsia="宋体" w:cs="微软雅黑"/>
                <w:b w:val="0"/>
                <w:bCs w:val="0"/>
                <w:caps w:val="0"/>
                <w:color w:val="000000"/>
                <w:kern w:val="0"/>
                <w:sz w:val="22"/>
                <w:szCs w:val="22"/>
                <w:vertAlign w:val="baseline"/>
                <w:lang w:val="en-US" w:eastAsia="zh-CN" w:bidi="ar"/>
              </w:rPr>
              <w:t>工业</w:t>
            </w:r>
          </w:p>
        </w:tc>
      </w:tr>
      <w:tr w14:paraId="4C339DE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520" w:hRule="atLeast"/>
        </w:trPr>
        <w:tc>
          <w:tcPr>
            <w:tcW w:w="9116" w:type="dxa"/>
            <w:gridSpan w:val="6"/>
            <w:tcBorders>
              <w:top w:val="single" w:color="auto" w:sz="4" w:space="0"/>
              <w:left w:val="nil"/>
              <w:bottom w:val="nil"/>
              <w:right w:val="nil"/>
            </w:tcBorders>
            <w:noWrap w:val="0"/>
            <w:vAlign w:val="center"/>
          </w:tcPr>
          <w:p w14:paraId="24F15132">
            <w:pPr>
              <w:keepNext w:val="0"/>
              <w:keepLines w:val="0"/>
              <w:widowControl/>
              <w:suppressLineNumbers w:val="0"/>
              <w:spacing w:before="0" w:beforeAutospacing="0" w:after="0" w:afterAutospacing="0" w:line="240" w:lineRule="auto"/>
              <w:ind w:left="0" w:right="0" w:firstLine="0"/>
              <w:jc w:val="left"/>
              <w:rPr>
                <w:rFonts w:hint="default" w:ascii="宋体" w:hAnsi="宋体" w:eastAsia="宋体" w:cs="宋体"/>
                <w:b/>
                <w:bCs/>
                <w:caps w:val="0"/>
                <w:color w:val="auto"/>
                <w:kern w:val="0"/>
                <w:sz w:val="22"/>
                <w:szCs w:val="22"/>
                <w:vertAlign w:val="baseline"/>
                <w:lang w:val="en-US" w:eastAsia="zh-CN" w:bidi="ar"/>
              </w:rPr>
            </w:pPr>
            <w:r>
              <w:rPr>
                <w:rFonts w:hint="eastAsia" w:ascii="宋体" w:cs="宋体"/>
                <w:b/>
                <w:bCs/>
                <w:caps w:val="0"/>
                <w:color w:val="auto"/>
                <w:kern w:val="0"/>
                <w:sz w:val="22"/>
                <w:szCs w:val="22"/>
                <w:vertAlign w:val="baseline"/>
                <w:lang w:val="en-US" w:eastAsia="zh-CN" w:bidi="ar"/>
              </w:rPr>
              <w:t>附表二：</w:t>
            </w:r>
          </w:p>
        </w:tc>
      </w:tr>
      <w:bookmarkEnd w:id="0"/>
      <w:bookmarkEnd w:id="1"/>
      <w:bookmarkEnd w:id="2"/>
      <w:tr w14:paraId="113BC36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9116" w:type="dxa"/>
            <w:gridSpan w:val="6"/>
            <w:tcBorders>
              <w:top w:val="nil"/>
              <w:left w:val="nil"/>
              <w:bottom w:val="single" w:color="auto" w:sz="4" w:space="0"/>
              <w:right w:val="nil"/>
            </w:tcBorders>
            <w:noWrap w:val="0"/>
            <w:vAlign w:val="center"/>
          </w:tcPr>
          <w:p w14:paraId="4C6C5EFE">
            <w:pPr>
              <w:keepNext w:val="0"/>
              <w:keepLines w:val="0"/>
              <w:widowControl/>
              <w:suppressLineNumbers w:val="0"/>
              <w:spacing w:before="0" w:beforeAutospacing="0" w:after="0" w:afterAutospacing="0" w:line="240" w:lineRule="auto"/>
              <w:ind w:left="0" w:right="0" w:firstLine="0"/>
              <w:jc w:val="center"/>
              <w:rPr>
                <w:rFonts w:hint="default" w:ascii="宋体" w:hAnsi="宋体" w:eastAsia="宋体" w:cs="宋体"/>
                <w:b/>
                <w:bCs/>
                <w:caps w:val="0"/>
                <w:color w:val="auto"/>
                <w:kern w:val="0"/>
                <w:sz w:val="22"/>
                <w:szCs w:val="22"/>
                <w:vertAlign w:val="baseline"/>
                <w:lang w:val="en-US"/>
              </w:rPr>
            </w:pPr>
            <w:r>
              <w:rPr>
                <w:rFonts w:hint="eastAsia" w:ascii="宋体" w:hAnsi="宋体" w:eastAsia="宋体" w:cs="宋体"/>
                <w:b/>
                <w:bCs/>
                <w:caps w:val="0"/>
                <w:color w:val="auto"/>
                <w:kern w:val="0"/>
                <w:sz w:val="28"/>
                <w:szCs w:val="28"/>
                <w:vertAlign w:val="baseline"/>
                <w:lang w:val="en-US" w:eastAsia="zh-CN" w:bidi="ar"/>
              </w:rPr>
              <w:t>视频监控系统</w:t>
            </w:r>
            <w:r>
              <w:rPr>
                <w:rFonts w:hint="eastAsia" w:ascii="宋体" w:cs="宋体"/>
                <w:b/>
                <w:bCs/>
                <w:caps w:val="0"/>
                <w:color w:val="auto"/>
                <w:kern w:val="0"/>
                <w:sz w:val="28"/>
                <w:szCs w:val="28"/>
                <w:vertAlign w:val="baseline"/>
                <w:lang w:val="en-US" w:eastAsia="zh-CN" w:bidi="ar"/>
              </w:rPr>
              <w:t>整套设备清单</w:t>
            </w:r>
          </w:p>
        </w:tc>
      </w:tr>
      <w:tr w14:paraId="1F63926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auto" w:sz="4" w:space="0"/>
              <w:left w:val="single" w:color="auto" w:sz="4" w:space="0"/>
              <w:bottom w:val="single" w:color="auto" w:sz="4" w:space="0"/>
              <w:right w:val="single" w:color="auto" w:sz="4" w:space="0"/>
            </w:tcBorders>
            <w:noWrap w:val="0"/>
            <w:vAlign w:val="center"/>
          </w:tcPr>
          <w:p w14:paraId="28122885">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微软雅黑"/>
                <w:b/>
                <w:bCs/>
                <w:caps w:val="0"/>
                <w:color w:val="000000"/>
                <w:kern w:val="2"/>
                <w:sz w:val="22"/>
                <w:szCs w:val="22"/>
                <w:vertAlign w:val="baseline"/>
                <w:lang w:val="en-US" w:eastAsia="zh-CN" w:bidi="ar-SA"/>
              </w:rPr>
            </w:pPr>
            <w:r>
              <w:rPr>
                <w:rFonts w:hint="eastAsia" w:ascii="宋体" w:hAnsi="宋体" w:eastAsia="宋体" w:cs="微软雅黑"/>
                <w:b/>
                <w:bCs/>
                <w:caps w:val="0"/>
                <w:color w:val="000000"/>
                <w:kern w:val="0"/>
                <w:sz w:val="22"/>
                <w:szCs w:val="22"/>
                <w:vertAlign w:val="baseline"/>
                <w:lang w:val="en-US" w:eastAsia="zh-CN" w:bidi="ar"/>
              </w:rPr>
              <w:t>序号</w:t>
            </w:r>
          </w:p>
        </w:tc>
        <w:tc>
          <w:tcPr>
            <w:tcW w:w="692" w:type="dxa"/>
            <w:tcBorders>
              <w:top w:val="single" w:color="auto" w:sz="4" w:space="0"/>
              <w:left w:val="single" w:color="auto" w:sz="4" w:space="0"/>
              <w:bottom w:val="single" w:color="auto" w:sz="4" w:space="0"/>
              <w:right w:val="single" w:color="auto" w:sz="4" w:space="0"/>
            </w:tcBorders>
            <w:noWrap w:val="0"/>
            <w:vAlign w:val="center"/>
          </w:tcPr>
          <w:p w14:paraId="7E0A2814">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微软雅黑"/>
                <w:b/>
                <w:bCs/>
                <w:caps w:val="0"/>
                <w:color w:val="000000"/>
                <w:kern w:val="2"/>
                <w:sz w:val="22"/>
                <w:szCs w:val="22"/>
                <w:vertAlign w:val="baseline"/>
                <w:lang w:val="en-US" w:eastAsia="zh-CN" w:bidi="ar-SA"/>
              </w:rPr>
            </w:pPr>
            <w:r>
              <w:rPr>
                <w:rFonts w:hint="eastAsia" w:ascii="宋体" w:hAnsi="宋体" w:eastAsia="宋体" w:cs="微软雅黑"/>
                <w:b/>
                <w:bCs/>
                <w:caps w:val="0"/>
                <w:color w:val="000000"/>
                <w:kern w:val="0"/>
                <w:sz w:val="22"/>
                <w:szCs w:val="22"/>
                <w:vertAlign w:val="baseline"/>
                <w:lang w:val="en-US" w:eastAsia="zh-CN" w:bidi="ar"/>
              </w:rPr>
              <w:t>设备名称</w:t>
            </w:r>
          </w:p>
        </w:tc>
        <w:tc>
          <w:tcPr>
            <w:tcW w:w="5472" w:type="dxa"/>
            <w:tcBorders>
              <w:top w:val="single" w:color="auto" w:sz="4" w:space="0"/>
              <w:left w:val="single" w:color="auto" w:sz="4" w:space="0"/>
              <w:bottom w:val="single" w:color="auto" w:sz="4" w:space="0"/>
              <w:right w:val="single" w:color="auto" w:sz="4" w:space="0"/>
            </w:tcBorders>
            <w:noWrap w:val="0"/>
            <w:vAlign w:val="center"/>
          </w:tcPr>
          <w:p w14:paraId="57562B8E">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微软雅黑"/>
                <w:b/>
                <w:bCs/>
                <w:caps w:val="0"/>
                <w:color w:val="000000"/>
                <w:kern w:val="2"/>
                <w:sz w:val="22"/>
                <w:szCs w:val="22"/>
                <w:vertAlign w:val="baseline"/>
                <w:lang w:val="en-US" w:eastAsia="zh-CN" w:bidi="ar-SA"/>
              </w:rPr>
            </w:pPr>
            <w:r>
              <w:rPr>
                <w:rFonts w:hint="eastAsia" w:ascii="宋体" w:hAnsi="宋体" w:eastAsia="宋体" w:cs="微软雅黑"/>
                <w:b/>
                <w:bCs/>
                <w:caps w:val="0"/>
                <w:color w:val="000000"/>
                <w:kern w:val="0"/>
                <w:sz w:val="22"/>
                <w:szCs w:val="22"/>
                <w:vertAlign w:val="baseline"/>
                <w:lang w:val="en-US" w:eastAsia="zh-CN" w:bidi="ar"/>
              </w:rPr>
              <w:t>常规参数</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12406EB3">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微软雅黑"/>
                <w:b/>
                <w:bCs/>
                <w:caps w:val="0"/>
                <w:color w:val="000000"/>
                <w:kern w:val="2"/>
                <w:sz w:val="22"/>
                <w:szCs w:val="22"/>
                <w:vertAlign w:val="baseline"/>
                <w:lang w:val="en-US" w:eastAsia="zh-CN" w:bidi="ar-SA"/>
              </w:rPr>
            </w:pPr>
            <w:r>
              <w:rPr>
                <w:rFonts w:hint="eastAsia" w:ascii="宋体" w:hAnsi="宋体" w:eastAsia="宋体" w:cs="微软雅黑"/>
                <w:b/>
                <w:bCs/>
                <w:caps w:val="0"/>
                <w:color w:val="000000"/>
                <w:kern w:val="0"/>
                <w:sz w:val="22"/>
                <w:szCs w:val="22"/>
                <w:vertAlign w:val="baseline"/>
                <w:lang w:val="en-US" w:eastAsia="zh-CN" w:bidi="ar"/>
              </w:rPr>
              <w:t>数量</w:t>
            </w:r>
          </w:p>
        </w:tc>
        <w:tc>
          <w:tcPr>
            <w:tcW w:w="662" w:type="dxa"/>
            <w:tcBorders>
              <w:top w:val="single" w:color="auto" w:sz="4" w:space="0"/>
              <w:left w:val="single" w:color="auto" w:sz="4" w:space="0"/>
              <w:bottom w:val="single" w:color="auto" w:sz="4" w:space="0"/>
              <w:right w:val="single" w:color="auto" w:sz="4" w:space="0"/>
            </w:tcBorders>
            <w:noWrap/>
            <w:vAlign w:val="center"/>
          </w:tcPr>
          <w:p w14:paraId="32AF53A8">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微软雅黑"/>
                <w:b/>
                <w:bCs/>
                <w:caps w:val="0"/>
                <w:color w:val="000000"/>
                <w:kern w:val="2"/>
                <w:sz w:val="22"/>
                <w:szCs w:val="22"/>
                <w:vertAlign w:val="baseline"/>
                <w:lang w:val="en-US" w:eastAsia="zh-CN" w:bidi="ar-SA"/>
              </w:rPr>
            </w:pPr>
            <w:r>
              <w:rPr>
                <w:rFonts w:hint="eastAsia" w:ascii="宋体" w:hAnsi="宋体" w:eastAsia="宋体" w:cs="微软雅黑"/>
                <w:b/>
                <w:bCs/>
                <w:caps w:val="0"/>
                <w:color w:val="000000"/>
                <w:kern w:val="0"/>
                <w:sz w:val="22"/>
                <w:szCs w:val="22"/>
                <w:vertAlign w:val="baseline"/>
                <w:lang w:val="en-US" w:eastAsia="zh-CN" w:bidi="ar"/>
              </w:rPr>
              <w:t>单位</w:t>
            </w:r>
          </w:p>
        </w:tc>
        <w:tc>
          <w:tcPr>
            <w:tcW w:w="970" w:type="dxa"/>
            <w:tcBorders>
              <w:top w:val="single" w:color="auto" w:sz="4" w:space="0"/>
              <w:left w:val="single" w:color="auto" w:sz="4" w:space="0"/>
              <w:bottom w:val="single" w:color="auto" w:sz="4" w:space="0"/>
              <w:right w:val="single" w:color="auto" w:sz="4" w:space="0"/>
            </w:tcBorders>
            <w:noWrap/>
            <w:vAlign w:val="center"/>
          </w:tcPr>
          <w:p w14:paraId="65EB82EF">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微软雅黑"/>
                <w:b/>
                <w:bCs/>
                <w:caps w:val="0"/>
                <w:color w:val="000000"/>
                <w:kern w:val="0"/>
                <w:sz w:val="22"/>
                <w:szCs w:val="22"/>
                <w:vertAlign w:val="baseline"/>
                <w:lang w:val="en-US" w:eastAsia="zh-CN" w:bidi="ar"/>
              </w:rPr>
            </w:pPr>
            <w:r>
              <w:rPr>
                <w:rFonts w:hint="eastAsia" w:ascii="宋体" w:hAnsi="宋体" w:eastAsia="宋体" w:cs="宋体"/>
                <w:b/>
                <w:bCs/>
                <w:caps w:val="0"/>
                <w:color w:val="000000"/>
                <w:kern w:val="2"/>
                <w:sz w:val="22"/>
                <w:szCs w:val="22"/>
                <w:vertAlign w:val="baseline"/>
                <w:lang w:val="en-US" w:eastAsia="zh-CN" w:bidi="ar"/>
              </w:rPr>
              <w:t>招标标的对应的中小企业划分标准所属行业</w:t>
            </w:r>
          </w:p>
        </w:tc>
      </w:tr>
      <w:tr w14:paraId="3503447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auto" w:sz="4" w:space="0"/>
              <w:left w:val="single" w:color="000000" w:sz="4" w:space="0"/>
              <w:bottom w:val="single" w:color="000000" w:sz="4" w:space="0"/>
              <w:right w:val="single" w:color="000000" w:sz="4" w:space="0"/>
            </w:tcBorders>
            <w:noWrap w:val="0"/>
            <w:vAlign w:val="center"/>
          </w:tcPr>
          <w:p w14:paraId="6637901C">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1</w:t>
            </w:r>
          </w:p>
        </w:tc>
        <w:tc>
          <w:tcPr>
            <w:tcW w:w="692" w:type="dxa"/>
            <w:tcBorders>
              <w:top w:val="single" w:color="auto" w:sz="4" w:space="0"/>
              <w:left w:val="single" w:color="000000" w:sz="4" w:space="0"/>
              <w:bottom w:val="single" w:color="000000" w:sz="4" w:space="0"/>
              <w:right w:val="single" w:color="000000" w:sz="4" w:space="0"/>
            </w:tcBorders>
            <w:noWrap w:val="0"/>
            <w:vAlign w:val="center"/>
          </w:tcPr>
          <w:p w14:paraId="11FD4A67">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室内半球摄像机</w:t>
            </w:r>
          </w:p>
        </w:tc>
        <w:tc>
          <w:tcPr>
            <w:tcW w:w="5472" w:type="dxa"/>
            <w:tcBorders>
              <w:top w:val="single" w:color="auto" w:sz="4" w:space="0"/>
              <w:left w:val="single" w:color="000000" w:sz="4" w:space="0"/>
              <w:bottom w:val="single" w:color="000000" w:sz="4" w:space="0"/>
              <w:right w:val="single" w:color="000000" w:sz="4" w:space="0"/>
            </w:tcBorders>
            <w:noWrap w:val="0"/>
            <w:vAlign w:val="center"/>
          </w:tcPr>
          <w:p w14:paraId="28220C56">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400万半球型网络摄像机</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最高分辨率可达2560 × 1440 @25 fps，在该分辨率下可输出实时图像</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支持背光补偿，强光抑制，3D数字降噪，120 dB宽动态，适应不同环境</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采用高效阵列红外灯，使用寿命长，红外照射距离最远可达30 m</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最低照度彩色0.005lx</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具备区域入侵、停车、越界入侵、人员聚集、进入区域、离开区域、快速移动、物品移除、物品遗留、徘徊智能分析功能，当以上智能分析行为达到设定的阈值时，可通过客户端软件或IE浏览器给出报警提示</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支持最大512 GB MicroSD/MicroSDHC/MicroSDXC卡本地存储</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内置1个麦克风，具有1个RJ45网络接口，1个音频输入接口、1个音频输出接口、1个报警输入接口、1个报警输出接口、1个SD卡卡槽。支持DC12V或POE供电</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符合IP67，IK10，可靠性高</w:t>
            </w:r>
          </w:p>
        </w:tc>
        <w:tc>
          <w:tcPr>
            <w:tcW w:w="800" w:type="dxa"/>
            <w:tcBorders>
              <w:top w:val="single" w:color="auto" w:sz="4" w:space="0"/>
              <w:left w:val="single" w:color="000000" w:sz="4" w:space="0"/>
              <w:bottom w:val="single" w:color="000000" w:sz="4" w:space="0"/>
              <w:right w:val="single" w:color="000000" w:sz="4" w:space="0"/>
            </w:tcBorders>
            <w:noWrap w:val="0"/>
            <w:vAlign w:val="center"/>
          </w:tcPr>
          <w:p w14:paraId="3D1D3226">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224</w:t>
            </w:r>
          </w:p>
        </w:tc>
        <w:tc>
          <w:tcPr>
            <w:tcW w:w="662" w:type="dxa"/>
            <w:tcBorders>
              <w:top w:val="single" w:color="auto" w:sz="4" w:space="0"/>
              <w:left w:val="single" w:color="000000" w:sz="4" w:space="0"/>
              <w:bottom w:val="single" w:color="000000" w:sz="4" w:space="0"/>
              <w:right w:val="single" w:color="000000" w:sz="4" w:space="0"/>
            </w:tcBorders>
            <w:noWrap/>
            <w:vAlign w:val="center"/>
          </w:tcPr>
          <w:p w14:paraId="68E15FD2">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台</w:t>
            </w:r>
          </w:p>
        </w:tc>
        <w:tc>
          <w:tcPr>
            <w:tcW w:w="970" w:type="dxa"/>
            <w:tcBorders>
              <w:top w:val="single" w:color="auto" w:sz="4" w:space="0"/>
              <w:left w:val="single" w:color="000000" w:sz="4" w:space="0"/>
              <w:bottom w:val="single" w:color="000000" w:sz="4" w:space="0"/>
              <w:right w:val="single" w:color="000000" w:sz="4" w:space="0"/>
            </w:tcBorders>
            <w:noWrap/>
            <w:vAlign w:val="center"/>
          </w:tcPr>
          <w:p w14:paraId="216DB64A">
            <w:pPr>
              <w:keepNext w:val="0"/>
              <w:keepLines w:val="0"/>
              <w:widowControl w:val="0"/>
              <w:suppressLineNumbers w:val="0"/>
              <w:spacing w:before="0" w:beforeAutospacing="0" w:after="0" w:afterAutospacing="0" w:line="240" w:lineRule="auto"/>
              <w:ind w:left="0" w:right="0" w:firstLine="0"/>
              <w:jc w:val="center"/>
              <w:rPr>
                <w:rFonts w:hint="eastAsia" w:ascii="宋体" w:hAnsi="宋体" w:eastAsia="宋体" w:cs="宋体"/>
                <w:caps w:val="0"/>
                <w:color w:val="auto"/>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212B265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5C48247F">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2</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2C1C6358">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室外筒型摄像机</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5BCBC0A1">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400万筒型网络摄像机</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最高分辨率可达2560 × 1440 @25 fps</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支持SmartIR，防止夜间红外过曝</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支持背光补偿，强光抑制，3D数字降噪，数字宽动态，适应不同使用环境</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支持开放型网络视频接口，ISAPI，SDK，GB28181协议</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1个内置麦克风</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智能补光，支持白光/红外双补光，红外光最远可达50 m，白光最远可达30 m</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符合IP67防尘防水设计，可靠性高</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55FCA363">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32</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2CF4DC33">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3050C8B7">
            <w:pPr>
              <w:keepNext w:val="0"/>
              <w:keepLines w:val="0"/>
              <w:widowControl w:val="0"/>
              <w:suppressLineNumbers w:val="0"/>
              <w:spacing w:before="0" w:beforeAutospacing="0" w:after="0" w:afterAutospacing="0" w:line="240" w:lineRule="auto"/>
              <w:ind w:left="0" w:right="0" w:firstLine="0"/>
              <w:jc w:val="center"/>
              <w:rPr>
                <w:rFonts w:hint="eastAsia" w:ascii="宋体" w:hAnsi="宋体" w:eastAsia="宋体" w:cs="宋体"/>
                <w:caps w:val="0"/>
                <w:color w:val="auto"/>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00408B5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1EE13604">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3</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47F6B288">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教室半球摄像机</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3156FC76">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400万半球型网络摄像机</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最高分辨率可达2560 × 1440 @25 fps，在该分辨率下可输出实时图像</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支持背光补偿，强光抑制，3D数字降噪，120 dB宽动态，适应不同环境</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采用高效阵列红外灯，使用寿命长，红外照射距离最远可达30 m</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最低照度彩色0.005lx</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具备区域入侵、停车、越界入侵、人员聚集、进入区域、离开区域、快速移动、物品移除、物品遗留、徘徊智能分析功能，当以上智能分析行为达到设定的阈值时，可通过客户端软件或IE浏览器给出报警提示</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支持最大512 GB MicroSD/MicroSDHC/MicroSDXC卡本地存储</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内置1个麦克风，具有1个RJ45网络接口，1个音频输入接口、1个音频输出接口、1个报警输入接口、1个报警输出接口、1个SD卡卡槽。支持DC12V或POE供电</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符合IP67，IK10，可靠性高</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523C43D9">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160</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AD401ED">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03EDA998">
            <w:pPr>
              <w:keepNext w:val="0"/>
              <w:keepLines w:val="0"/>
              <w:widowControl w:val="0"/>
              <w:suppressLineNumbers w:val="0"/>
              <w:spacing w:before="0" w:beforeAutospacing="0" w:after="0" w:afterAutospacing="0" w:line="240" w:lineRule="auto"/>
              <w:ind w:left="0" w:right="0" w:firstLine="0"/>
              <w:jc w:val="center"/>
              <w:rPr>
                <w:rFonts w:hint="eastAsia" w:ascii="宋体" w:hAnsi="宋体" w:eastAsia="宋体" w:cs="宋体"/>
                <w:caps w:val="0"/>
                <w:color w:val="auto"/>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17E2252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2C65CF54">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4</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7BF1A6D3">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支架</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76431318">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颜色: 白</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材质: 铝合金</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57632E42">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32</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4C5CD7BC">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4E8AD02B">
            <w:pPr>
              <w:keepNext w:val="0"/>
              <w:keepLines w:val="0"/>
              <w:widowControl w:val="0"/>
              <w:suppressLineNumbers w:val="0"/>
              <w:spacing w:before="0" w:beforeAutospacing="0" w:after="0" w:afterAutospacing="0" w:line="240" w:lineRule="auto"/>
              <w:ind w:left="0" w:right="0" w:firstLine="0"/>
              <w:jc w:val="center"/>
              <w:rPr>
                <w:rFonts w:hint="eastAsia" w:ascii="宋体" w:hAnsi="宋体" w:eastAsia="宋体" w:cs="宋体"/>
                <w:caps w:val="0"/>
                <w:color w:val="auto"/>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6C18F1A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4BB6C381">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5</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4148B720">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硬盘录像机</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50A68EA2">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2U机架式12盘位嵌入式网络硬盘录像机</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具有2个HDMI接口、2个VGA接口、2个RJ45千兆网络接口、2个USB2.0接口、2个USB3.0接口、1个RS232接口、1个RS485接口（可接入RS485键盘）、1个eSata接口、1+1冗余电源；具有1路音频输入接口、2路音频输出接口，16路报警输入接口、9路报警输出接口；具有1路直流12V输出接口；可内置12个SATA接口硬盘</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支持最大接入带宽384Mbps，最大存储带宽384Mbps，最大转发带宽256Mbps</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接入能力：128路H.264、H.265格式高清码流接入</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设备由冗余电源芯片进行负载均衡控制，当一个电源出现故障时，另一个电源可以接管其工作；在更换故障电源后，可恢复到两个电源协同负载均衡工作</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HDMI1和HDMI2支持最大单路8K（7680×4320）和1080P（1920×1080）异源输出</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微软雅黑" w:hAnsi="微软雅黑" w:eastAsia="微软雅黑" w:cs="微软雅黑"/>
                <w:b w:val="0"/>
                <w:bCs w:val="0"/>
                <w:caps w:val="0"/>
                <w:color w:val="auto"/>
                <w:kern w:val="0"/>
                <w:sz w:val="22"/>
                <w:szCs w:val="22"/>
                <w:vertAlign w:val="baseline"/>
                <w:lang w:val="en-US" w:eastAsia="zh-CN" w:bidi="ar"/>
              </w:rPr>
              <w:t>▲</w:t>
            </w:r>
            <w:r>
              <w:rPr>
                <w:rFonts w:hint="eastAsia" w:ascii="宋体" w:hAnsi="宋体" w:eastAsia="宋体" w:cs="宋体"/>
                <w:b w:val="0"/>
                <w:bCs w:val="0"/>
                <w:caps w:val="0"/>
                <w:color w:val="auto"/>
                <w:kern w:val="0"/>
                <w:sz w:val="22"/>
                <w:szCs w:val="22"/>
                <w:vertAlign w:val="baseline"/>
                <w:lang w:val="en-US" w:eastAsia="zh-CN" w:bidi="ar"/>
              </w:rPr>
              <w:t>设备支持分组管理，支持将接入的视频通道按分组管理；支持以分组方式进行预览、回放和检索；自定义视图支持以分组方式拖动通道进行配置</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微软雅黑" w:hAnsi="微软雅黑" w:eastAsia="微软雅黑" w:cs="微软雅黑"/>
                <w:b w:val="0"/>
                <w:bCs w:val="0"/>
                <w:caps w:val="0"/>
                <w:color w:val="auto"/>
                <w:kern w:val="0"/>
                <w:sz w:val="22"/>
                <w:szCs w:val="22"/>
                <w:vertAlign w:val="baseline"/>
                <w:lang w:val="en-US" w:eastAsia="zh-CN" w:bidi="ar"/>
              </w:rPr>
              <w:t>▲</w:t>
            </w:r>
            <w:r>
              <w:rPr>
                <w:rFonts w:hint="eastAsia" w:ascii="宋体" w:hAnsi="宋体" w:eastAsia="宋体" w:cs="宋体"/>
                <w:b w:val="0"/>
                <w:bCs w:val="0"/>
                <w:caps w:val="0"/>
                <w:color w:val="auto"/>
                <w:kern w:val="0"/>
                <w:sz w:val="22"/>
                <w:szCs w:val="22"/>
                <w:vertAlign w:val="baseline"/>
                <w:lang w:val="en-US" w:eastAsia="zh-CN" w:bidi="ar"/>
              </w:rPr>
              <w:t>切片回放功能，支持按月、日、小时维度进行切片展示，按月最大支持30个切片，按日最大支持24个切片，按时最大支持60个切片</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支持预览时对实时视频流进行手动打标签，通过标签检索可以检索到相关的录像片段</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支持预览的单窗口轮巡，设备支持在多画面的固定窗口上进行轮巡预览，其他预览窗口不轮巡</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支持网络端口扫描行为预警，可自动封禁IP，并上报预警，支持远程下发IP拦截</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 xml:space="preserve">RAID模式：RAID0、RAID1、RAID5、RAID6、RAID10，支持全局热备盘 </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内置9块16T硬盘</w:t>
            </w:r>
          </w:p>
          <w:p w14:paraId="021C7144">
            <w:pPr>
              <w:rPr>
                <w:rFonts w:hint="eastAsia" w:ascii="宋体" w:hAnsi="宋体" w:eastAsia="宋体" w:cs="宋体"/>
                <w:caps w:val="0"/>
                <w:color w:val="auto"/>
                <w:kern w:val="0"/>
                <w:sz w:val="22"/>
                <w:szCs w:val="22"/>
                <w:vertAlign w:val="baseline"/>
              </w:rPr>
            </w:pPr>
            <w:r>
              <w:rPr>
                <w:rStyle w:val="40"/>
                <w:b/>
                <w:bCs/>
                <w:color w:val="FF0000"/>
                <w:sz w:val="24"/>
                <w:szCs w:val="24"/>
                <w:highlight w:val="none"/>
              </w:rPr>
              <w:t>所投产品</w:t>
            </w:r>
            <w:r>
              <w:rPr>
                <w:rStyle w:val="40"/>
                <w:rFonts w:hint="eastAsia"/>
                <w:b/>
                <w:bCs/>
                <w:color w:val="FF0000"/>
                <w:sz w:val="24"/>
                <w:szCs w:val="24"/>
                <w:highlight w:val="none"/>
              </w:rPr>
              <w:t>须提供国家确定的认证机构出具的、处于有效期之内的CCC产品认证证书</w:t>
            </w:r>
            <w:r>
              <w:rPr>
                <w:rStyle w:val="40"/>
                <w:b/>
                <w:bCs/>
                <w:color w:val="FF0000"/>
                <w:sz w:val="24"/>
                <w:szCs w:val="24"/>
                <w:highlight w:val="none"/>
              </w:rPr>
              <w:t>扫描件或图片。</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058A447F">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5</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47451CE">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2F37BB82">
            <w:pPr>
              <w:keepNext w:val="0"/>
              <w:keepLines w:val="0"/>
              <w:widowControl w:val="0"/>
              <w:suppressLineNumbers w:val="0"/>
              <w:spacing w:before="0" w:beforeAutospacing="0" w:after="0" w:afterAutospacing="0" w:line="240" w:lineRule="auto"/>
              <w:ind w:left="0" w:right="0" w:firstLine="0"/>
              <w:jc w:val="center"/>
              <w:rPr>
                <w:rFonts w:hint="eastAsia" w:ascii="宋体" w:hAnsi="宋体" w:eastAsia="宋体" w:cs="宋体"/>
                <w:caps w:val="0"/>
                <w:color w:val="auto"/>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63E4EF9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31E89A06">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6</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6ADBFEDD">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接入交换机</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02C5CEB1">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提供16个千兆PoE电口、2个千兆光口</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交换容量：56 Gbps</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包转发率：41.67 Mpps</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支持IEEE 802.3at/af标准</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端口最大供电功率：30 W</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整机最大供电功率：230 W</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支持6 KV防浪涌（PoE口）</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支持IEEE 802.3、IEEE 802.3u、IEEE 802.3x、IEEE 802.3ab</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支持管理平台管理</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支持安防网络拓扑管理、端口管理，支持远程升级</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支持静态链路聚合</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支持PoE输出功率管理</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支持VLAN</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10464DEB">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48</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DBCD597">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10F8F154">
            <w:pPr>
              <w:keepNext w:val="0"/>
              <w:keepLines w:val="0"/>
              <w:widowControl w:val="0"/>
              <w:suppressLineNumbers w:val="0"/>
              <w:spacing w:before="0" w:beforeAutospacing="0" w:after="0" w:afterAutospacing="0" w:line="240" w:lineRule="auto"/>
              <w:ind w:left="0" w:right="0" w:firstLine="0"/>
              <w:jc w:val="center"/>
              <w:rPr>
                <w:rFonts w:hint="eastAsia" w:ascii="宋体" w:hAnsi="宋体" w:eastAsia="宋体" w:cs="宋体"/>
                <w:caps w:val="0"/>
                <w:color w:val="auto"/>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0C47C32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1AB6D041">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7</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42F97F6F">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汇聚交换机</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5B7500F6">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交换容量：336Gbps/3.36Tbps</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包转发率：126Mpps</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MAC地址容量：16K</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VLAN容量：4K</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端口：24个100/1000Base-X SFP光口（8个Combo口）</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4个10G/1G BASE-X SFP+万兆光口</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整机功耗：AC：48W DC：51W</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流量控制：支持 IEEE 802.3x 流控（全双工）</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2E13BA8A">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2</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240669D3">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6ABA7A6E">
            <w:pPr>
              <w:keepNext w:val="0"/>
              <w:keepLines w:val="0"/>
              <w:widowControl w:val="0"/>
              <w:suppressLineNumbers w:val="0"/>
              <w:spacing w:before="0" w:beforeAutospacing="0" w:after="0" w:afterAutospacing="0" w:line="240" w:lineRule="auto"/>
              <w:ind w:left="0" w:right="0" w:firstLine="0"/>
              <w:jc w:val="center"/>
              <w:rPr>
                <w:rFonts w:hint="eastAsia" w:ascii="宋体" w:hAnsi="宋体" w:eastAsia="宋体" w:cs="宋体"/>
                <w:caps w:val="0"/>
                <w:color w:val="auto"/>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65E3DC1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4BE267EA">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8</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6E25A901">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核心交换机</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4BA08618">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三层千兆交换机（24千兆电+24千兆光+6万兆光）</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提供24个千兆电口，24个千兆光口，6个万兆/千兆SFP光口</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支持静态路由、策略路由、RIP、OSPF、BGP、MPLS等三层路由协议</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支持简单网络管理：WEB浏览器，CLI，Telnet，串口</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 xml:space="preserve">支持IGMP侦听和GRMP </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支持EAPS和ERPS以太网环网保护协议</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支持DHCP Server、DHCP Relay、DHCP Snooping</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支持支持SP、WRR、SP+WRR等队列调度方式</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支持IEEE 802.1x认证、Radius、BDTacacs+认证</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支持基于端口的VLAN，IEEE 802.1Q VLAN和GVRP</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支持QoS（IEEE 802.1P/1Q和TOS/DiffServ）</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支持SNMPv1/v2c/v3用于不同级别的网络管理</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外壳：铁壳、风扇散热设计</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电源规格：AC：100V-240V，50Hz±10%</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热插拔双电源可选</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 xml:space="preserve">整机功耗：75W </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接口数量：24个千兆电口，24个千兆光口，6个万兆/千兆SFP光口</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接口类型：RJ45电口，全双工，SFP光口</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工作模式：存储转发</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标准：IEEE 802.3，IEEE 802.3u，IEEE 802.3x</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处理类型：以太网交换机</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MAC地址表：32K</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交换容量：598Gbps</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 xml:space="preserve">包转发率：252Mpps </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安全模式：支持AAA、TACACS+ Radius认证</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支持802.1X认证，MAC认证，MAC旁路认证</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支持防止DOS, ARP攻击功能，ICMP抗攻击</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支持绑定IP, MAC，端口和VLAN</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支持MAC身份验证</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支持MAC地址过滤</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支持广播/多播/未知/单播风暴控制</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设备维护：支持console ,Telnet, Console, SSH, web, http,https, SNMP V1/V2c/V3, RMON,NTP,FTP,TFTP等</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QoS：支持802.1p/DSCP优先级映射</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支持队列调度，包括SP, WRR, WFQ, SP+WRR, SP+WFQ</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支持流量控制</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支持拥塞避免，尾部下降和WRED</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支持802.1p, TOS, DSCP，和EXP优先级映射</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支持端口/流的速率限制</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6BEBCAA9">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2901839">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3112D6D6">
            <w:pPr>
              <w:keepNext w:val="0"/>
              <w:keepLines w:val="0"/>
              <w:widowControl w:val="0"/>
              <w:suppressLineNumbers w:val="0"/>
              <w:spacing w:before="0" w:beforeAutospacing="0" w:after="0" w:afterAutospacing="0" w:line="240" w:lineRule="auto"/>
              <w:ind w:left="0" w:right="0" w:firstLine="0"/>
              <w:jc w:val="center"/>
              <w:rPr>
                <w:rFonts w:hint="eastAsia" w:ascii="宋体" w:hAnsi="宋体" w:eastAsia="宋体" w:cs="宋体"/>
                <w:caps w:val="0"/>
                <w:color w:val="auto"/>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326DC32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5A8147B8">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9</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19C04582">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万兆光模块</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15DCFF5D">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万兆多模双纤光模块</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TX850nm/10G</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RX850nm/10G</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LC多模双纤双向</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距离300m</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6F8AADE3">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4</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781AE451">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块</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2B0760DB">
            <w:pPr>
              <w:keepNext w:val="0"/>
              <w:keepLines w:val="0"/>
              <w:widowControl w:val="0"/>
              <w:suppressLineNumbers w:val="0"/>
              <w:spacing w:before="0" w:beforeAutospacing="0" w:after="0" w:afterAutospacing="0" w:line="240" w:lineRule="auto"/>
              <w:ind w:left="0" w:right="0" w:firstLine="0"/>
              <w:jc w:val="center"/>
              <w:rPr>
                <w:rFonts w:hint="eastAsia" w:ascii="宋体" w:hAnsi="宋体" w:eastAsia="宋体" w:cs="宋体"/>
                <w:caps w:val="0"/>
                <w:color w:val="auto"/>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5DF8547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7D842C97">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10</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13F73118">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千兆光模块</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4AF1000F">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千兆10公里单模双纤模块</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不分收发</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TX1310nm/1.25G</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RX1310nm/1.25G</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LC</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10km</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11F1D49F">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48</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68DC57D2">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块</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08E942C4">
            <w:pPr>
              <w:keepNext w:val="0"/>
              <w:keepLines w:val="0"/>
              <w:widowControl w:val="0"/>
              <w:suppressLineNumbers w:val="0"/>
              <w:spacing w:before="0" w:beforeAutospacing="0" w:after="0" w:afterAutospacing="0" w:line="240" w:lineRule="auto"/>
              <w:ind w:left="0" w:right="0" w:firstLine="0"/>
              <w:jc w:val="center"/>
              <w:rPr>
                <w:rFonts w:hint="eastAsia" w:ascii="宋体" w:hAnsi="宋体" w:eastAsia="宋体" w:cs="宋体"/>
                <w:caps w:val="0"/>
                <w:color w:val="auto"/>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7C35AC5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252A4CD0">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11</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265C3B55">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超五类网线</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5F07E910">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超5类网线,Cat5e非屏蔽双绞线</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标准：符合ISO/IEC 11801、TIA-568.2-D、GB/T 18015.5要求,所用材料符合RoHS要求，性能指标优于现行5e类线缆100MHz标准；</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标准装箱长度:305m±1.5m；</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芯线规格:24AWG,无氧铜；</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线缆结构：4对8芯双绞线,每芯均有颜色区分,有撕裂绳；</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79714A0B">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50</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34749CE">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箱</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54E5D080">
            <w:pPr>
              <w:keepNext w:val="0"/>
              <w:keepLines w:val="0"/>
              <w:widowControl w:val="0"/>
              <w:suppressLineNumbers w:val="0"/>
              <w:spacing w:before="0" w:beforeAutospacing="0" w:after="0" w:afterAutospacing="0" w:line="240" w:lineRule="auto"/>
              <w:ind w:left="0" w:right="0" w:firstLine="0"/>
              <w:jc w:val="center"/>
              <w:rPr>
                <w:rFonts w:hint="eastAsia" w:ascii="宋体" w:hAnsi="宋体" w:eastAsia="宋体" w:cs="宋体"/>
                <w:caps w:val="0"/>
                <w:color w:val="auto"/>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6929A1F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21325CB2">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12</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5B91BD4F">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电源线</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52C938BD">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aps w:val="0"/>
                <w:color w:val="auto"/>
                <w:kern w:val="0"/>
                <w:sz w:val="22"/>
                <w:szCs w:val="22"/>
                <w:vertAlign w:val="baseline"/>
                <w:lang w:val="en-US" w:eastAsia="zh-CN" w:bidi="ar"/>
              </w:rPr>
            </w:pPr>
            <w:r>
              <w:rPr>
                <w:rFonts w:hint="eastAsia" w:ascii="宋体" w:hAnsi="宋体" w:eastAsia="宋体" w:cs="宋体"/>
                <w:b w:val="0"/>
                <w:bCs w:val="0"/>
                <w:caps w:val="0"/>
                <w:color w:val="auto"/>
                <w:kern w:val="0"/>
                <w:sz w:val="22"/>
                <w:szCs w:val="22"/>
                <w:vertAlign w:val="baseline"/>
                <w:lang w:val="en-US" w:eastAsia="zh-CN" w:bidi="ar"/>
              </w:rPr>
              <w:t>2芯RVV电源线（1.5mm2）</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无氧铜线芯，电阻低，导电性强，传输损耗低，发热小，更省电。</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环保绝缘、护被，耐磨耐拉伸，抗潮防冻，抵抗各种恶劣气候，可靠耐用。</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线芯同心度高，绝缘和护套厚度均匀，防止击穿，全力保障用电安全。</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线芯绝缘颜色鲜艳，便于区分，便于施工识别。</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符合RoHS 2.0 环保认证。</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导体类型：无氧铜</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护套类型：PVC</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线缆芯数：2芯</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线缆类型（电源线）：RVV</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 xml:space="preserve">标称截面积：1.5mm2 </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每卷200米</w:t>
            </w:r>
          </w:p>
          <w:p w14:paraId="3588F6F3">
            <w:pPr>
              <w:rPr>
                <w:rFonts w:hint="eastAsia" w:ascii="宋体" w:hAnsi="宋体" w:eastAsia="宋体" w:cs="宋体"/>
                <w:b w:val="0"/>
                <w:bCs w:val="0"/>
                <w:caps w:val="0"/>
                <w:color w:val="auto"/>
                <w:kern w:val="0"/>
                <w:sz w:val="22"/>
                <w:szCs w:val="22"/>
                <w:vertAlign w:val="baseline"/>
                <w:lang w:val="en-US" w:eastAsia="zh-CN" w:bidi="ar"/>
              </w:rPr>
            </w:pPr>
            <w:r>
              <w:rPr>
                <w:rStyle w:val="40"/>
                <w:b/>
                <w:bCs/>
                <w:color w:val="FF0000"/>
                <w:sz w:val="24"/>
                <w:szCs w:val="24"/>
                <w:highlight w:val="none"/>
              </w:rPr>
              <w:t>所投产品</w:t>
            </w:r>
            <w:r>
              <w:rPr>
                <w:rStyle w:val="40"/>
                <w:rFonts w:hint="eastAsia"/>
                <w:b/>
                <w:bCs/>
                <w:color w:val="FF0000"/>
                <w:sz w:val="24"/>
                <w:szCs w:val="24"/>
                <w:highlight w:val="none"/>
              </w:rPr>
              <w:t>须提供国家确定的认证机构出具的、处于有效期之内的CCC产品认证证书</w:t>
            </w:r>
            <w:r>
              <w:rPr>
                <w:rStyle w:val="40"/>
                <w:b/>
                <w:bCs/>
                <w:color w:val="FF0000"/>
                <w:sz w:val="24"/>
                <w:szCs w:val="24"/>
                <w:highlight w:val="none"/>
              </w:rPr>
              <w:t>扫描件或图片。</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14D1F063">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15</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39D5BEB1">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卷</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748EBAC4">
            <w:pPr>
              <w:keepNext w:val="0"/>
              <w:keepLines w:val="0"/>
              <w:widowControl w:val="0"/>
              <w:suppressLineNumbers w:val="0"/>
              <w:spacing w:before="0" w:beforeAutospacing="0" w:after="0" w:afterAutospacing="0" w:line="240" w:lineRule="auto"/>
              <w:ind w:left="0" w:right="0" w:firstLine="0"/>
              <w:jc w:val="center"/>
              <w:rPr>
                <w:rFonts w:hint="eastAsia" w:ascii="宋体" w:hAnsi="宋体" w:eastAsia="宋体" w:cs="宋体"/>
                <w:caps w:val="0"/>
                <w:color w:val="auto"/>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7381DA8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194706F7">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13</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43DD9170">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操作终端</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5723FEFA">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aps w:val="0"/>
                <w:color w:val="auto"/>
                <w:kern w:val="0"/>
                <w:sz w:val="22"/>
                <w:szCs w:val="22"/>
                <w:vertAlign w:val="baseline"/>
                <w:lang w:val="en-US" w:eastAsia="zh-CN" w:bidi="ar"/>
              </w:rPr>
            </w:pPr>
            <w:r>
              <w:rPr>
                <w:rFonts w:hint="eastAsia" w:ascii="宋体" w:hAnsi="宋体" w:eastAsia="宋体" w:cs="宋体"/>
                <w:b w:val="0"/>
                <w:bCs w:val="0"/>
                <w:caps w:val="0"/>
                <w:color w:val="auto"/>
                <w:kern w:val="0"/>
                <w:sz w:val="22"/>
                <w:szCs w:val="22"/>
                <w:vertAlign w:val="baseline"/>
                <w:lang w:val="en-US" w:eastAsia="zh-CN" w:bidi="ar"/>
              </w:rPr>
              <w:t>CPU：i5-12400(6核/2.5GHz)；6核12线程</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内存：8GB，3200MHz频率，最大支持64 GB内存；</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固态硬盘：1个256G SSD</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扩展接口：支持4个SATA接口，1个M.2接口，1个PCIE×16插槽，1个PCIE×1插槽，10个USB接口，其中4个USB3.0</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显示器：23.8英寸，分辨率1920x1080，刷新率60HZ</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显卡：集显</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光驱/键鼠：默认不带光驱，含USB有线键鼠</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操作系统：Windows10 Home（激活）</w:t>
            </w:r>
            <w:r>
              <w:rPr>
                <w:rFonts w:hint="eastAsia" w:ascii="宋体" w:hAnsi="宋体" w:eastAsia="宋体" w:cs="宋体"/>
                <w:b w:val="0"/>
                <w:bCs w:val="0"/>
                <w:caps w:val="0"/>
                <w:color w:val="auto"/>
                <w:kern w:val="0"/>
                <w:sz w:val="22"/>
                <w:szCs w:val="22"/>
                <w:vertAlign w:val="baseline"/>
                <w:lang w:val="en-US" w:eastAsia="zh-CN" w:bidi="ar"/>
              </w:rPr>
              <w:br w:type="textWrapping"/>
            </w:r>
            <w:r>
              <w:rPr>
                <w:rFonts w:hint="eastAsia" w:ascii="宋体" w:hAnsi="宋体" w:eastAsia="宋体" w:cs="宋体"/>
                <w:b w:val="0"/>
                <w:bCs w:val="0"/>
                <w:caps w:val="0"/>
                <w:color w:val="auto"/>
                <w:kern w:val="0"/>
                <w:sz w:val="22"/>
                <w:szCs w:val="22"/>
                <w:vertAlign w:val="baseline"/>
                <w:lang w:val="en-US" w:eastAsia="zh-CN" w:bidi="ar"/>
              </w:rPr>
              <w:t>电源：200W；机箱大小：11L</w:t>
            </w:r>
          </w:p>
          <w:p w14:paraId="6E76281C">
            <w:pPr>
              <w:rPr>
                <w:rFonts w:hint="eastAsia" w:ascii="宋体" w:hAnsi="宋体" w:eastAsia="宋体" w:cs="宋体"/>
                <w:b w:val="0"/>
                <w:bCs w:val="0"/>
                <w:caps w:val="0"/>
                <w:color w:val="auto"/>
                <w:kern w:val="0"/>
                <w:sz w:val="22"/>
                <w:szCs w:val="22"/>
                <w:vertAlign w:val="baseline"/>
                <w:lang w:val="en-US" w:eastAsia="zh-CN" w:bidi="ar"/>
              </w:rPr>
            </w:pPr>
            <w:r>
              <w:rPr>
                <w:rStyle w:val="40"/>
                <w:b/>
                <w:bCs/>
                <w:color w:val="FF0000"/>
                <w:sz w:val="24"/>
                <w:szCs w:val="24"/>
                <w:highlight w:val="none"/>
              </w:rPr>
              <w:t>所投产品</w:t>
            </w:r>
            <w:r>
              <w:rPr>
                <w:rStyle w:val="40"/>
                <w:rFonts w:hint="eastAsia"/>
                <w:b/>
                <w:bCs/>
                <w:color w:val="FF0000"/>
                <w:sz w:val="24"/>
                <w:szCs w:val="24"/>
                <w:highlight w:val="none"/>
              </w:rPr>
              <w:t>须提供国家确定的认证机构出具的、处于有效期之内的CCC产品认证证书及节能产品认证证书</w:t>
            </w:r>
            <w:r>
              <w:rPr>
                <w:rStyle w:val="40"/>
                <w:b/>
                <w:bCs/>
                <w:color w:val="FF0000"/>
                <w:sz w:val="24"/>
                <w:szCs w:val="24"/>
                <w:highlight w:val="none"/>
              </w:rPr>
              <w:t>扫描件或图片。</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361BE6A8">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4</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7C78F203">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78E18E80">
            <w:pPr>
              <w:keepNext w:val="0"/>
              <w:keepLines w:val="0"/>
              <w:widowControl w:val="0"/>
              <w:suppressLineNumbers w:val="0"/>
              <w:spacing w:before="0" w:beforeAutospacing="0" w:after="0" w:afterAutospacing="0" w:line="240" w:lineRule="auto"/>
              <w:ind w:left="0" w:right="0" w:firstLine="0"/>
              <w:jc w:val="center"/>
              <w:rPr>
                <w:rFonts w:hint="eastAsia" w:ascii="宋体" w:hAnsi="宋体" w:eastAsia="宋体" w:cs="宋体"/>
                <w:caps w:val="0"/>
                <w:color w:val="auto"/>
                <w:sz w:val="22"/>
                <w:szCs w:val="22"/>
                <w:vertAlign w:val="baseline"/>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1C3F7EC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078952A5">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14</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339B5E01">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管理平台</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6222E668">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支持对用户、角色、组织、区域、人员、车辆、卡片、设备等基础资源进行管理调配</w:t>
            </w:r>
          </w:p>
          <w:p w14:paraId="67CB964A">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运行管理中心提供统一的认证、授权管理机制，支持HTTPS以及密码安全加密访问认证</w:t>
            </w:r>
          </w:p>
          <w:p w14:paraId="3B8366C8">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支持业务应用组件化，各组件独立运行、维护，支持独立安装或卸载</w:t>
            </w:r>
          </w:p>
          <w:p w14:paraId="18101C7D">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客户端支持在1/2/3/4/6/8/9/10/13/14/16/17/24/25画面分隔模式下进行监控点轮巡预览，轮巡时间可设置，支持全屏显示</w:t>
            </w:r>
          </w:p>
          <w:p w14:paraId="0A9DEDC2">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支持在视频预览、录像回放、即时回放、录像剪辑、手动录像和录像下载时叠加水印</w:t>
            </w:r>
          </w:p>
          <w:p w14:paraId="000B4B42">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支持管理10个电视墙，监控点上墙出图像耗时小于3秒，支持电视墙场景管理和场景切换</w:t>
            </w:r>
          </w:p>
          <w:p w14:paraId="19A8DB4D">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支持大屏控制，可对大屏进行1/4/9/16/25分屏、拼接、开窗、窗口漫游的操作，通过客户端支持电视墙开窗后支持分割，并可将大屏分屏配置另保存为场景，支持在iPad上操作监控点上墙、拼接、分屏、漫游、预案切换等操作</w:t>
            </w:r>
          </w:p>
          <w:p w14:paraId="0E0DF332">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支持在线和离线GIS地图、静态地图导入，同时支持对一个区域添加多张静态地图，支持在地图上添加标记、收藏、测量、放大缩小等基本地图工具，支持地图上资源点的搜索，实现在地图上资源的快速定位，支持资源点报警时，在地图上发生颜色变化，按不同等级的报警显示报警数，并显示报警列表</w:t>
            </w:r>
          </w:p>
          <w:p w14:paraId="5ACB7297">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支持GB/T 28181-2011/2016协议平台级联配置</w:t>
            </w:r>
          </w:p>
          <w:p w14:paraId="457E0A1A">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授权包括1000路视频，200个门禁，1万人员，16车道，320个防区管理</w:t>
            </w:r>
          </w:p>
          <w:p w14:paraId="6ED00118">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64位多核高性能处理器</w:t>
            </w:r>
          </w:p>
          <w:p w14:paraId="0310DD17">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DDR4高频率内存条，1个HDMI接口、1个DP接口，2个10M/100M/1000Mbps网口，2个USB2.0接口、2个USB3.0接口</w:t>
            </w:r>
          </w:p>
          <w:p w14:paraId="121BA63F">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支持出入口车辆放行管理、园区人员布控、园区人车智能搜索、视频联网、入侵报警、设备网络管理</w:t>
            </w:r>
          </w:p>
          <w:p w14:paraId="2271CA4E">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aps w:val="0"/>
                <w:color w:val="auto"/>
                <w:kern w:val="0"/>
                <w:sz w:val="22"/>
                <w:szCs w:val="22"/>
                <w:vertAlign w:val="baseline"/>
                <w:lang w:val="en-US" w:eastAsia="zh-CN" w:bidi="ar"/>
              </w:rPr>
            </w:pPr>
            <w:r>
              <w:rPr>
                <w:rFonts w:hint="eastAsia" w:ascii="宋体" w:hAnsi="宋体" w:eastAsia="宋体" w:cs="宋体"/>
                <w:b w:val="0"/>
                <w:bCs w:val="0"/>
                <w:caps w:val="0"/>
                <w:color w:val="auto"/>
                <w:kern w:val="0"/>
                <w:sz w:val="22"/>
                <w:szCs w:val="22"/>
                <w:vertAlign w:val="baseline"/>
                <w:lang w:val="en-US" w:eastAsia="zh-CN" w:bidi="ar"/>
              </w:rPr>
              <w:t>具备4盘位，可满配8T硬盘</w:t>
            </w:r>
          </w:p>
          <w:p w14:paraId="316A12B7">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bCs w:val="0"/>
                <w:caps w:val="0"/>
                <w:color w:val="auto"/>
                <w:kern w:val="0"/>
                <w:sz w:val="22"/>
                <w:szCs w:val="22"/>
                <w:vertAlign w:val="baseline"/>
                <w:lang w:val="en-US" w:eastAsia="zh-CN" w:bidi="ar"/>
              </w:rPr>
            </w:pPr>
            <w:r>
              <w:rPr>
                <w:rStyle w:val="40"/>
                <w:b/>
                <w:bCs/>
                <w:color w:val="FF0000"/>
                <w:sz w:val="24"/>
                <w:szCs w:val="24"/>
                <w:highlight w:val="none"/>
              </w:rPr>
              <w:t>所投产品</w:t>
            </w:r>
            <w:r>
              <w:rPr>
                <w:rStyle w:val="40"/>
                <w:rFonts w:hint="eastAsia"/>
                <w:b/>
                <w:bCs/>
                <w:color w:val="FF0000"/>
                <w:sz w:val="24"/>
                <w:szCs w:val="24"/>
                <w:highlight w:val="none"/>
              </w:rPr>
              <w:t>须提供国家确定的认证机构出具的、处于有效期之内的CCC产品认证证书及节能产品认证证书</w:t>
            </w:r>
            <w:r>
              <w:rPr>
                <w:rStyle w:val="40"/>
                <w:b/>
                <w:bCs/>
                <w:color w:val="FF0000"/>
                <w:sz w:val="24"/>
                <w:szCs w:val="24"/>
                <w:highlight w:val="none"/>
              </w:rPr>
              <w:t>扫描件或图片。</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1BBD1CEE">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6AE86332">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1D7BAE2A">
            <w:pPr>
              <w:keepNext w:val="0"/>
              <w:keepLines w:val="0"/>
              <w:widowControl w:val="0"/>
              <w:suppressLineNumbers w:val="0"/>
              <w:spacing w:before="0" w:beforeAutospacing="0" w:after="0" w:afterAutospacing="0" w:line="240" w:lineRule="auto"/>
              <w:ind w:left="0" w:right="0" w:firstLine="0"/>
              <w:jc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4038C9D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589" w:hRule="atLeast"/>
        </w:trPr>
        <w:tc>
          <w:tcPr>
            <w:tcW w:w="520" w:type="dxa"/>
            <w:tcBorders>
              <w:top w:val="single" w:color="000000" w:sz="4" w:space="0"/>
              <w:left w:val="single" w:color="000000" w:sz="4" w:space="0"/>
              <w:bottom w:val="single" w:color="auto" w:sz="4" w:space="0"/>
              <w:right w:val="single" w:color="000000" w:sz="4" w:space="0"/>
            </w:tcBorders>
            <w:noWrap w:val="0"/>
            <w:vAlign w:val="center"/>
          </w:tcPr>
          <w:p w14:paraId="64D5A4B4">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15</w:t>
            </w:r>
          </w:p>
        </w:tc>
        <w:tc>
          <w:tcPr>
            <w:tcW w:w="692" w:type="dxa"/>
            <w:tcBorders>
              <w:top w:val="single" w:color="000000" w:sz="4" w:space="0"/>
              <w:left w:val="single" w:color="000000" w:sz="4" w:space="0"/>
              <w:bottom w:val="single" w:color="auto" w:sz="4" w:space="0"/>
              <w:right w:val="single" w:color="000000" w:sz="4" w:space="0"/>
            </w:tcBorders>
            <w:noWrap w:val="0"/>
            <w:vAlign w:val="center"/>
          </w:tcPr>
          <w:p w14:paraId="17022C71">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辅材</w:t>
            </w:r>
          </w:p>
        </w:tc>
        <w:tc>
          <w:tcPr>
            <w:tcW w:w="5472" w:type="dxa"/>
            <w:tcBorders>
              <w:top w:val="single" w:color="000000" w:sz="4" w:space="0"/>
              <w:left w:val="single" w:color="000000" w:sz="4" w:space="0"/>
              <w:bottom w:val="single" w:color="auto" w:sz="4" w:space="0"/>
              <w:right w:val="single" w:color="000000" w:sz="4" w:space="0"/>
            </w:tcBorders>
            <w:noWrap w:val="0"/>
            <w:vAlign w:val="center"/>
          </w:tcPr>
          <w:p w14:paraId="1A593700">
            <w:pPr>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桥架、机柜、扎带、插座、插排、螺丝包等辅材</w:t>
            </w:r>
          </w:p>
        </w:tc>
        <w:tc>
          <w:tcPr>
            <w:tcW w:w="800" w:type="dxa"/>
            <w:tcBorders>
              <w:top w:val="single" w:color="000000" w:sz="4" w:space="0"/>
              <w:left w:val="single" w:color="000000" w:sz="4" w:space="0"/>
              <w:bottom w:val="single" w:color="auto" w:sz="4" w:space="0"/>
              <w:right w:val="single" w:color="000000" w:sz="4" w:space="0"/>
            </w:tcBorders>
            <w:noWrap w:val="0"/>
            <w:vAlign w:val="center"/>
          </w:tcPr>
          <w:p w14:paraId="0F74F710">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1</w:t>
            </w:r>
          </w:p>
        </w:tc>
        <w:tc>
          <w:tcPr>
            <w:tcW w:w="662" w:type="dxa"/>
            <w:tcBorders>
              <w:top w:val="single" w:color="000000" w:sz="4" w:space="0"/>
              <w:left w:val="single" w:color="000000" w:sz="4" w:space="0"/>
              <w:bottom w:val="single" w:color="auto" w:sz="4" w:space="0"/>
              <w:right w:val="single" w:color="000000" w:sz="4" w:space="0"/>
            </w:tcBorders>
            <w:noWrap/>
            <w:vAlign w:val="center"/>
          </w:tcPr>
          <w:p w14:paraId="1CBA40CC">
            <w:pPr>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批</w:t>
            </w:r>
          </w:p>
        </w:tc>
        <w:tc>
          <w:tcPr>
            <w:tcW w:w="970" w:type="dxa"/>
            <w:tcBorders>
              <w:top w:val="single" w:color="000000" w:sz="4" w:space="0"/>
              <w:left w:val="single" w:color="000000" w:sz="4" w:space="0"/>
              <w:bottom w:val="single" w:color="auto" w:sz="4" w:space="0"/>
              <w:right w:val="single" w:color="000000" w:sz="4" w:space="0"/>
            </w:tcBorders>
            <w:noWrap/>
            <w:vAlign w:val="center"/>
          </w:tcPr>
          <w:p w14:paraId="2BAF2D44">
            <w:pPr>
              <w:keepNext w:val="0"/>
              <w:keepLines w:val="0"/>
              <w:widowControl/>
              <w:suppressLineNumbers w:val="0"/>
              <w:spacing w:before="0" w:beforeAutospacing="0" w:after="0" w:afterAutospacing="0" w:line="240" w:lineRule="auto"/>
              <w:ind w:left="0" w:right="0" w:firstLine="0"/>
              <w:jc w:val="center"/>
              <w:textAlignment w:val="center"/>
              <w:rPr>
                <w:rFonts w:hint="eastAsia" w:ascii="宋体" w:hAnsi="宋体" w:eastAsia="宋体" w:cs="微软雅黑"/>
                <w:caps w:val="0"/>
                <w:color w:val="000000"/>
                <w:kern w:val="0"/>
                <w:sz w:val="22"/>
                <w:szCs w:val="22"/>
                <w:vertAlign w:val="baseline"/>
                <w:lang w:bidi="ar"/>
              </w:rPr>
            </w:pPr>
            <w:r>
              <w:rPr>
                <w:rFonts w:hint="eastAsia" w:ascii="宋体" w:hAnsi="宋体" w:eastAsia="宋体" w:cs="微软雅黑"/>
                <w:b w:val="0"/>
                <w:bCs w:val="0"/>
                <w:caps w:val="0"/>
                <w:color w:val="000000"/>
                <w:kern w:val="0"/>
                <w:sz w:val="22"/>
                <w:szCs w:val="22"/>
                <w:vertAlign w:val="baseline"/>
                <w:lang w:val="en-US" w:eastAsia="zh-CN" w:bidi="ar"/>
              </w:rPr>
              <w:t>工业</w:t>
            </w:r>
          </w:p>
        </w:tc>
      </w:tr>
      <w:tr w14:paraId="2D90CF2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530" w:hRule="atLeast"/>
        </w:trPr>
        <w:tc>
          <w:tcPr>
            <w:tcW w:w="9116" w:type="dxa"/>
            <w:gridSpan w:val="6"/>
            <w:tcBorders>
              <w:top w:val="single" w:color="auto" w:sz="4" w:space="0"/>
              <w:left w:val="nil"/>
              <w:bottom w:val="nil"/>
              <w:right w:val="nil"/>
            </w:tcBorders>
            <w:noWrap w:val="0"/>
            <w:vAlign w:val="center"/>
          </w:tcPr>
          <w:p w14:paraId="37AC69E4">
            <w:pPr>
              <w:keepNext w:val="0"/>
              <w:keepLines w:val="0"/>
              <w:widowControl/>
              <w:suppressLineNumbers w:val="0"/>
              <w:spacing w:before="0" w:beforeAutospacing="0" w:after="0" w:afterAutospacing="0" w:line="240" w:lineRule="auto"/>
              <w:ind w:left="0" w:leftChars="0" w:right="0" w:rightChars="0" w:firstLine="0" w:firstLineChars="0"/>
              <w:jc w:val="left"/>
              <w:rPr>
                <w:rFonts w:hint="eastAsia" w:ascii="宋体" w:hAnsi="宋体" w:eastAsia="宋体" w:cs="宋体"/>
                <w:b/>
                <w:bCs/>
                <w:caps w:val="0"/>
                <w:color w:val="auto"/>
                <w:kern w:val="0"/>
                <w:sz w:val="22"/>
                <w:szCs w:val="22"/>
                <w:vertAlign w:val="baseline"/>
                <w:lang w:val="en-US" w:eastAsia="zh-CN" w:bidi="ar"/>
              </w:rPr>
            </w:pPr>
            <w:r>
              <w:rPr>
                <w:rFonts w:hint="eastAsia" w:ascii="宋体" w:cs="宋体"/>
                <w:b/>
                <w:bCs/>
                <w:caps w:val="0"/>
                <w:color w:val="auto"/>
                <w:kern w:val="0"/>
                <w:sz w:val="22"/>
                <w:szCs w:val="22"/>
                <w:vertAlign w:val="baseline"/>
                <w:lang w:val="en-US" w:eastAsia="zh-CN" w:bidi="ar"/>
              </w:rPr>
              <w:t>附表三：</w:t>
            </w:r>
          </w:p>
        </w:tc>
      </w:tr>
      <w:tr w14:paraId="6D6FF0E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9116" w:type="dxa"/>
            <w:gridSpan w:val="6"/>
            <w:tcBorders>
              <w:top w:val="nil"/>
              <w:left w:val="nil"/>
              <w:bottom w:val="single" w:color="auto" w:sz="4" w:space="0"/>
              <w:right w:val="nil"/>
            </w:tcBorders>
            <w:noWrap w:val="0"/>
            <w:vAlign w:val="center"/>
          </w:tcPr>
          <w:p w14:paraId="38B403A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bCs/>
                <w:caps w:val="0"/>
                <w:color w:val="auto"/>
                <w:kern w:val="0"/>
                <w:sz w:val="22"/>
                <w:szCs w:val="22"/>
                <w:vertAlign w:val="baseline"/>
                <w:lang w:val="en-US" w:eastAsia="zh-CN" w:bidi="ar-SA"/>
              </w:rPr>
            </w:pPr>
            <w:r>
              <w:rPr>
                <w:rFonts w:hint="eastAsia" w:ascii="宋体" w:cs="宋体"/>
                <w:b/>
                <w:bCs/>
                <w:caps w:val="0"/>
                <w:color w:val="auto"/>
                <w:kern w:val="0"/>
                <w:sz w:val="28"/>
                <w:szCs w:val="28"/>
                <w:vertAlign w:val="baseline"/>
                <w:lang w:val="en-US" w:eastAsia="zh-CN" w:bidi="ar"/>
              </w:rPr>
              <w:t>户外LED全彩显示屏整套设备清单</w:t>
            </w:r>
          </w:p>
        </w:tc>
      </w:tr>
      <w:tr w14:paraId="3C06E31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auto" w:sz="4" w:space="0"/>
              <w:left w:val="single" w:color="auto" w:sz="4" w:space="0"/>
              <w:bottom w:val="single" w:color="auto" w:sz="4" w:space="0"/>
              <w:right w:val="single" w:color="auto" w:sz="4" w:space="0"/>
            </w:tcBorders>
            <w:noWrap w:val="0"/>
            <w:vAlign w:val="center"/>
          </w:tcPr>
          <w:p w14:paraId="727F981D">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微软雅黑"/>
                <w:b/>
                <w:bCs/>
                <w:caps w:val="0"/>
                <w:color w:val="000000"/>
                <w:kern w:val="2"/>
                <w:sz w:val="22"/>
                <w:szCs w:val="22"/>
                <w:vertAlign w:val="baseline"/>
                <w:lang w:val="en-US" w:eastAsia="zh-CN" w:bidi="ar-SA"/>
              </w:rPr>
            </w:pPr>
            <w:r>
              <w:rPr>
                <w:rFonts w:hint="eastAsia" w:ascii="宋体" w:hAnsi="宋体" w:eastAsia="宋体" w:cs="微软雅黑"/>
                <w:b/>
                <w:bCs/>
                <w:caps w:val="0"/>
                <w:color w:val="000000"/>
                <w:kern w:val="0"/>
                <w:sz w:val="22"/>
                <w:szCs w:val="22"/>
                <w:vertAlign w:val="baseline"/>
                <w:lang w:val="en-US" w:eastAsia="zh-CN" w:bidi="ar"/>
              </w:rPr>
              <w:t>序号</w:t>
            </w:r>
          </w:p>
        </w:tc>
        <w:tc>
          <w:tcPr>
            <w:tcW w:w="692" w:type="dxa"/>
            <w:tcBorders>
              <w:top w:val="single" w:color="auto" w:sz="4" w:space="0"/>
              <w:left w:val="single" w:color="auto" w:sz="4" w:space="0"/>
              <w:bottom w:val="single" w:color="auto" w:sz="4" w:space="0"/>
              <w:right w:val="single" w:color="auto" w:sz="4" w:space="0"/>
            </w:tcBorders>
            <w:noWrap w:val="0"/>
            <w:vAlign w:val="center"/>
          </w:tcPr>
          <w:p w14:paraId="1E5D5C90">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微软雅黑"/>
                <w:b/>
                <w:bCs/>
                <w:caps w:val="0"/>
                <w:color w:val="000000"/>
                <w:kern w:val="2"/>
                <w:sz w:val="22"/>
                <w:szCs w:val="22"/>
                <w:vertAlign w:val="baseline"/>
                <w:lang w:val="en-US" w:eastAsia="zh-CN" w:bidi="ar-SA"/>
              </w:rPr>
            </w:pPr>
            <w:r>
              <w:rPr>
                <w:rFonts w:hint="eastAsia" w:ascii="宋体" w:hAnsi="宋体" w:eastAsia="宋体" w:cs="微软雅黑"/>
                <w:b/>
                <w:bCs/>
                <w:caps w:val="0"/>
                <w:color w:val="000000"/>
                <w:kern w:val="0"/>
                <w:sz w:val="22"/>
                <w:szCs w:val="22"/>
                <w:vertAlign w:val="baseline"/>
                <w:lang w:val="en-US" w:eastAsia="zh-CN" w:bidi="ar"/>
              </w:rPr>
              <w:t>设备名称</w:t>
            </w:r>
          </w:p>
        </w:tc>
        <w:tc>
          <w:tcPr>
            <w:tcW w:w="5472" w:type="dxa"/>
            <w:tcBorders>
              <w:top w:val="single" w:color="auto" w:sz="4" w:space="0"/>
              <w:left w:val="single" w:color="auto" w:sz="4" w:space="0"/>
              <w:bottom w:val="single" w:color="auto" w:sz="4" w:space="0"/>
              <w:right w:val="single" w:color="auto" w:sz="4" w:space="0"/>
            </w:tcBorders>
            <w:noWrap w:val="0"/>
            <w:vAlign w:val="center"/>
          </w:tcPr>
          <w:p w14:paraId="65DDEFA6">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微软雅黑"/>
                <w:b/>
                <w:bCs/>
                <w:caps w:val="0"/>
                <w:color w:val="000000"/>
                <w:kern w:val="2"/>
                <w:sz w:val="22"/>
                <w:szCs w:val="22"/>
                <w:vertAlign w:val="baseline"/>
                <w:lang w:val="en-US" w:eastAsia="zh-CN" w:bidi="ar-SA"/>
              </w:rPr>
            </w:pPr>
            <w:r>
              <w:rPr>
                <w:rFonts w:hint="eastAsia" w:ascii="宋体" w:hAnsi="宋体" w:eastAsia="宋体" w:cs="微软雅黑"/>
                <w:b/>
                <w:bCs/>
                <w:caps w:val="0"/>
                <w:color w:val="000000"/>
                <w:kern w:val="0"/>
                <w:sz w:val="22"/>
                <w:szCs w:val="22"/>
                <w:vertAlign w:val="baseline"/>
                <w:lang w:val="en-US" w:eastAsia="zh-CN" w:bidi="ar"/>
              </w:rPr>
              <w:t>常规参数</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0D3CC0DF">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微软雅黑"/>
                <w:b/>
                <w:bCs/>
                <w:caps w:val="0"/>
                <w:color w:val="000000"/>
                <w:kern w:val="2"/>
                <w:sz w:val="22"/>
                <w:szCs w:val="22"/>
                <w:vertAlign w:val="baseline"/>
                <w:lang w:val="en-US" w:eastAsia="zh-CN" w:bidi="ar-SA"/>
              </w:rPr>
            </w:pPr>
            <w:r>
              <w:rPr>
                <w:rFonts w:hint="eastAsia" w:ascii="宋体" w:hAnsi="宋体" w:eastAsia="宋体" w:cs="微软雅黑"/>
                <w:b/>
                <w:bCs/>
                <w:caps w:val="0"/>
                <w:color w:val="000000"/>
                <w:kern w:val="0"/>
                <w:sz w:val="22"/>
                <w:szCs w:val="22"/>
                <w:vertAlign w:val="baseline"/>
                <w:lang w:val="en-US" w:eastAsia="zh-CN" w:bidi="ar"/>
              </w:rPr>
              <w:t>数量</w:t>
            </w:r>
          </w:p>
        </w:tc>
        <w:tc>
          <w:tcPr>
            <w:tcW w:w="662" w:type="dxa"/>
            <w:tcBorders>
              <w:top w:val="single" w:color="auto" w:sz="4" w:space="0"/>
              <w:left w:val="single" w:color="auto" w:sz="4" w:space="0"/>
              <w:bottom w:val="single" w:color="auto" w:sz="4" w:space="0"/>
              <w:right w:val="single" w:color="auto" w:sz="4" w:space="0"/>
            </w:tcBorders>
            <w:noWrap/>
            <w:vAlign w:val="center"/>
          </w:tcPr>
          <w:p w14:paraId="05124D53">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微软雅黑"/>
                <w:b/>
                <w:bCs/>
                <w:caps w:val="0"/>
                <w:color w:val="000000"/>
                <w:kern w:val="2"/>
                <w:sz w:val="22"/>
                <w:szCs w:val="22"/>
                <w:vertAlign w:val="baseline"/>
                <w:lang w:val="en-US" w:eastAsia="zh-CN" w:bidi="ar-SA"/>
              </w:rPr>
            </w:pPr>
            <w:r>
              <w:rPr>
                <w:rFonts w:hint="eastAsia" w:ascii="宋体" w:hAnsi="宋体" w:eastAsia="宋体" w:cs="微软雅黑"/>
                <w:b/>
                <w:bCs/>
                <w:caps w:val="0"/>
                <w:color w:val="000000"/>
                <w:kern w:val="0"/>
                <w:sz w:val="22"/>
                <w:szCs w:val="22"/>
                <w:vertAlign w:val="baseline"/>
                <w:lang w:val="en-US" w:eastAsia="zh-CN" w:bidi="ar"/>
              </w:rPr>
              <w:t>单位</w:t>
            </w:r>
          </w:p>
        </w:tc>
        <w:tc>
          <w:tcPr>
            <w:tcW w:w="970" w:type="dxa"/>
            <w:tcBorders>
              <w:top w:val="single" w:color="auto" w:sz="4" w:space="0"/>
              <w:left w:val="single" w:color="auto" w:sz="4" w:space="0"/>
              <w:bottom w:val="single" w:color="auto" w:sz="4" w:space="0"/>
              <w:right w:val="single" w:color="auto" w:sz="4" w:space="0"/>
            </w:tcBorders>
            <w:noWrap/>
            <w:vAlign w:val="center"/>
          </w:tcPr>
          <w:p w14:paraId="6A735D5E">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微软雅黑"/>
                <w:b/>
                <w:bCs/>
                <w:caps w:val="0"/>
                <w:color w:val="000000"/>
                <w:kern w:val="0"/>
                <w:sz w:val="22"/>
                <w:szCs w:val="22"/>
                <w:vertAlign w:val="baseline"/>
                <w:lang w:val="en-US" w:eastAsia="zh-CN" w:bidi="ar"/>
              </w:rPr>
            </w:pPr>
            <w:r>
              <w:rPr>
                <w:rFonts w:hint="eastAsia" w:ascii="宋体" w:hAnsi="宋体" w:eastAsia="宋体" w:cs="宋体"/>
                <w:b/>
                <w:bCs/>
                <w:caps w:val="0"/>
                <w:color w:val="000000"/>
                <w:kern w:val="2"/>
                <w:sz w:val="22"/>
                <w:szCs w:val="22"/>
                <w:vertAlign w:val="baseline"/>
                <w:lang w:val="en-US" w:eastAsia="zh-CN" w:bidi="ar"/>
              </w:rPr>
              <w:t>招标标的对应的中小企业划分标准所属行业</w:t>
            </w:r>
          </w:p>
        </w:tc>
      </w:tr>
      <w:tr w14:paraId="6435A37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auto" w:sz="4" w:space="0"/>
              <w:left w:val="single" w:color="000000" w:sz="4" w:space="0"/>
              <w:bottom w:val="single" w:color="000000" w:sz="4" w:space="0"/>
              <w:right w:val="single" w:color="000000" w:sz="4" w:space="0"/>
            </w:tcBorders>
            <w:noWrap w:val="0"/>
            <w:vAlign w:val="center"/>
          </w:tcPr>
          <w:p w14:paraId="18FADBF7">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1</w:t>
            </w:r>
          </w:p>
        </w:tc>
        <w:tc>
          <w:tcPr>
            <w:tcW w:w="692" w:type="dxa"/>
            <w:tcBorders>
              <w:top w:val="single" w:color="auto" w:sz="4" w:space="0"/>
              <w:left w:val="single" w:color="000000" w:sz="4" w:space="0"/>
              <w:bottom w:val="single" w:color="000000" w:sz="4" w:space="0"/>
              <w:right w:val="single" w:color="000000" w:sz="4" w:space="0"/>
            </w:tcBorders>
            <w:noWrap w:val="0"/>
            <w:vAlign w:val="center"/>
          </w:tcPr>
          <w:p w14:paraId="731BF7A4">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P5-户外显示屏</w:t>
            </w:r>
          </w:p>
        </w:tc>
        <w:tc>
          <w:tcPr>
            <w:tcW w:w="5472" w:type="dxa"/>
            <w:tcBorders>
              <w:top w:val="single" w:color="auto" w:sz="4" w:space="0"/>
              <w:left w:val="single" w:color="000000" w:sz="4" w:space="0"/>
              <w:bottom w:val="single" w:color="000000" w:sz="4" w:space="0"/>
              <w:right w:val="single" w:color="000000" w:sz="4" w:space="0"/>
            </w:tcBorders>
            <w:noWrap w:val="0"/>
            <w:vAlign w:val="center"/>
          </w:tcPr>
          <w:p w14:paraId="05F44DAD">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1</w:t>
            </w:r>
            <w:r>
              <w:rPr>
                <w:rFonts w:hint="eastAsia" w:ascii="宋体" w:cs="宋体"/>
                <w:b w:val="0"/>
                <w:bCs w:val="0"/>
                <w:caps w:val="0"/>
                <w:color w:val="auto"/>
                <w:kern w:val="2"/>
                <w:sz w:val="22"/>
                <w:szCs w:val="22"/>
                <w:vertAlign w:val="baseline"/>
                <w:lang w:val="en-US" w:eastAsia="zh-CN" w:bidi="ar"/>
              </w:rPr>
              <w:t>.</w:t>
            </w:r>
            <w:r>
              <w:rPr>
                <w:rFonts w:hint="eastAsia" w:ascii="宋体" w:hAnsi="宋体" w:eastAsia="宋体" w:cs="宋体"/>
                <w:b w:val="0"/>
                <w:bCs w:val="0"/>
                <w:caps w:val="0"/>
                <w:color w:val="auto"/>
                <w:kern w:val="2"/>
                <w:sz w:val="22"/>
                <w:szCs w:val="22"/>
                <w:vertAlign w:val="baseline"/>
                <w:lang w:val="en-US" w:eastAsia="zh-CN" w:bidi="ar"/>
              </w:rPr>
              <w:t>显示屏像素点间距5mm，表贴三合一封装。投标产品显示屏有效显示尺寸为宽≥10.24m,，高≥5.76m，要求不得负偏离，误差不得超过±1%。</w:t>
            </w:r>
          </w:p>
          <w:p w14:paraId="2ACA6F94">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b w:val="0"/>
                <w:bCs w:val="0"/>
                <w:caps w:val="0"/>
                <w:color w:val="auto"/>
                <w:kern w:val="2"/>
                <w:sz w:val="22"/>
                <w:szCs w:val="22"/>
                <w:vertAlign w:val="baseline"/>
                <w:lang w:val="en-US" w:eastAsia="zh-CN" w:bidi="ar"/>
              </w:rPr>
            </w:pPr>
            <w:r>
              <w:rPr>
                <w:rFonts w:hint="eastAsia" w:ascii="宋体" w:hAnsi="宋体" w:eastAsia="宋体" w:cs="宋体"/>
                <w:b w:val="0"/>
                <w:bCs w:val="0"/>
                <w:caps w:val="0"/>
                <w:color w:val="auto"/>
                <w:kern w:val="2"/>
                <w:sz w:val="22"/>
                <w:szCs w:val="22"/>
                <w:vertAlign w:val="baseline"/>
                <w:lang w:val="en-US" w:eastAsia="zh-CN" w:bidi="ar"/>
              </w:rPr>
              <w:t>2</w:t>
            </w:r>
            <w:r>
              <w:rPr>
                <w:rFonts w:hint="eastAsia" w:ascii="宋体" w:cs="宋体"/>
                <w:b w:val="0"/>
                <w:bCs w:val="0"/>
                <w:caps w:val="0"/>
                <w:color w:val="auto"/>
                <w:kern w:val="2"/>
                <w:sz w:val="22"/>
                <w:szCs w:val="22"/>
                <w:vertAlign w:val="baseline"/>
                <w:lang w:val="en-US" w:eastAsia="zh-CN" w:bidi="ar"/>
              </w:rPr>
              <w:t>.</w:t>
            </w:r>
            <w:r>
              <w:rPr>
                <w:rFonts w:hint="eastAsia" w:ascii="宋体" w:hAnsi="宋体" w:eastAsia="宋体" w:cs="宋体"/>
                <w:b w:val="0"/>
                <w:bCs w:val="0"/>
                <w:caps w:val="0"/>
                <w:color w:val="auto"/>
                <w:kern w:val="2"/>
                <w:sz w:val="22"/>
                <w:szCs w:val="22"/>
                <w:vertAlign w:val="baseline"/>
                <w:lang w:val="en-US" w:eastAsia="zh-CN" w:bidi="ar"/>
              </w:rPr>
              <w:t>亮度0-4500cd/m2 可调， 256级无灰度损失调节，可通过定时器或传感器调节；色温2000K-10000K连续可调；亮度、灰度、色温可有手动、自动、软件三种调节方式</w:t>
            </w:r>
            <w:r>
              <w:rPr>
                <w:rFonts w:hint="eastAsia" w:ascii="宋体" w:cs="宋体"/>
                <w:b w:val="0"/>
                <w:bCs w:val="0"/>
                <w:caps w:val="0"/>
                <w:color w:val="auto"/>
                <w:kern w:val="2"/>
                <w:sz w:val="22"/>
                <w:szCs w:val="22"/>
                <w:vertAlign w:val="baseline"/>
                <w:lang w:val="en-US" w:eastAsia="zh-CN" w:bidi="ar"/>
              </w:rPr>
              <w:t>。</w:t>
            </w:r>
          </w:p>
          <w:p w14:paraId="0485608A">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b w:val="0"/>
                <w:bCs w:val="0"/>
                <w:caps w:val="0"/>
                <w:color w:val="auto"/>
                <w:kern w:val="2"/>
                <w:sz w:val="22"/>
                <w:szCs w:val="22"/>
                <w:vertAlign w:val="baseline"/>
                <w:lang w:val="en-US" w:eastAsia="zh-CN" w:bidi="ar"/>
              </w:rPr>
            </w:pPr>
            <w:r>
              <w:rPr>
                <w:rFonts w:hint="eastAsia" w:ascii="宋体" w:hAnsi="宋体" w:eastAsia="宋体" w:cs="宋体"/>
                <w:b w:val="0"/>
                <w:bCs w:val="0"/>
                <w:caps w:val="0"/>
                <w:color w:val="auto"/>
                <w:kern w:val="2"/>
                <w:sz w:val="22"/>
                <w:szCs w:val="22"/>
                <w:vertAlign w:val="baseline"/>
                <w:lang w:val="en-US" w:eastAsia="zh-CN" w:bidi="ar"/>
              </w:rPr>
              <w:t>3</w:t>
            </w:r>
            <w:r>
              <w:rPr>
                <w:rFonts w:hint="eastAsia" w:ascii="宋体" w:cs="宋体"/>
                <w:b w:val="0"/>
                <w:bCs w:val="0"/>
                <w:caps w:val="0"/>
                <w:color w:val="auto"/>
                <w:kern w:val="2"/>
                <w:sz w:val="22"/>
                <w:szCs w:val="22"/>
                <w:vertAlign w:val="baseline"/>
                <w:lang w:val="en-US" w:eastAsia="zh-CN" w:bidi="ar"/>
              </w:rPr>
              <w:t>.</w:t>
            </w:r>
            <w:r>
              <w:rPr>
                <w:rFonts w:hint="eastAsia" w:ascii="宋体" w:hAnsi="宋体" w:eastAsia="宋体" w:cs="宋体"/>
                <w:b w:val="0"/>
                <w:bCs w:val="0"/>
                <w:caps w:val="0"/>
                <w:color w:val="auto"/>
                <w:kern w:val="2"/>
                <w:sz w:val="22"/>
                <w:szCs w:val="22"/>
                <w:vertAlign w:val="baseline"/>
                <w:lang w:val="en-US" w:eastAsia="zh-CN" w:bidi="ar"/>
              </w:rPr>
              <w:t>支持单点检测逐点校正功能，单点亮度校正，单点颜色校正；支持多bin色度校正，校正数据存储在模组里，采用色彩管理系统，在LED控制系统对视频解码后，添加二次过滤显示算法，对显示屏每一个发光二极管进行逐点14位颜色校正</w:t>
            </w:r>
            <w:r>
              <w:rPr>
                <w:rFonts w:hint="eastAsia" w:ascii="宋体" w:cs="宋体"/>
                <w:b w:val="0"/>
                <w:bCs w:val="0"/>
                <w:caps w:val="0"/>
                <w:color w:val="auto"/>
                <w:kern w:val="2"/>
                <w:sz w:val="22"/>
                <w:szCs w:val="22"/>
                <w:vertAlign w:val="baseline"/>
                <w:lang w:val="en-US" w:eastAsia="zh-CN" w:bidi="ar"/>
              </w:rPr>
              <w:t>。</w:t>
            </w:r>
          </w:p>
          <w:p w14:paraId="5ED30BB5">
            <w:pPr>
              <w:keepNext w:val="0"/>
              <w:keepLines w:val="0"/>
              <w:widowControl w:val="0"/>
              <w:suppressLineNumbers w:val="0"/>
              <w:snapToGrid w:val="0"/>
              <w:spacing w:before="0" w:beforeAutospacing="0" w:after="0" w:afterAutospacing="0" w:line="240" w:lineRule="auto"/>
              <w:ind w:left="0" w:right="0" w:firstLine="0"/>
              <w:jc w:val="left"/>
              <w:rPr>
                <w:rFonts w:hint="eastAsia" w:ascii="宋体" w:cs="宋体"/>
                <w:b w:val="0"/>
                <w:bCs w:val="0"/>
                <w:caps w:val="0"/>
                <w:color w:val="auto"/>
                <w:kern w:val="2"/>
                <w:sz w:val="22"/>
                <w:szCs w:val="22"/>
                <w:vertAlign w:val="baseline"/>
                <w:lang w:val="en-US" w:eastAsia="zh-CN" w:bidi="ar"/>
              </w:rPr>
            </w:pPr>
            <w:r>
              <w:rPr>
                <w:rFonts w:hint="eastAsia" w:ascii="宋体" w:hAnsi="宋体" w:eastAsia="宋体" w:cs="宋体"/>
                <w:b w:val="0"/>
                <w:bCs w:val="0"/>
                <w:caps w:val="0"/>
                <w:color w:val="auto"/>
                <w:kern w:val="2"/>
                <w:sz w:val="22"/>
                <w:szCs w:val="22"/>
                <w:vertAlign w:val="baseline"/>
                <w:lang w:val="en-US" w:eastAsia="zh-CN" w:bidi="ar"/>
              </w:rPr>
              <w:t>4</w:t>
            </w:r>
            <w:r>
              <w:rPr>
                <w:rFonts w:hint="eastAsia" w:ascii="宋体" w:cs="宋体"/>
                <w:b w:val="0"/>
                <w:bCs w:val="0"/>
                <w:caps w:val="0"/>
                <w:color w:val="auto"/>
                <w:kern w:val="2"/>
                <w:sz w:val="22"/>
                <w:szCs w:val="22"/>
                <w:vertAlign w:val="baseline"/>
                <w:lang w:val="en-US" w:eastAsia="zh-CN" w:bidi="ar"/>
              </w:rPr>
              <w:t>.</w:t>
            </w:r>
            <w:r>
              <w:rPr>
                <w:rFonts w:hint="eastAsia" w:ascii="宋体" w:hAnsi="宋体" w:eastAsia="宋体" w:cs="宋体"/>
                <w:b w:val="0"/>
                <w:bCs w:val="0"/>
                <w:caps w:val="0"/>
                <w:color w:val="auto"/>
                <w:kern w:val="2"/>
                <w:sz w:val="22"/>
                <w:szCs w:val="22"/>
                <w:vertAlign w:val="baseline"/>
                <w:lang w:val="en-US" w:eastAsia="zh-CN" w:bidi="ar"/>
              </w:rPr>
              <w:t>每个灯芯的波长误差值在±1.5nm以内；每个灯芯的亮度误差在10％以内</w:t>
            </w:r>
            <w:r>
              <w:rPr>
                <w:rFonts w:hint="eastAsia" w:ascii="宋体" w:cs="宋体"/>
                <w:b w:val="0"/>
                <w:bCs w:val="0"/>
                <w:caps w:val="0"/>
                <w:color w:val="auto"/>
                <w:kern w:val="2"/>
                <w:sz w:val="22"/>
                <w:szCs w:val="22"/>
                <w:vertAlign w:val="baseline"/>
                <w:lang w:val="en-US" w:eastAsia="zh-CN" w:bidi="ar"/>
              </w:rPr>
              <w:t>。</w:t>
            </w:r>
          </w:p>
          <w:p w14:paraId="0FB9E885">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5</w:t>
            </w:r>
            <w:r>
              <w:rPr>
                <w:rFonts w:hint="eastAsia" w:ascii="宋体" w:cs="宋体"/>
                <w:b w:val="0"/>
                <w:bCs w:val="0"/>
                <w:caps w:val="0"/>
                <w:color w:val="auto"/>
                <w:kern w:val="2"/>
                <w:sz w:val="22"/>
                <w:szCs w:val="22"/>
                <w:vertAlign w:val="baseline"/>
                <w:lang w:val="en-US" w:eastAsia="zh-CN" w:bidi="ar"/>
              </w:rPr>
              <w:t>.</w:t>
            </w:r>
            <w:r>
              <w:rPr>
                <w:rFonts w:hint="eastAsia" w:ascii="宋体" w:hAnsi="宋体" w:eastAsia="宋体" w:cs="宋体"/>
                <w:b w:val="0"/>
                <w:bCs w:val="0"/>
                <w:caps w:val="0"/>
                <w:color w:val="auto"/>
                <w:kern w:val="2"/>
                <w:sz w:val="22"/>
                <w:szCs w:val="22"/>
                <w:vertAlign w:val="baseline"/>
                <w:lang w:val="en-US" w:eastAsia="zh-CN" w:bidi="ar"/>
              </w:rPr>
              <w:t>显示屏整屏平整度≤0.2mm，模组间拼缝≤0.2mm</w:t>
            </w:r>
            <w:r>
              <w:rPr>
                <w:rFonts w:hint="eastAsia" w:ascii="宋体" w:cs="宋体"/>
                <w:b w:val="0"/>
                <w:bCs w:val="0"/>
                <w:caps w:val="0"/>
                <w:color w:val="auto"/>
                <w:kern w:val="2"/>
                <w:sz w:val="22"/>
                <w:szCs w:val="22"/>
                <w:vertAlign w:val="baseline"/>
                <w:lang w:val="en-US" w:eastAsia="zh-CN" w:bidi="ar"/>
              </w:rPr>
              <w:t>。</w:t>
            </w:r>
          </w:p>
          <w:p w14:paraId="72FE316C">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6</w:t>
            </w:r>
            <w:r>
              <w:rPr>
                <w:rFonts w:hint="eastAsia" w:ascii="宋体" w:cs="宋体"/>
                <w:b w:val="0"/>
                <w:bCs w:val="0"/>
                <w:caps w:val="0"/>
                <w:color w:val="auto"/>
                <w:kern w:val="2"/>
                <w:sz w:val="22"/>
                <w:szCs w:val="22"/>
                <w:vertAlign w:val="baseline"/>
                <w:lang w:val="en-US" w:eastAsia="zh-CN" w:bidi="ar"/>
              </w:rPr>
              <w:t>.</w:t>
            </w:r>
            <w:r>
              <w:rPr>
                <w:rFonts w:hint="eastAsia" w:ascii="宋体" w:hAnsi="宋体" w:eastAsia="宋体" w:cs="宋体"/>
                <w:b w:val="0"/>
                <w:bCs w:val="0"/>
                <w:caps w:val="0"/>
                <w:color w:val="auto"/>
                <w:kern w:val="2"/>
                <w:sz w:val="22"/>
                <w:szCs w:val="22"/>
                <w:vertAlign w:val="baseline"/>
                <w:lang w:val="en-US" w:eastAsia="zh-CN" w:bidi="ar"/>
              </w:rPr>
              <w:t>"100%亮度,灰度等级为≥16bit；</w:t>
            </w:r>
          </w:p>
          <w:p w14:paraId="103F0F2A">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70%亮度,灰度等级为≥14bit；</w:t>
            </w:r>
          </w:p>
          <w:p w14:paraId="52330C6A">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50%亮度,灰度等级为≥13bit；</w:t>
            </w:r>
          </w:p>
          <w:p w14:paraId="54BD7C73">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20%亮度,灰度等级为≥12bit；</w:t>
            </w:r>
          </w:p>
          <w:p w14:paraId="408EDE76">
            <w:pPr>
              <w:keepNext w:val="0"/>
              <w:keepLines w:val="0"/>
              <w:widowControl w:val="0"/>
              <w:numPr>
                <w:ilvl w:val="0"/>
                <w:numId w:val="0"/>
              </w:numPr>
              <w:suppressLineNumbers w:val="0"/>
              <w:snapToGrid w:val="0"/>
              <w:spacing w:before="0" w:beforeAutospacing="0" w:after="0" w:afterAutospacing="0" w:line="240" w:lineRule="auto"/>
              <w:ind w:leftChars="0" w:right="0" w:rightChars="0"/>
              <w:jc w:val="left"/>
              <w:rPr>
                <w:rFonts w:hint="eastAsia" w:ascii="宋体" w:hAnsi="宋体" w:eastAsia="宋体" w:cs="宋体"/>
                <w:b w:val="0"/>
                <w:bCs w:val="0"/>
                <w:caps w:val="0"/>
                <w:color w:val="auto"/>
                <w:kern w:val="2"/>
                <w:sz w:val="22"/>
                <w:szCs w:val="22"/>
                <w:vertAlign w:val="baseline"/>
                <w:lang w:val="en-US" w:eastAsia="zh-CN" w:bidi="ar"/>
              </w:rPr>
            </w:pPr>
            <w:r>
              <w:rPr>
                <w:rFonts w:hint="eastAsia" w:ascii="宋体" w:cs="宋体"/>
                <w:b w:val="0"/>
                <w:bCs w:val="0"/>
                <w:caps w:val="0"/>
                <w:color w:val="auto"/>
                <w:kern w:val="2"/>
                <w:sz w:val="22"/>
                <w:szCs w:val="22"/>
                <w:vertAlign w:val="baseline"/>
                <w:lang w:val="en-US" w:eastAsia="zh-CN" w:bidi="ar"/>
              </w:rPr>
              <w:t>7.</w:t>
            </w:r>
            <w:r>
              <w:rPr>
                <w:rFonts w:hint="eastAsia" w:ascii="宋体" w:hAnsi="宋体" w:eastAsia="宋体" w:cs="宋体"/>
                <w:b w:val="0"/>
                <w:bCs w:val="0"/>
                <w:caps w:val="0"/>
                <w:color w:val="auto"/>
                <w:kern w:val="2"/>
                <w:sz w:val="22"/>
                <w:szCs w:val="22"/>
                <w:vertAlign w:val="baseline"/>
                <w:lang w:val="en-US" w:eastAsia="zh-CN" w:bidi="ar"/>
              </w:rPr>
              <w:t>显示屏发光点中心距偏差＜1%</w:t>
            </w:r>
          </w:p>
          <w:p w14:paraId="24340E9A">
            <w:pPr>
              <w:keepNext w:val="0"/>
              <w:keepLines w:val="0"/>
              <w:widowControl w:val="0"/>
              <w:numPr>
                <w:ilvl w:val="0"/>
                <w:numId w:val="0"/>
              </w:numPr>
              <w:suppressLineNumbers w:val="0"/>
              <w:snapToGrid w:val="0"/>
              <w:spacing w:before="0" w:beforeAutospacing="0" w:after="0" w:afterAutospacing="0" w:line="240" w:lineRule="auto"/>
              <w:ind w:leftChars="0" w:right="0" w:rightChars="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8</w:t>
            </w:r>
            <w:r>
              <w:rPr>
                <w:rFonts w:hint="eastAsia" w:ascii="宋体" w:cs="宋体"/>
                <w:b w:val="0"/>
                <w:bCs w:val="0"/>
                <w:caps w:val="0"/>
                <w:color w:val="auto"/>
                <w:kern w:val="2"/>
                <w:sz w:val="22"/>
                <w:szCs w:val="22"/>
                <w:vertAlign w:val="baseline"/>
                <w:lang w:val="en-US" w:eastAsia="zh-CN" w:bidi="ar"/>
              </w:rPr>
              <w:t>.</w:t>
            </w:r>
            <w:r>
              <w:rPr>
                <w:rFonts w:hint="eastAsia" w:ascii="宋体" w:hAnsi="宋体" w:eastAsia="宋体" w:cs="宋体"/>
                <w:b w:val="0"/>
                <w:bCs w:val="0"/>
                <w:caps w:val="0"/>
                <w:color w:val="auto"/>
                <w:kern w:val="2"/>
                <w:sz w:val="22"/>
                <w:szCs w:val="22"/>
                <w:vertAlign w:val="baseline"/>
                <w:lang w:val="en-US" w:eastAsia="zh-CN" w:bidi="ar"/>
              </w:rPr>
              <w:t>显示屏垂直视角上下≥170°；水平左右≥170°， 亮度均匀性≥99%，色度均匀性±0.001Cx,Cy 之内。</w:t>
            </w:r>
          </w:p>
          <w:p w14:paraId="1D6C6629">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b w:val="0"/>
                <w:bCs w:val="0"/>
                <w:caps w:val="0"/>
                <w:color w:val="auto"/>
                <w:kern w:val="2"/>
                <w:sz w:val="22"/>
                <w:szCs w:val="22"/>
                <w:vertAlign w:val="baseline"/>
                <w:lang w:val="en-US" w:eastAsia="zh-CN" w:bidi="ar"/>
              </w:rPr>
            </w:pPr>
            <w:r>
              <w:rPr>
                <w:rFonts w:hint="eastAsia" w:ascii="微软雅黑" w:hAnsi="微软雅黑" w:eastAsia="微软雅黑" w:cs="微软雅黑"/>
                <w:b w:val="0"/>
                <w:bCs w:val="0"/>
                <w:caps w:val="0"/>
                <w:color w:val="auto"/>
                <w:kern w:val="2"/>
                <w:sz w:val="22"/>
                <w:szCs w:val="22"/>
                <w:vertAlign w:val="baseline"/>
                <w:lang w:val="en-US" w:eastAsia="zh-CN" w:bidi="ar"/>
              </w:rPr>
              <w:t>▲</w:t>
            </w:r>
            <w:r>
              <w:rPr>
                <w:rFonts w:hint="eastAsia" w:ascii="宋体" w:hAnsi="宋体" w:eastAsia="宋体" w:cs="宋体"/>
                <w:b w:val="0"/>
                <w:bCs w:val="0"/>
                <w:caps w:val="0"/>
                <w:color w:val="auto"/>
                <w:kern w:val="2"/>
                <w:sz w:val="22"/>
                <w:szCs w:val="22"/>
                <w:vertAlign w:val="baseline"/>
                <w:lang w:val="en-US" w:eastAsia="zh-CN" w:bidi="ar"/>
              </w:rPr>
              <w:t>9</w:t>
            </w:r>
            <w:r>
              <w:rPr>
                <w:rFonts w:hint="eastAsia" w:ascii="宋体" w:cs="宋体"/>
                <w:b w:val="0"/>
                <w:bCs w:val="0"/>
                <w:caps w:val="0"/>
                <w:color w:val="auto"/>
                <w:kern w:val="2"/>
                <w:sz w:val="22"/>
                <w:szCs w:val="22"/>
                <w:vertAlign w:val="baseline"/>
                <w:lang w:val="en-US" w:eastAsia="zh-CN" w:bidi="ar"/>
              </w:rPr>
              <w:t>.</w:t>
            </w:r>
            <w:r>
              <w:rPr>
                <w:rFonts w:hint="eastAsia" w:ascii="宋体" w:hAnsi="宋体" w:eastAsia="宋体" w:cs="宋体"/>
                <w:b w:val="0"/>
                <w:bCs w:val="0"/>
                <w:caps w:val="0"/>
                <w:color w:val="auto"/>
                <w:kern w:val="2"/>
                <w:sz w:val="22"/>
                <w:szCs w:val="22"/>
                <w:vertAlign w:val="baseline"/>
                <w:lang w:val="en-US" w:eastAsia="zh-CN" w:bidi="ar"/>
              </w:rPr>
              <w:t>LED显示屏工作状态下最大噪音值，产品前、后、左、右噪声与 环境背景噪声相差均不超过2.0dB(A)。</w:t>
            </w:r>
          </w:p>
          <w:p w14:paraId="13D260E5">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b w:val="0"/>
                <w:bCs w:val="0"/>
                <w:caps w:val="0"/>
                <w:color w:val="auto"/>
                <w:kern w:val="2"/>
                <w:sz w:val="22"/>
                <w:szCs w:val="22"/>
                <w:vertAlign w:val="baseline"/>
                <w:lang w:val="en-US" w:eastAsia="zh-CN" w:bidi="ar"/>
              </w:rPr>
            </w:pPr>
            <w:r>
              <w:rPr>
                <w:rFonts w:hint="eastAsia" w:ascii="微软雅黑" w:hAnsi="微软雅黑" w:eastAsia="微软雅黑" w:cs="微软雅黑"/>
                <w:b w:val="0"/>
                <w:bCs w:val="0"/>
                <w:caps w:val="0"/>
                <w:color w:val="auto"/>
                <w:kern w:val="2"/>
                <w:sz w:val="22"/>
                <w:szCs w:val="22"/>
                <w:vertAlign w:val="baseline"/>
                <w:lang w:val="en-US" w:eastAsia="zh-CN" w:bidi="ar"/>
              </w:rPr>
              <w:t>▲</w:t>
            </w:r>
            <w:r>
              <w:rPr>
                <w:rFonts w:hint="eastAsia" w:ascii="宋体" w:hAnsi="宋体" w:eastAsia="宋体" w:cs="宋体"/>
                <w:b w:val="0"/>
                <w:bCs w:val="0"/>
                <w:caps w:val="0"/>
                <w:color w:val="auto"/>
                <w:kern w:val="2"/>
                <w:sz w:val="22"/>
                <w:szCs w:val="22"/>
                <w:vertAlign w:val="baseline"/>
                <w:lang w:val="en-US" w:eastAsia="zh-CN" w:bidi="ar"/>
              </w:rPr>
              <w:t>10</w:t>
            </w:r>
            <w:r>
              <w:rPr>
                <w:rFonts w:hint="eastAsia" w:ascii="宋体" w:cs="宋体"/>
                <w:b w:val="0"/>
                <w:bCs w:val="0"/>
                <w:caps w:val="0"/>
                <w:color w:val="auto"/>
                <w:kern w:val="2"/>
                <w:sz w:val="22"/>
                <w:szCs w:val="22"/>
                <w:vertAlign w:val="baseline"/>
                <w:lang w:val="en-US" w:eastAsia="zh-CN" w:bidi="ar"/>
              </w:rPr>
              <w:t>。</w:t>
            </w:r>
            <w:r>
              <w:rPr>
                <w:rFonts w:hint="eastAsia" w:ascii="宋体" w:hAnsi="宋体" w:eastAsia="宋体" w:cs="宋体"/>
                <w:b w:val="0"/>
                <w:bCs w:val="0"/>
                <w:caps w:val="0"/>
                <w:color w:val="auto"/>
                <w:kern w:val="2"/>
                <w:sz w:val="22"/>
                <w:szCs w:val="22"/>
                <w:vertAlign w:val="baseline"/>
                <w:lang w:val="en-US" w:eastAsia="zh-CN" w:bidi="ar"/>
              </w:rPr>
              <w:t>具有电源过流、短路、过压、欠压、断电保护功能，分布上电措施；阻燃系统具有烟雾报警和温升报警功能；具有动态扫描方式LED显示屏驱动电路保护功能</w:t>
            </w:r>
            <w:r>
              <w:rPr>
                <w:rFonts w:hint="eastAsia" w:ascii="宋体" w:cs="宋体"/>
                <w:b w:val="0"/>
                <w:bCs w:val="0"/>
                <w:caps w:val="0"/>
                <w:color w:val="auto"/>
                <w:kern w:val="2"/>
                <w:sz w:val="22"/>
                <w:szCs w:val="22"/>
                <w:vertAlign w:val="baseline"/>
                <w:lang w:val="en-US" w:eastAsia="zh-CN" w:bidi="ar"/>
              </w:rPr>
              <w:t>。</w:t>
            </w:r>
            <w:r>
              <w:rPr>
                <w:rFonts w:hint="eastAsia" w:ascii="宋体" w:hAnsi="宋体" w:eastAsia="宋体" w:cs="宋体"/>
                <w:b w:val="0"/>
                <w:bCs w:val="0"/>
                <w:caps w:val="0"/>
                <w:color w:val="auto"/>
                <w:kern w:val="2"/>
                <w:sz w:val="22"/>
                <w:szCs w:val="22"/>
                <w:vertAlign w:val="baseline"/>
                <w:lang w:val="en-US" w:eastAsia="zh-CN" w:bidi="ar"/>
              </w:rPr>
              <w:t>　11</w:t>
            </w:r>
            <w:r>
              <w:rPr>
                <w:rFonts w:hint="eastAsia" w:ascii="宋体" w:cs="宋体"/>
                <w:b w:val="0"/>
                <w:bCs w:val="0"/>
                <w:caps w:val="0"/>
                <w:color w:val="auto"/>
                <w:kern w:val="2"/>
                <w:sz w:val="22"/>
                <w:szCs w:val="22"/>
                <w:vertAlign w:val="baseline"/>
                <w:lang w:val="en-US" w:eastAsia="zh-CN" w:bidi="ar"/>
              </w:rPr>
              <w:t>。</w:t>
            </w:r>
            <w:r>
              <w:rPr>
                <w:rFonts w:hint="eastAsia" w:ascii="宋体" w:hAnsi="宋体" w:eastAsia="宋体" w:cs="宋体"/>
                <w:b w:val="0"/>
                <w:bCs w:val="0"/>
                <w:caps w:val="0"/>
                <w:color w:val="auto"/>
                <w:kern w:val="2"/>
                <w:sz w:val="22"/>
                <w:szCs w:val="22"/>
                <w:vertAlign w:val="baseline"/>
                <w:lang w:val="en-US" w:eastAsia="zh-CN" w:bidi="ar"/>
              </w:rPr>
              <w:t>模组自带墨色面罩，屏体正面为哑黑处理,,对比度高，不反射环境光，有效提高一致性，保护灯珠，抑制摩尔纹</w:t>
            </w:r>
            <w:r>
              <w:rPr>
                <w:rFonts w:hint="eastAsia" w:ascii="宋体" w:cs="宋体"/>
                <w:b w:val="0"/>
                <w:bCs w:val="0"/>
                <w:caps w:val="0"/>
                <w:color w:val="auto"/>
                <w:kern w:val="2"/>
                <w:sz w:val="22"/>
                <w:szCs w:val="22"/>
                <w:vertAlign w:val="baseline"/>
                <w:lang w:val="en-US" w:eastAsia="zh-CN" w:bidi="ar"/>
              </w:rPr>
              <w:t>。</w:t>
            </w:r>
          </w:p>
          <w:p w14:paraId="3DDEB04B">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12</w:t>
            </w:r>
            <w:r>
              <w:rPr>
                <w:rFonts w:hint="eastAsia" w:ascii="宋体" w:cs="宋体"/>
                <w:b w:val="0"/>
                <w:bCs w:val="0"/>
                <w:caps w:val="0"/>
                <w:color w:val="auto"/>
                <w:kern w:val="2"/>
                <w:sz w:val="22"/>
                <w:szCs w:val="22"/>
                <w:vertAlign w:val="baseline"/>
                <w:lang w:val="en-US" w:eastAsia="zh-CN" w:bidi="ar"/>
              </w:rPr>
              <w:t>.</w:t>
            </w:r>
            <w:r>
              <w:rPr>
                <w:rFonts w:hint="eastAsia" w:ascii="宋体" w:hAnsi="宋体" w:eastAsia="宋体" w:cs="宋体"/>
                <w:b w:val="0"/>
                <w:bCs w:val="0"/>
                <w:caps w:val="0"/>
                <w:color w:val="auto"/>
                <w:kern w:val="2"/>
                <w:sz w:val="22"/>
                <w:szCs w:val="22"/>
                <w:vertAlign w:val="baseline"/>
                <w:lang w:val="en-US" w:eastAsia="zh-CN" w:bidi="ar"/>
              </w:rPr>
              <w:t>依据标准进行光生物安全及蓝光危害评估检测无危害类，具备防蓝光护眼功能，蓝光辐射能量 ≤20W/(m²·sr)在8h（3000s）爆辐射中不造成化学紫外线危害(ES),并在1000s（约16min）内不造成近紫外线危害(EUVA)，并在10000s约（2.8h）内不造成对视网膜蓝光伤害（LB），并在10秒内不速成视网膜热危害，并且在1000s内不造成对眼睛得红外辐射危害（EIR）</w:t>
            </w:r>
          </w:p>
          <w:p w14:paraId="52CD9588">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13</w:t>
            </w:r>
            <w:r>
              <w:rPr>
                <w:rFonts w:hint="eastAsia" w:ascii="宋体" w:hAnsi="宋体" w:eastAsia="宋体" w:cs="宋体"/>
                <w:b w:val="0"/>
                <w:bCs w:val="0"/>
                <w:caps w:val="0"/>
                <w:color w:val="auto"/>
                <w:kern w:val="2"/>
                <w:sz w:val="22"/>
                <w:szCs w:val="22"/>
                <w:vertAlign w:val="baseline"/>
                <w:lang w:val="en-US" w:eastAsia="zh-CN" w:bidi="ar"/>
              </w:rPr>
              <w:tab/>
            </w:r>
            <w:r>
              <w:rPr>
                <w:rFonts w:hint="eastAsia" w:ascii="宋体" w:hAnsi="宋体" w:eastAsia="宋体" w:cs="宋体"/>
                <w:b w:val="0"/>
                <w:bCs w:val="0"/>
                <w:caps w:val="0"/>
                <w:color w:val="auto"/>
                <w:kern w:val="2"/>
                <w:sz w:val="22"/>
                <w:szCs w:val="22"/>
                <w:vertAlign w:val="baseline"/>
                <w:lang w:val="en-US" w:eastAsia="zh-CN" w:bidi="ar"/>
              </w:rPr>
              <w:t>产品符合IP65防护等级；防潮、防尘、防高温、防腐蚀、防燃烧、防静电、防电磁干扰、抗震动等功能；14</w:t>
            </w:r>
            <w:r>
              <w:rPr>
                <w:rFonts w:hint="eastAsia" w:ascii="宋体" w:hAnsi="宋体" w:eastAsia="宋体" w:cs="宋体"/>
                <w:b w:val="0"/>
                <w:bCs w:val="0"/>
                <w:caps w:val="0"/>
                <w:color w:val="auto"/>
                <w:kern w:val="2"/>
                <w:sz w:val="22"/>
                <w:szCs w:val="22"/>
                <w:vertAlign w:val="baseline"/>
                <w:lang w:val="en-US" w:eastAsia="zh-CN" w:bidi="ar"/>
              </w:rPr>
              <w:tab/>
            </w:r>
            <w:r>
              <w:rPr>
                <w:rFonts w:hint="eastAsia" w:ascii="宋体" w:hAnsi="宋体" w:eastAsia="宋体" w:cs="宋体"/>
                <w:b w:val="0"/>
                <w:bCs w:val="0"/>
                <w:caps w:val="0"/>
                <w:color w:val="auto"/>
                <w:kern w:val="2"/>
                <w:sz w:val="22"/>
                <w:szCs w:val="22"/>
                <w:vertAlign w:val="baseline"/>
                <w:lang w:val="en-US" w:eastAsia="zh-CN" w:bidi="ar"/>
              </w:rPr>
              <w:t>"模组机械强度≥25MP；</w:t>
            </w:r>
          </w:p>
          <w:p w14:paraId="222C5514">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拉伸强度≥50MP，符合GBT1040标准;</w:t>
            </w:r>
          </w:p>
          <w:p w14:paraId="6DCDE701">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缺口冲击强度≥7KJ/m²，符合GBT1843标准</w:t>
            </w:r>
            <w:r>
              <w:rPr>
                <w:rFonts w:hint="eastAsia" w:ascii="宋体" w:cs="宋体"/>
                <w:b w:val="0"/>
                <w:bCs w:val="0"/>
                <w:caps w:val="0"/>
                <w:color w:val="auto"/>
                <w:kern w:val="2"/>
                <w:sz w:val="22"/>
                <w:szCs w:val="22"/>
                <w:vertAlign w:val="baseline"/>
                <w:lang w:val="en-US" w:eastAsia="zh-CN" w:bidi="ar"/>
              </w:rPr>
              <w:t>。</w:t>
            </w:r>
          </w:p>
          <w:p w14:paraId="2FBB9C46">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15</w:t>
            </w:r>
            <w:r>
              <w:rPr>
                <w:rFonts w:hint="eastAsia" w:ascii="宋体" w:hAnsi="宋体" w:eastAsia="宋体" w:cs="宋体"/>
                <w:b w:val="0"/>
                <w:bCs w:val="0"/>
                <w:caps w:val="0"/>
                <w:color w:val="auto"/>
                <w:kern w:val="2"/>
                <w:sz w:val="22"/>
                <w:szCs w:val="22"/>
                <w:vertAlign w:val="baseline"/>
                <w:lang w:val="en-US" w:eastAsia="zh-CN" w:bidi="ar"/>
              </w:rPr>
              <w:tab/>
            </w:r>
            <w:r>
              <w:rPr>
                <w:rFonts w:hint="eastAsia" w:ascii="宋体" w:hAnsi="宋体" w:eastAsia="宋体" w:cs="宋体"/>
                <w:b w:val="0"/>
                <w:bCs w:val="0"/>
                <w:caps w:val="0"/>
                <w:color w:val="auto"/>
                <w:kern w:val="2"/>
                <w:sz w:val="22"/>
                <w:szCs w:val="22"/>
                <w:vertAlign w:val="baseline"/>
                <w:lang w:val="en-US" w:eastAsia="zh-CN" w:bidi="ar"/>
              </w:rPr>
              <w:t>16Bit，281 万亿色，色域覆盖率100%，NTSC色域覆盖率≥120％上，YLV（PAL）色域覆盖率≥170％，支持BT、2020、DCI.P3、BT.709、sRGB等多种色域转换</w:t>
            </w:r>
            <w:r>
              <w:rPr>
                <w:rFonts w:hint="eastAsia" w:ascii="宋体" w:cs="宋体"/>
                <w:b w:val="0"/>
                <w:bCs w:val="0"/>
                <w:caps w:val="0"/>
                <w:color w:val="auto"/>
                <w:kern w:val="2"/>
                <w:sz w:val="22"/>
                <w:szCs w:val="22"/>
                <w:vertAlign w:val="baseline"/>
                <w:lang w:val="en-US" w:eastAsia="zh-CN" w:bidi="ar"/>
              </w:rPr>
              <w:t>。</w:t>
            </w:r>
          </w:p>
          <w:p w14:paraId="27D12CF4">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Style w:val="40"/>
                <w:b/>
                <w:bCs/>
                <w:color w:val="FF0000"/>
                <w:sz w:val="24"/>
                <w:szCs w:val="24"/>
                <w:highlight w:val="none"/>
              </w:rPr>
              <w:t>所投产品</w:t>
            </w:r>
            <w:r>
              <w:rPr>
                <w:rStyle w:val="40"/>
                <w:rFonts w:hint="eastAsia"/>
                <w:b/>
                <w:bCs/>
                <w:color w:val="FF0000"/>
                <w:sz w:val="24"/>
                <w:szCs w:val="24"/>
                <w:highlight w:val="none"/>
              </w:rPr>
              <w:t>须提供国家确定的认证机构出具的、处于有效期之内的CCC产品认证证书</w:t>
            </w:r>
            <w:r>
              <w:rPr>
                <w:rStyle w:val="40"/>
                <w:b/>
                <w:bCs/>
                <w:color w:val="FF0000"/>
                <w:sz w:val="24"/>
                <w:szCs w:val="24"/>
                <w:highlight w:val="none"/>
              </w:rPr>
              <w:t>扫描件或图片。</w:t>
            </w:r>
            <w:bookmarkStart w:id="40" w:name="_GoBack"/>
            <w:bookmarkEnd w:id="40"/>
          </w:p>
        </w:tc>
        <w:tc>
          <w:tcPr>
            <w:tcW w:w="800" w:type="dxa"/>
            <w:tcBorders>
              <w:top w:val="single" w:color="auto" w:sz="4" w:space="0"/>
              <w:left w:val="single" w:color="000000" w:sz="4" w:space="0"/>
              <w:bottom w:val="single" w:color="000000" w:sz="4" w:space="0"/>
              <w:right w:val="single" w:color="000000" w:sz="4" w:space="0"/>
            </w:tcBorders>
            <w:noWrap w:val="0"/>
            <w:vAlign w:val="center"/>
          </w:tcPr>
          <w:p w14:paraId="3361BE63">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58.98</w:t>
            </w:r>
          </w:p>
        </w:tc>
        <w:tc>
          <w:tcPr>
            <w:tcW w:w="662" w:type="dxa"/>
            <w:tcBorders>
              <w:top w:val="single" w:color="auto" w:sz="4" w:space="0"/>
              <w:left w:val="single" w:color="000000" w:sz="4" w:space="0"/>
              <w:bottom w:val="single" w:color="000000" w:sz="4" w:space="0"/>
              <w:right w:val="single" w:color="000000" w:sz="4" w:space="0"/>
            </w:tcBorders>
            <w:noWrap/>
            <w:vAlign w:val="center"/>
          </w:tcPr>
          <w:p w14:paraId="20BF60F3">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平方</w:t>
            </w:r>
          </w:p>
        </w:tc>
        <w:tc>
          <w:tcPr>
            <w:tcW w:w="970" w:type="dxa"/>
            <w:tcBorders>
              <w:top w:val="single" w:color="auto" w:sz="4" w:space="0"/>
              <w:left w:val="single" w:color="000000" w:sz="4" w:space="0"/>
              <w:bottom w:val="single" w:color="000000" w:sz="4" w:space="0"/>
              <w:right w:val="single" w:color="000000" w:sz="4" w:space="0"/>
            </w:tcBorders>
            <w:noWrap/>
            <w:vAlign w:val="center"/>
          </w:tcPr>
          <w:p w14:paraId="5AD11BD7">
            <w:pPr>
              <w:keepNext w:val="0"/>
              <w:keepLines w:val="0"/>
              <w:widowControl w:val="0"/>
              <w:suppressLineNumbers w:val="0"/>
              <w:spacing w:before="0" w:beforeAutospacing="0" w:after="0" w:afterAutospacing="0" w:line="0" w:lineRule="atLeast"/>
              <w:ind w:left="0" w:right="0" w:firstLine="0"/>
              <w:jc w:val="center"/>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工业</w:t>
            </w:r>
          </w:p>
        </w:tc>
      </w:tr>
      <w:tr w14:paraId="36C3CCA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0E25B663">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2</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6584D1DD">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控制卡</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1E817CB6">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单卡可带载512×512像素，支持色彩管理、18Bit+、逐点亮色度校正、RGB独立Gamma调节、3D等功能，提高画面显示效果，提升用户体验。</w:t>
            </w:r>
          </w:p>
          <w:p w14:paraId="2729208D">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DS-D43R12采用12个标准的HUB75E接口进行通讯，最多支持24组RGB并行数据。硬件设计和软件设计充分考虑用户部署、运行和维护时的场景，使部署更容易，运行更稳定，维护更高效。</w:t>
            </w:r>
          </w:p>
          <w:p w14:paraId="4A6AA926">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集成 12 个标准 HUB75 接口，免接 HUB 板。</w:t>
            </w:r>
          </w:p>
          <w:p w14:paraId="17A1D852">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采用千兆网口，可以连接 PC 端。</w:t>
            </w:r>
          </w:p>
          <w:p w14:paraId="0B4017A3">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支持逐点亮色度校正。</w:t>
            </w:r>
          </w:p>
          <w:p w14:paraId="6C8CDD0C">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支持接收卡预存画面设置。</w:t>
            </w:r>
          </w:p>
          <w:p w14:paraId="6867E64F">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支持温度、电压、网线通讯和视频源信号状态检测。</w:t>
            </w:r>
          </w:p>
          <w:p w14:paraId="20E85CA3">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支持 5Pin 液晶模块。</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1BD95AFD">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4D7BCA19">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套</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7D331834">
            <w:pPr>
              <w:keepNext w:val="0"/>
              <w:keepLines w:val="0"/>
              <w:widowControl w:val="0"/>
              <w:suppressLineNumbers w:val="0"/>
              <w:spacing w:before="0" w:beforeAutospacing="0" w:after="0" w:afterAutospacing="0" w:line="0" w:lineRule="atLeast"/>
              <w:ind w:left="0" w:right="0" w:firstLine="0"/>
              <w:jc w:val="both"/>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工业</w:t>
            </w:r>
          </w:p>
        </w:tc>
      </w:tr>
      <w:tr w14:paraId="498DCE2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75E37139">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3</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1F7C4E7F">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电源</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48F37BA2">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可靠性高，负载能力强，103%满负载老化试验</w:t>
            </w:r>
          </w:p>
          <w:p w14:paraId="2AD9285E">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空气自然对流冷却</w:t>
            </w:r>
          </w:p>
          <w:p w14:paraId="3006EB9B">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b w:val="0"/>
                <w:bCs w:val="0"/>
                <w:caps w:val="0"/>
                <w:color w:val="auto"/>
                <w:kern w:val="2"/>
                <w:sz w:val="22"/>
                <w:szCs w:val="22"/>
                <w:vertAlign w:val="baseline"/>
                <w:lang w:val="en-US" w:eastAsia="zh-CN" w:bidi="ar"/>
              </w:rPr>
            </w:pPr>
            <w:r>
              <w:rPr>
                <w:rFonts w:hint="eastAsia" w:ascii="宋体" w:hAnsi="宋体" w:eastAsia="宋体" w:cs="宋体"/>
                <w:b w:val="0"/>
                <w:bCs w:val="0"/>
                <w:caps w:val="0"/>
                <w:color w:val="auto"/>
                <w:kern w:val="2"/>
                <w:sz w:val="22"/>
                <w:szCs w:val="22"/>
                <w:vertAlign w:val="baseline"/>
                <w:lang w:val="en-US" w:eastAsia="zh-CN" w:bidi="ar"/>
              </w:rPr>
              <w:t>保护功能具有：短路/过载块</w:t>
            </w:r>
          </w:p>
          <w:p w14:paraId="0D90128C">
            <w:pPr>
              <w:rPr>
                <w:rFonts w:hint="eastAsia" w:ascii="宋体" w:hAnsi="宋体" w:eastAsia="宋体" w:cs="宋体"/>
                <w:b w:val="0"/>
                <w:bCs w:val="0"/>
                <w:caps w:val="0"/>
                <w:color w:val="auto"/>
                <w:kern w:val="2"/>
                <w:sz w:val="22"/>
                <w:szCs w:val="22"/>
                <w:vertAlign w:val="baseline"/>
                <w:lang w:val="en-US" w:eastAsia="zh-CN" w:bidi="ar"/>
              </w:rPr>
            </w:pPr>
            <w:r>
              <w:rPr>
                <w:rStyle w:val="40"/>
                <w:b/>
                <w:bCs/>
                <w:color w:val="FF0000"/>
                <w:sz w:val="24"/>
                <w:szCs w:val="24"/>
                <w:highlight w:val="none"/>
              </w:rPr>
              <w:t>所投产品</w:t>
            </w:r>
            <w:r>
              <w:rPr>
                <w:rStyle w:val="40"/>
                <w:rFonts w:hint="eastAsia"/>
                <w:b/>
                <w:bCs/>
                <w:color w:val="FF0000"/>
                <w:sz w:val="24"/>
                <w:szCs w:val="24"/>
                <w:highlight w:val="none"/>
              </w:rPr>
              <w:t>须提供国家确定的认证机构出具的、处于有效期之内的CCC产品认证证书</w:t>
            </w:r>
            <w:r>
              <w:rPr>
                <w:rStyle w:val="40"/>
                <w:b/>
                <w:bCs/>
                <w:color w:val="FF0000"/>
                <w:sz w:val="24"/>
                <w:szCs w:val="24"/>
                <w:highlight w:val="none"/>
              </w:rPr>
              <w:t>扫描件或图片。</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1E954867">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30F19E92">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套</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471288AD">
            <w:pPr>
              <w:keepNext w:val="0"/>
              <w:keepLines w:val="0"/>
              <w:widowControl w:val="0"/>
              <w:suppressLineNumbers w:val="0"/>
              <w:spacing w:before="0" w:beforeAutospacing="0" w:after="0" w:afterAutospacing="0" w:line="0" w:lineRule="atLeast"/>
              <w:ind w:left="0" w:right="0" w:firstLine="0"/>
              <w:jc w:val="both"/>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工业</w:t>
            </w:r>
          </w:p>
        </w:tc>
      </w:tr>
      <w:tr w14:paraId="3236471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3173C872">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4</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553A5271">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辅材</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5E804A49">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屏体内部 RVV3*2.5平方电源线及超五类网线，16P 信号线等线材</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492C3953">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463BB892">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批</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6A890AA2">
            <w:pPr>
              <w:keepNext w:val="0"/>
              <w:keepLines w:val="0"/>
              <w:widowControl w:val="0"/>
              <w:suppressLineNumbers w:val="0"/>
              <w:spacing w:before="0" w:beforeAutospacing="0" w:after="0" w:afterAutospacing="0" w:line="0" w:lineRule="atLeast"/>
              <w:ind w:left="0" w:right="0" w:firstLine="0"/>
              <w:jc w:val="both"/>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工业</w:t>
            </w:r>
          </w:p>
        </w:tc>
      </w:tr>
      <w:tr w14:paraId="281695D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26AA9997">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5</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45D7AF4E">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视频处理器</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264671F3">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集成发送卡、视频处理、U盘播放功能于一体；</w:t>
            </w:r>
          </w:p>
          <w:p w14:paraId="5B2023BB">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支持1路DVI/HDMI/VGA/CVBS输入，1路USB播放；</w:t>
            </w:r>
          </w:p>
          <w:p w14:paraId="156769A3">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支持4路网口输出，260万像素带载；</w:t>
            </w:r>
          </w:p>
          <w:p w14:paraId="2391E41C">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支持画面全屏缩放、点对点显示、自定义缩放三种缩放模式；</w:t>
            </w:r>
          </w:p>
          <w:p w14:paraId="6EE41ADC">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支持窗口位置、大小调整及窗口截取功能</w:t>
            </w:r>
          </w:p>
          <w:p w14:paraId="06F1DA36">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支持6个预设场景</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6241166B">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68913310">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73EABA6E">
            <w:pPr>
              <w:keepNext w:val="0"/>
              <w:keepLines w:val="0"/>
              <w:widowControl w:val="0"/>
              <w:suppressLineNumbers w:val="0"/>
              <w:spacing w:before="0" w:beforeAutospacing="0" w:after="0" w:afterAutospacing="0" w:line="0" w:lineRule="atLeast"/>
              <w:ind w:left="0" w:right="0" w:firstLine="0"/>
              <w:jc w:val="both"/>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工业</w:t>
            </w:r>
          </w:p>
        </w:tc>
      </w:tr>
      <w:tr w14:paraId="3901C3A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17D92541">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6</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298D49D9">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箱体</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6B037180">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数控机床定制钣金箱体，外观黑色烤漆工艺</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1504092F">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58.98</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214D02B">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平方</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71043D5F">
            <w:pPr>
              <w:keepNext w:val="0"/>
              <w:keepLines w:val="0"/>
              <w:widowControl w:val="0"/>
              <w:suppressLineNumbers w:val="0"/>
              <w:spacing w:before="0" w:beforeAutospacing="0" w:after="0" w:afterAutospacing="0" w:line="0" w:lineRule="atLeast"/>
              <w:ind w:left="0" w:right="0" w:firstLine="0"/>
              <w:jc w:val="both"/>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工业</w:t>
            </w:r>
          </w:p>
        </w:tc>
      </w:tr>
      <w:tr w14:paraId="1A63C8E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2230B66B">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7</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09587206">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钢结构</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267DEF5D">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1、采用国标镀锌钢材，定制钢材结构;</w:t>
            </w:r>
          </w:p>
          <w:p w14:paraId="3E7D4664">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2、大屏幕钢结构与现有主体进行对接，背后及两侧分别固定到承重墙上;</w:t>
            </w:r>
          </w:p>
          <w:p w14:paraId="108E4578">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3、一圈采用铝塑板装饰，具体包边宽度根据现场情况来定;</w:t>
            </w:r>
          </w:p>
          <w:p w14:paraId="137DEEEF">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4、钢结构整体做防锈处理;</w:t>
            </w:r>
          </w:p>
          <w:p w14:paraId="330DA29A">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5、拼接框架及支撑结构基础采用高强度钢材;</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14EADE24">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2405128B">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套</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1063AB16">
            <w:pPr>
              <w:keepNext w:val="0"/>
              <w:keepLines w:val="0"/>
              <w:widowControl w:val="0"/>
              <w:suppressLineNumbers w:val="0"/>
              <w:spacing w:before="0" w:beforeAutospacing="0" w:after="0" w:afterAutospacing="0" w:line="0" w:lineRule="atLeast"/>
              <w:ind w:left="0" w:right="0" w:firstLine="0"/>
              <w:jc w:val="both"/>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工业</w:t>
            </w:r>
          </w:p>
        </w:tc>
      </w:tr>
      <w:tr w14:paraId="32E14F6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7B2D1F6C">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8</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68E8E9BD">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LED配电柜</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194FC15D">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1. 40KW智能配电柜，远程控制;</w:t>
            </w:r>
          </w:p>
          <w:p w14:paraId="5BAF7835">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2. 满足过流、短路、断路、过压/、欠压等保护措施;</w:t>
            </w:r>
          </w:p>
          <w:p w14:paraId="6F9C59BF">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3. 支持远程上电、分步上电的功能，具有状态自动检测与状态异常报警功能;</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47DD25D2">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2744463">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000000"/>
                <w:sz w:val="22"/>
                <w:szCs w:val="22"/>
                <w:vertAlign w:val="baseline"/>
              </w:rPr>
            </w:pPr>
            <w:r>
              <w:rPr>
                <w:rFonts w:hint="eastAsia" w:ascii="宋体" w:hAnsi="宋体" w:eastAsia="宋体" w:cs="宋体"/>
                <w:b w:val="0"/>
                <w:bCs w:val="0"/>
                <w:caps w:val="0"/>
                <w:color w:val="000000"/>
                <w:kern w:val="2"/>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7D8DB925">
            <w:pPr>
              <w:keepNext w:val="0"/>
              <w:keepLines w:val="0"/>
              <w:widowControl w:val="0"/>
              <w:suppressLineNumbers w:val="0"/>
              <w:spacing w:before="0" w:beforeAutospacing="0" w:after="0" w:afterAutospacing="0" w:line="0" w:lineRule="atLeast"/>
              <w:ind w:left="0" w:right="0" w:firstLine="0"/>
              <w:jc w:val="both"/>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工业</w:t>
            </w:r>
          </w:p>
        </w:tc>
      </w:tr>
      <w:tr w14:paraId="47F7DB7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662A2281">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9</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4EF806EC">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LED播放软件</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69E6E57F">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1.支持多种视频格式、图片、动画、Office文件、文字、时钟；</w:t>
            </w:r>
          </w:p>
          <w:p w14:paraId="310F04C4">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2.丰富的媒体属性：包括透明、背景颜色、背景图片、透明度、音量、显示比例、出入场特效、特效速度、文字颜色、炫彩效果、字体、风格等；</w:t>
            </w:r>
          </w:p>
          <w:p w14:paraId="03D00DCC">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3.页面支持一个或多个窗口；</w:t>
            </w:r>
          </w:p>
          <w:p w14:paraId="36D48632">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4.支持多个窗口个数不同的页面按次数或播放时长切换播放，且切换过程平滑无黑帧；</w:t>
            </w:r>
          </w:p>
          <w:p w14:paraId="7F5E77F9">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5.可设置不同的日期和时间播放不同的节目页；</w:t>
            </w:r>
          </w:p>
          <w:p w14:paraId="75271E96">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6.可实现多台异地显示屏同步播放；</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3FCFA501">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269DEDFB">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套</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7FE0D095">
            <w:pPr>
              <w:keepNext w:val="0"/>
              <w:keepLines w:val="0"/>
              <w:widowControl w:val="0"/>
              <w:suppressLineNumbers w:val="0"/>
              <w:spacing w:before="0" w:beforeAutospacing="0" w:after="0" w:afterAutospacing="0" w:line="0" w:lineRule="atLeast"/>
              <w:ind w:left="0" w:right="0" w:firstLine="0"/>
              <w:jc w:val="both"/>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工业</w:t>
            </w:r>
          </w:p>
        </w:tc>
      </w:tr>
      <w:tr w14:paraId="5118457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4017335C">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10</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30CC0ABC">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空调</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2362D087">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1.冷暖1.5 匹挂机</w:t>
            </w:r>
          </w:p>
          <w:p w14:paraId="076FE454">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2.定频/变频:变频</w:t>
            </w:r>
          </w:p>
          <w:p w14:paraId="5424B195">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3.制冷量≥3500W</w:t>
            </w:r>
          </w:p>
          <w:p w14:paraId="270AC86A">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4 .制热量≥5000W</w:t>
            </w:r>
          </w:p>
          <w:p w14:paraId="045F38F6">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5.制冷功率≤750W</w:t>
            </w:r>
          </w:p>
          <w:p w14:paraId="3E7D9E55">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b w:val="0"/>
                <w:bCs w:val="0"/>
                <w:caps w:val="0"/>
                <w:color w:val="auto"/>
                <w:kern w:val="2"/>
                <w:sz w:val="22"/>
                <w:szCs w:val="22"/>
                <w:vertAlign w:val="baseline"/>
                <w:lang w:val="en-US" w:eastAsia="zh-CN" w:bidi="ar"/>
              </w:rPr>
            </w:pPr>
            <w:r>
              <w:rPr>
                <w:rFonts w:hint="eastAsia" w:ascii="宋体" w:hAnsi="宋体" w:eastAsia="宋体" w:cs="宋体"/>
                <w:b w:val="0"/>
                <w:bCs w:val="0"/>
                <w:caps w:val="0"/>
                <w:color w:val="auto"/>
                <w:kern w:val="2"/>
                <w:sz w:val="22"/>
                <w:szCs w:val="22"/>
                <w:vertAlign w:val="baseline"/>
                <w:lang w:val="en-US" w:eastAsia="zh-CN" w:bidi="ar"/>
              </w:rPr>
              <w:t>6 制热功率≤1320W</w:t>
            </w:r>
          </w:p>
          <w:p w14:paraId="4B061BB5">
            <w:pPr>
              <w:keepNext w:val="0"/>
              <w:keepLines w:val="0"/>
              <w:widowControl w:val="0"/>
              <w:suppressLineNumbers w:val="0"/>
              <w:snapToGrid w:val="0"/>
              <w:spacing w:before="0" w:beforeAutospacing="0" w:after="0" w:afterAutospacing="0" w:line="240" w:lineRule="auto"/>
              <w:ind w:left="0" w:right="0" w:firstLine="0"/>
              <w:jc w:val="left"/>
              <w:rPr>
                <w:rFonts w:hint="default" w:ascii="宋体" w:hAnsi="宋体" w:eastAsia="宋体" w:cs="宋体"/>
                <w:b w:val="0"/>
                <w:bCs w:val="0"/>
                <w:caps w:val="0"/>
                <w:color w:val="0070C0"/>
                <w:kern w:val="2"/>
                <w:sz w:val="22"/>
                <w:szCs w:val="22"/>
                <w:vertAlign w:val="baseline"/>
                <w:lang w:val="en-US" w:eastAsia="zh-CN" w:bidi="ar"/>
              </w:rPr>
            </w:pPr>
            <w:r>
              <w:rPr>
                <w:rFonts w:hint="eastAsia" w:ascii="宋体" w:cs="宋体"/>
                <w:b w:val="0"/>
                <w:bCs w:val="0"/>
                <w:caps w:val="0"/>
                <w:color w:val="auto"/>
                <w:kern w:val="2"/>
                <w:sz w:val="22"/>
                <w:szCs w:val="22"/>
                <w:vertAlign w:val="baseline"/>
                <w:lang w:val="en-US" w:eastAsia="zh-CN" w:bidi="ar"/>
              </w:rPr>
              <w:t>7 能效等级：一级能效</w:t>
            </w:r>
          </w:p>
          <w:p w14:paraId="2DBBD0D3">
            <w:pPr>
              <w:rPr>
                <w:rFonts w:hint="eastAsia" w:ascii="宋体" w:hAnsi="宋体" w:eastAsia="宋体" w:cs="宋体"/>
                <w:b w:val="0"/>
                <w:bCs w:val="0"/>
                <w:caps w:val="0"/>
                <w:color w:val="auto"/>
                <w:kern w:val="2"/>
                <w:sz w:val="22"/>
                <w:szCs w:val="22"/>
                <w:vertAlign w:val="baseline"/>
                <w:lang w:val="en-US" w:eastAsia="zh-CN" w:bidi="ar"/>
              </w:rPr>
            </w:pPr>
            <w:r>
              <w:rPr>
                <w:rStyle w:val="40"/>
                <w:b/>
                <w:bCs/>
                <w:color w:val="FF0000"/>
                <w:sz w:val="24"/>
                <w:szCs w:val="24"/>
                <w:highlight w:val="none"/>
              </w:rPr>
              <w:t>所投产品</w:t>
            </w:r>
            <w:r>
              <w:rPr>
                <w:rStyle w:val="40"/>
                <w:rFonts w:hint="eastAsia"/>
                <w:b/>
                <w:bCs/>
                <w:color w:val="FF0000"/>
                <w:sz w:val="24"/>
                <w:szCs w:val="24"/>
                <w:highlight w:val="none"/>
              </w:rPr>
              <w:t>须提供国家确定的认证机构出具的、处于有效期之内的CCC产品认证证书及节能产品认证证书</w:t>
            </w:r>
            <w:r>
              <w:rPr>
                <w:rStyle w:val="40"/>
                <w:b/>
                <w:bCs/>
                <w:color w:val="FF0000"/>
                <w:sz w:val="24"/>
                <w:szCs w:val="24"/>
                <w:highlight w:val="none"/>
              </w:rPr>
              <w:t>扫描件或图片。</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54D76C80">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2</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6E765346">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05A6AD8B">
            <w:pPr>
              <w:keepNext w:val="0"/>
              <w:keepLines w:val="0"/>
              <w:widowControl w:val="0"/>
              <w:suppressLineNumbers w:val="0"/>
              <w:spacing w:before="0" w:beforeAutospacing="0" w:after="0" w:afterAutospacing="0" w:line="0" w:lineRule="atLeast"/>
              <w:ind w:left="0" w:right="0" w:firstLine="0"/>
              <w:jc w:val="both"/>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工业</w:t>
            </w:r>
          </w:p>
        </w:tc>
      </w:tr>
      <w:tr w14:paraId="10B2C26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03F9EE3A">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11</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44EA2B34">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风机</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50E4588A">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轴流风机，纯铜电机</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6E88D060">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16</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3ADDE765">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2064ADEE">
            <w:pPr>
              <w:keepNext w:val="0"/>
              <w:keepLines w:val="0"/>
              <w:widowControl w:val="0"/>
              <w:suppressLineNumbers w:val="0"/>
              <w:spacing w:before="0" w:beforeAutospacing="0" w:after="0" w:afterAutospacing="0" w:line="0" w:lineRule="atLeast"/>
              <w:ind w:left="0" w:right="0" w:firstLine="0"/>
              <w:jc w:val="both"/>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工业</w:t>
            </w:r>
          </w:p>
        </w:tc>
      </w:tr>
      <w:tr w14:paraId="02D83CF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4" w:space="0"/>
              <w:bottom w:val="single" w:color="000000" w:sz="4" w:space="0"/>
              <w:right w:val="single" w:color="000000" w:sz="4" w:space="0"/>
            </w:tcBorders>
            <w:noWrap w:val="0"/>
            <w:vAlign w:val="center"/>
          </w:tcPr>
          <w:p w14:paraId="43DB2070">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12</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14:paraId="61ED5D9F">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主电缆</w:t>
            </w:r>
          </w:p>
        </w:tc>
        <w:tc>
          <w:tcPr>
            <w:tcW w:w="5472" w:type="dxa"/>
            <w:tcBorders>
              <w:top w:val="single" w:color="000000" w:sz="4" w:space="0"/>
              <w:left w:val="single" w:color="000000" w:sz="4" w:space="0"/>
              <w:bottom w:val="single" w:color="000000" w:sz="4" w:space="0"/>
              <w:right w:val="single" w:color="000000" w:sz="4" w:space="0"/>
            </w:tcBorders>
            <w:noWrap w:val="0"/>
            <w:vAlign w:val="center"/>
          </w:tcPr>
          <w:p w14:paraId="71ABD7C8">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b w:val="0"/>
                <w:bCs w:val="0"/>
                <w:caps w:val="0"/>
                <w:color w:val="auto"/>
                <w:kern w:val="2"/>
                <w:sz w:val="22"/>
                <w:szCs w:val="22"/>
                <w:vertAlign w:val="baseline"/>
                <w:lang w:val="en-US" w:eastAsia="zh-CN" w:bidi="ar"/>
              </w:rPr>
            </w:pPr>
            <w:r>
              <w:rPr>
                <w:rFonts w:hint="eastAsia" w:ascii="宋体" w:hAnsi="宋体" w:eastAsia="宋体" w:cs="宋体"/>
                <w:b w:val="0"/>
                <w:bCs w:val="0"/>
                <w:caps w:val="0"/>
                <w:color w:val="auto"/>
                <w:kern w:val="2"/>
                <w:sz w:val="22"/>
                <w:szCs w:val="22"/>
                <w:vertAlign w:val="baseline"/>
                <w:lang w:val="en-US" w:eastAsia="zh-CN" w:bidi="ar"/>
              </w:rPr>
              <w:t>YJV-1KV-4*25mm平方+1*16 五芯25 平方国标纯铜电缆线(动力柜到屏体内配电柜)</w:t>
            </w:r>
          </w:p>
          <w:p w14:paraId="07F3D4ED">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b w:val="0"/>
                <w:bCs w:val="0"/>
                <w:caps w:val="0"/>
                <w:color w:val="auto"/>
                <w:kern w:val="2"/>
                <w:sz w:val="22"/>
                <w:szCs w:val="22"/>
                <w:vertAlign w:val="baseline"/>
                <w:lang w:val="en-US" w:eastAsia="zh-CN" w:bidi="ar"/>
              </w:rPr>
            </w:pPr>
            <w:r>
              <w:rPr>
                <w:rStyle w:val="40"/>
                <w:b/>
                <w:bCs/>
                <w:color w:val="FF0000"/>
                <w:sz w:val="24"/>
                <w:szCs w:val="24"/>
                <w:highlight w:val="none"/>
              </w:rPr>
              <w:t>所投产品</w:t>
            </w:r>
            <w:r>
              <w:rPr>
                <w:rStyle w:val="40"/>
                <w:rFonts w:hint="eastAsia"/>
                <w:b/>
                <w:bCs/>
                <w:color w:val="FF0000"/>
                <w:sz w:val="24"/>
                <w:szCs w:val="24"/>
                <w:highlight w:val="none"/>
              </w:rPr>
              <w:t>须提供国家确定的认证机构出具的、处于有效期之内的CCC产品认证证书</w:t>
            </w:r>
            <w:r>
              <w:rPr>
                <w:rStyle w:val="40"/>
                <w:b/>
                <w:bCs/>
                <w:color w:val="FF0000"/>
                <w:sz w:val="24"/>
                <w:szCs w:val="24"/>
                <w:highlight w:val="none"/>
              </w:rPr>
              <w:t>扫描件或图片。</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77252062">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100</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2877341B">
            <w:pPr>
              <w:keepNext w:val="0"/>
              <w:keepLines w:val="0"/>
              <w:widowControl w:val="0"/>
              <w:suppressLineNumbers w:val="0"/>
              <w:snapToGrid w:val="0"/>
              <w:spacing w:before="0" w:beforeAutospacing="0" w:after="0" w:afterAutospacing="0" w:line="240" w:lineRule="auto"/>
              <w:ind w:left="0" w:right="0" w:firstLine="0"/>
              <w:jc w:val="left"/>
              <w:rPr>
                <w:rFonts w:hint="eastAsia" w:ascii="宋体" w:hAnsi="宋体" w:eastAsia="宋体" w:cs="宋体"/>
                <w:caps w:val="0"/>
                <w:color w:val="auto"/>
                <w:kern w:val="0"/>
                <w:sz w:val="22"/>
                <w:szCs w:val="22"/>
                <w:vertAlign w:val="baseline"/>
              </w:rPr>
            </w:pPr>
            <w:r>
              <w:rPr>
                <w:rFonts w:hint="eastAsia" w:ascii="宋体" w:hAnsi="宋体" w:eastAsia="宋体" w:cs="宋体"/>
                <w:b w:val="0"/>
                <w:bCs w:val="0"/>
                <w:caps w:val="0"/>
                <w:color w:val="auto"/>
                <w:kern w:val="0"/>
                <w:sz w:val="22"/>
                <w:szCs w:val="22"/>
                <w:vertAlign w:val="baseline"/>
                <w:lang w:val="en-US" w:eastAsia="zh-CN" w:bidi="ar"/>
              </w:rPr>
              <w:t>米</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02DE89D0">
            <w:pPr>
              <w:keepNext w:val="0"/>
              <w:keepLines w:val="0"/>
              <w:widowControl w:val="0"/>
              <w:suppressLineNumbers w:val="0"/>
              <w:spacing w:before="0" w:beforeAutospacing="0" w:after="0" w:afterAutospacing="0" w:line="0" w:lineRule="atLeast"/>
              <w:ind w:left="0" w:right="0" w:firstLine="0"/>
              <w:jc w:val="both"/>
              <w:rPr>
                <w:rFonts w:hint="eastAsia" w:ascii="宋体" w:hAnsi="宋体" w:eastAsia="宋体" w:cs="宋体"/>
                <w:caps w:val="0"/>
                <w:color w:val="auto"/>
                <w:sz w:val="22"/>
                <w:szCs w:val="22"/>
                <w:vertAlign w:val="baseline"/>
              </w:rPr>
            </w:pPr>
            <w:r>
              <w:rPr>
                <w:rFonts w:hint="eastAsia" w:ascii="宋体" w:hAnsi="宋体" w:eastAsia="宋体" w:cs="宋体"/>
                <w:b w:val="0"/>
                <w:bCs w:val="0"/>
                <w:caps w:val="0"/>
                <w:color w:val="auto"/>
                <w:kern w:val="2"/>
                <w:sz w:val="22"/>
                <w:szCs w:val="22"/>
                <w:vertAlign w:val="baseline"/>
                <w:lang w:val="en-US" w:eastAsia="zh-CN" w:bidi="ar"/>
              </w:rPr>
              <w:t>工业</w:t>
            </w:r>
          </w:p>
        </w:tc>
      </w:tr>
    </w:tbl>
    <w:p w14:paraId="0E153CCC">
      <w:pPr>
        <w:spacing w:line="360" w:lineRule="auto"/>
        <w:ind w:firstLine="482" w:firstLineChars="200"/>
        <w:jc w:val="left"/>
        <w:rPr>
          <w:rFonts w:hint="eastAsia" w:ascii="宋体" w:cs="宋体"/>
          <w:b/>
          <w:bCs/>
          <w:kern w:val="0"/>
          <w:sz w:val="24"/>
          <w:szCs w:val="24"/>
          <w:lang w:bidi="ar-SA"/>
        </w:rPr>
      </w:pPr>
      <w:r>
        <w:rPr>
          <w:rFonts w:hint="eastAsia" w:ascii="宋体" w:cs="宋体"/>
          <w:b/>
          <w:bCs/>
          <w:kern w:val="0"/>
          <w:sz w:val="24"/>
          <w:szCs w:val="24"/>
          <w:lang w:bidi="ar-SA"/>
        </w:rPr>
        <w:t>本采购清单中所列技术规格或主要参数为最低要求，需对上述参数进行实质性响应，不允许负偏离，否则将承担其投标被视为非实质性响应投标的风险。</w:t>
      </w:r>
    </w:p>
    <w:p w14:paraId="539B1D75">
      <w:pPr>
        <w:spacing w:line="360" w:lineRule="auto"/>
        <w:ind w:firstLine="482" w:firstLineChars="200"/>
        <w:jc w:val="left"/>
        <w:rPr>
          <w:rFonts w:hint="eastAsia" w:ascii="宋体" w:cs="宋体"/>
          <w:b/>
          <w:bCs/>
          <w:kern w:val="0"/>
          <w:lang w:bidi="ar-SA"/>
        </w:rPr>
      </w:pPr>
      <w:r>
        <w:rPr>
          <w:rFonts w:hint="eastAsia" w:ascii="宋体" w:cs="宋体"/>
          <w:b/>
          <w:bCs/>
          <w:kern w:val="0"/>
          <w:sz w:val="24"/>
          <w:szCs w:val="24"/>
          <w:lang w:bidi="ar-SA"/>
        </w:rPr>
        <w:t>备注：一、</w:t>
      </w:r>
      <w:r>
        <w:rPr>
          <w:rFonts w:hint="eastAsia" w:ascii="宋体" w:cs="宋体"/>
          <w:b/>
          <w:bCs/>
          <w:kern w:val="0"/>
          <w:sz w:val="24"/>
          <w:szCs w:val="24"/>
          <w:lang w:eastAsia="zh-CN" w:bidi="ar-SA"/>
        </w:rPr>
        <w:t>根据中华人民共和国财政部令第87号—《政府采购货物和服务招标投标管理办法》第三十一条规定，本项目为“非单一产品采购项目”，本项目核心产品如下：</w:t>
      </w:r>
      <w:r>
        <w:rPr>
          <w:rFonts w:hint="eastAsia" w:ascii="宋体" w:hAnsi="宋体" w:eastAsia="宋体" w:cs="宋体"/>
          <w:b/>
          <w:bCs/>
          <w:color w:val="auto"/>
          <w:kern w:val="0"/>
          <w:sz w:val="24"/>
          <w:szCs w:val="24"/>
          <w:highlight w:val="none"/>
          <w:lang w:val="en-US" w:eastAsia="zh-CN" w:bidi="ar-SA"/>
        </w:rPr>
        <w:t>教学一体机</w:t>
      </w:r>
      <w:r>
        <w:rPr>
          <w:rFonts w:hint="eastAsia" w:ascii="宋体" w:hAnsi="宋体" w:cs="宋体"/>
          <w:b/>
          <w:bCs/>
          <w:color w:val="auto"/>
          <w:kern w:val="0"/>
          <w:sz w:val="24"/>
          <w:szCs w:val="24"/>
          <w:highlight w:val="none"/>
          <w:lang w:val="en-US" w:eastAsia="zh-CN" w:bidi="ar-SA"/>
        </w:rPr>
        <w:t>。</w:t>
      </w:r>
    </w:p>
    <w:p w14:paraId="268BA3B3">
      <w:pPr>
        <w:spacing w:line="360" w:lineRule="auto"/>
        <w:ind w:firstLine="480" w:firstLineChars="200"/>
        <w:jc w:val="left"/>
        <w:rPr>
          <w:rFonts w:hint="eastAsia" w:ascii="宋体" w:cs="宋体"/>
          <w:b w:val="0"/>
          <w:bCs w:val="0"/>
          <w:kern w:val="0"/>
          <w:sz w:val="24"/>
          <w:szCs w:val="24"/>
          <w:lang w:bidi="ar-SA"/>
        </w:rPr>
      </w:pPr>
      <w:r>
        <w:rPr>
          <w:rFonts w:hint="eastAsia" w:ascii="宋体" w:cs="宋体"/>
          <w:b w:val="0"/>
          <w:bCs w:val="0"/>
          <w:kern w:val="0"/>
          <w:sz w:val="24"/>
          <w:szCs w:val="24"/>
          <w:lang w:bidi="ar-SA"/>
        </w:rPr>
        <w:t>二、</w:t>
      </w:r>
      <w:r>
        <w:rPr>
          <w:rFonts w:ascii="宋体" w:hAnsi="宋体" w:cs="宋体"/>
          <w:b w:val="0"/>
          <w:bCs w:val="0"/>
          <w:spacing w:val="10"/>
          <w:position w:val="1"/>
          <w:sz w:val="24"/>
          <w:szCs w:val="23"/>
        </w:rPr>
        <w:t>采购标的的其他技术、服务等要求</w:t>
      </w:r>
    </w:p>
    <w:p w14:paraId="2BEC2CBE">
      <w:pPr>
        <w:spacing w:line="360" w:lineRule="auto"/>
        <w:ind w:firstLine="480" w:firstLineChars="200"/>
        <w:jc w:val="left"/>
        <w:rPr>
          <w:rFonts w:hint="eastAsia" w:ascii="宋体" w:cs="宋体"/>
          <w:kern w:val="0"/>
          <w:sz w:val="24"/>
          <w:szCs w:val="24"/>
          <w:lang w:bidi="ar-SA"/>
        </w:rPr>
      </w:pPr>
      <w:r>
        <w:rPr>
          <w:rFonts w:hint="eastAsia" w:ascii="宋体" w:cs="宋体"/>
          <w:kern w:val="0"/>
          <w:sz w:val="24"/>
          <w:szCs w:val="24"/>
          <w:lang w:bidi="ar-SA"/>
        </w:rPr>
        <w:t>1、投标人须明确投标产品的厂家、产地、品牌、型号、详细参数，否则为无效投标。</w:t>
      </w:r>
    </w:p>
    <w:p w14:paraId="1A9C3441">
      <w:pPr>
        <w:spacing w:line="360" w:lineRule="auto"/>
        <w:ind w:firstLine="480" w:firstLineChars="200"/>
        <w:jc w:val="left"/>
        <w:rPr>
          <w:rFonts w:hint="eastAsia" w:ascii="宋体" w:cs="宋体"/>
          <w:kern w:val="0"/>
          <w:sz w:val="24"/>
          <w:szCs w:val="24"/>
          <w:lang w:bidi="ar-SA"/>
        </w:rPr>
      </w:pPr>
      <w:r>
        <w:rPr>
          <w:rFonts w:hint="eastAsia" w:ascii="宋体" w:cs="宋体"/>
          <w:kern w:val="0"/>
          <w:sz w:val="24"/>
          <w:szCs w:val="24"/>
          <w:lang w:bidi="ar-SA"/>
        </w:rPr>
        <w:t>2、投标人应就本项目完整投标，投标人所投产品必须满足招标文件要求，否则为无效投标。</w:t>
      </w:r>
    </w:p>
    <w:p w14:paraId="1F136B14">
      <w:pPr>
        <w:spacing w:line="360" w:lineRule="auto"/>
        <w:ind w:firstLine="480" w:firstLineChars="200"/>
        <w:jc w:val="left"/>
        <w:rPr>
          <w:rFonts w:hint="eastAsia" w:ascii="宋体" w:cs="宋体"/>
          <w:kern w:val="0"/>
          <w:sz w:val="24"/>
          <w:szCs w:val="24"/>
          <w:lang w:bidi="ar-SA"/>
        </w:rPr>
      </w:pPr>
      <w:r>
        <w:rPr>
          <w:rFonts w:hint="eastAsia" w:ascii="宋体" w:cs="宋体"/>
          <w:kern w:val="0"/>
          <w:sz w:val="24"/>
          <w:szCs w:val="24"/>
          <w:lang w:bidi="ar-SA"/>
        </w:rPr>
        <w:t>3、投标人应具有完善的售后服务，免费培训操作及维修人员，免费负责设备的安装及调试。不响应者为无效投标。</w:t>
      </w:r>
    </w:p>
    <w:p w14:paraId="13FBABE7">
      <w:pPr>
        <w:spacing w:line="360" w:lineRule="auto"/>
        <w:ind w:firstLine="480" w:firstLineChars="200"/>
        <w:jc w:val="left"/>
        <w:rPr>
          <w:rFonts w:hint="eastAsia" w:ascii="宋体" w:cs="宋体"/>
          <w:kern w:val="0"/>
          <w:sz w:val="24"/>
          <w:szCs w:val="24"/>
          <w:lang w:bidi="ar-SA"/>
        </w:rPr>
      </w:pPr>
      <w:r>
        <w:rPr>
          <w:rFonts w:hint="eastAsia" w:ascii="宋体" w:cs="宋体"/>
          <w:kern w:val="0"/>
          <w:sz w:val="24"/>
          <w:szCs w:val="24"/>
          <w:lang w:bidi="ar-SA"/>
        </w:rPr>
        <w:t>4、本项目投标报价为总包价，包含货物招标、包装、运输、装卸、备品备件、质保、税金、调试和使用培训等</w:t>
      </w:r>
      <w:r>
        <w:rPr>
          <w:rFonts w:hint="eastAsia" w:ascii="宋体" w:cs="宋体"/>
          <w:kern w:val="0"/>
          <w:sz w:val="24"/>
          <w:szCs w:val="24"/>
          <w:lang w:eastAsia="zh-CN" w:bidi="ar-SA"/>
        </w:rPr>
        <w:t>一切费用，</w:t>
      </w:r>
      <w:r>
        <w:rPr>
          <w:rFonts w:hint="eastAsia" w:ascii="宋体" w:cs="宋体"/>
          <w:b/>
          <w:bCs/>
          <w:kern w:val="0"/>
          <w:sz w:val="24"/>
          <w:szCs w:val="24"/>
          <w:highlight w:val="none"/>
          <w:lang w:eastAsia="zh-CN" w:bidi="ar-SA"/>
        </w:rPr>
        <w:t>其中整套广播系统还包含</w:t>
      </w:r>
      <w:r>
        <w:rPr>
          <w:rFonts w:hint="eastAsia" w:ascii="宋体" w:cs="宋体"/>
          <w:b/>
          <w:bCs/>
          <w:kern w:val="0"/>
          <w:sz w:val="24"/>
          <w:szCs w:val="24"/>
          <w:highlight w:val="none"/>
          <w:lang w:val="en-US" w:eastAsia="zh-CN" w:bidi="ar-SA"/>
        </w:rPr>
        <w:t>线路铺设，穿管穿线，路面开挖及恢复，设备安装调试，保障系统正常运行等</w:t>
      </w:r>
      <w:r>
        <w:rPr>
          <w:rFonts w:hint="eastAsia" w:ascii="宋体" w:cs="宋体"/>
          <w:b/>
          <w:bCs/>
          <w:kern w:val="0"/>
          <w:sz w:val="24"/>
          <w:szCs w:val="24"/>
          <w:highlight w:val="none"/>
          <w:lang w:bidi="ar-SA"/>
        </w:rPr>
        <w:t>一切费用</w:t>
      </w:r>
      <w:r>
        <w:rPr>
          <w:rFonts w:hint="eastAsia" w:ascii="宋体" w:cs="宋体"/>
          <w:b/>
          <w:bCs/>
          <w:kern w:val="0"/>
          <w:sz w:val="24"/>
          <w:szCs w:val="24"/>
          <w:highlight w:val="none"/>
          <w:lang w:eastAsia="zh-CN" w:bidi="ar-SA"/>
        </w:rPr>
        <w:t>。</w:t>
      </w:r>
      <w:r>
        <w:rPr>
          <w:rFonts w:hint="eastAsia" w:ascii="宋体" w:cs="宋体"/>
          <w:kern w:val="0"/>
          <w:sz w:val="24"/>
          <w:szCs w:val="24"/>
          <w:lang w:bidi="ar-SA"/>
        </w:rPr>
        <w:t>如有招标文件中没有明确，而本项目</w:t>
      </w:r>
      <w:r>
        <w:rPr>
          <w:rFonts w:hint="eastAsia" w:ascii="宋体" w:cs="宋体"/>
          <w:kern w:val="0"/>
          <w:sz w:val="24"/>
          <w:szCs w:val="24"/>
          <w:lang w:eastAsia="zh-CN" w:bidi="ar-SA"/>
        </w:rPr>
        <w:t>必需的</w:t>
      </w:r>
      <w:r>
        <w:rPr>
          <w:rFonts w:hint="eastAsia" w:ascii="宋体" w:cs="宋体"/>
          <w:kern w:val="0"/>
          <w:sz w:val="24"/>
          <w:szCs w:val="24"/>
          <w:lang w:bidi="ar-SA"/>
        </w:rPr>
        <w:t>各种材料，均应包括在本项目中，招标人不再另行进行支付有关款项。投标供货商投标时应考虑安装、运输等诸多因素及费用问题应包含在内。</w:t>
      </w:r>
    </w:p>
    <w:p w14:paraId="5650A030">
      <w:pPr>
        <w:spacing w:line="360" w:lineRule="auto"/>
        <w:ind w:firstLine="480" w:firstLineChars="200"/>
        <w:jc w:val="left"/>
        <w:rPr>
          <w:rFonts w:hint="eastAsia" w:ascii="宋体" w:cs="宋体"/>
          <w:kern w:val="0"/>
          <w:sz w:val="24"/>
          <w:szCs w:val="24"/>
          <w:lang w:bidi="ar-SA"/>
        </w:rPr>
      </w:pPr>
      <w:r>
        <w:rPr>
          <w:rFonts w:hint="eastAsia" w:ascii="宋体" w:cs="宋体"/>
          <w:kern w:val="0"/>
          <w:sz w:val="24"/>
          <w:szCs w:val="24"/>
          <w:lang w:bidi="ar-SA"/>
        </w:rPr>
        <w:t>5、招标文件中所列产品参数为最低要求,投标产品不得低于最低要求，否则为无效投标。凡对技术资料采用弄虚作假的，即作为废标处理。</w:t>
      </w:r>
    </w:p>
    <w:p w14:paraId="25936701">
      <w:pPr>
        <w:spacing w:line="360" w:lineRule="auto"/>
        <w:ind w:firstLine="480" w:firstLineChars="200"/>
        <w:jc w:val="left"/>
        <w:rPr>
          <w:rFonts w:hint="eastAsia" w:ascii="宋体" w:cs="宋体"/>
          <w:kern w:val="0"/>
          <w:sz w:val="24"/>
          <w:szCs w:val="24"/>
          <w:lang w:bidi="ar-SA"/>
        </w:rPr>
      </w:pPr>
      <w:r>
        <w:rPr>
          <w:rFonts w:hint="eastAsia" w:ascii="宋体" w:cs="宋体"/>
          <w:kern w:val="0"/>
          <w:sz w:val="24"/>
          <w:szCs w:val="24"/>
          <w:lang w:bidi="ar-SA"/>
        </w:rPr>
        <w:t>6、多家投标人提供的主要产品品牌相同且通过资格审查、符合性审查的不同投标人，参加同一合同项下投标的，按一家投标人计算，评审后得分最高的同品牌投标人获得中标人推荐资格；评审得分相同的，同品牌投标价格最低的获得中标人推荐资格，其他同品牌投标人不作为中标候选人。</w:t>
      </w:r>
    </w:p>
    <w:p w14:paraId="4880750D">
      <w:pPr>
        <w:spacing w:line="360" w:lineRule="auto"/>
        <w:ind w:firstLine="720" w:firstLineChars="300"/>
        <w:jc w:val="left"/>
        <w:rPr>
          <w:rFonts w:hint="eastAsia" w:ascii="宋体" w:cs="宋体"/>
          <w:kern w:val="0"/>
          <w:sz w:val="24"/>
          <w:szCs w:val="24"/>
          <w:lang w:bidi="ar-SA"/>
        </w:rPr>
      </w:pPr>
      <w:r>
        <w:rPr>
          <w:rFonts w:hint="eastAsia" w:ascii="宋体" w:cs="宋体"/>
          <w:kern w:val="0"/>
          <w:sz w:val="24"/>
          <w:szCs w:val="24"/>
          <w:lang w:bidi="ar-SA"/>
        </w:rPr>
        <w:t>7、交货期：合同签订后30日历天，不响应者为无效投标。</w:t>
      </w:r>
    </w:p>
    <w:p w14:paraId="4B87420D">
      <w:pPr>
        <w:shd w:val="clear" w:color="auto" w:fill="auto"/>
        <w:spacing w:line="360" w:lineRule="auto"/>
        <w:ind w:firstLine="723" w:firstLineChars="300"/>
        <w:jc w:val="left"/>
        <w:rPr>
          <w:rFonts w:hint="eastAsia" w:ascii="宋体" w:cs="宋体"/>
          <w:b/>
          <w:bCs/>
          <w:color w:val="auto"/>
          <w:kern w:val="0"/>
          <w:sz w:val="24"/>
          <w:szCs w:val="24"/>
          <w:highlight w:val="none"/>
          <w:lang w:bidi="ar-SA"/>
        </w:rPr>
      </w:pPr>
      <w:r>
        <w:rPr>
          <w:rFonts w:hint="eastAsia" w:ascii="宋体" w:cs="宋体"/>
          <w:b/>
          <w:bCs/>
          <w:color w:val="auto"/>
          <w:kern w:val="0"/>
          <w:sz w:val="24"/>
          <w:szCs w:val="24"/>
          <w:highlight w:val="none"/>
          <w:lang w:bidi="ar-SA"/>
        </w:rPr>
        <w:t>8、本项目相关设备售后服务及质保期限要求：</w:t>
      </w:r>
    </w:p>
    <w:p w14:paraId="1E9B2BB4">
      <w:pPr>
        <w:shd w:val="clear" w:color="auto" w:fill="auto"/>
        <w:spacing w:line="360" w:lineRule="auto"/>
        <w:ind w:firstLine="723" w:firstLineChars="300"/>
        <w:jc w:val="left"/>
        <w:rPr>
          <w:rFonts w:hint="eastAsia" w:ascii="宋体" w:cs="宋体"/>
          <w:b/>
          <w:bCs/>
          <w:color w:val="auto"/>
          <w:kern w:val="0"/>
          <w:sz w:val="24"/>
          <w:szCs w:val="24"/>
          <w:highlight w:val="none"/>
          <w:lang w:val="en-US" w:eastAsia="zh-CN" w:bidi="ar-SA"/>
        </w:rPr>
      </w:pPr>
      <w:r>
        <w:rPr>
          <w:rFonts w:hint="default" w:ascii="宋体" w:cs="宋体"/>
          <w:b/>
          <w:bCs/>
          <w:color w:val="auto"/>
          <w:kern w:val="0"/>
          <w:sz w:val="24"/>
          <w:szCs w:val="24"/>
          <w:highlight w:val="none"/>
          <w:lang w:val="en-US" w:eastAsia="zh-CN" w:bidi="ar-SA"/>
        </w:rPr>
        <w:t>个性化学习手册（数学）售后及质保期限为1学期；教学一体机、教学应用系统、视频展台、批阅一体机、大数据精准教学系统、听说课堂管理系统、英语模考系统售后及质保期限为3年；智能笔、教师演示器、语音答题器、语音接收器、充电仓、便携包、专用耳机售后及质保期限为1年。整套广播系统、常态化视频监控系统、室外全彩显示屏，整体系统需提供</w:t>
      </w:r>
      <w:r>
        <w:rPr>
          <w:rFonts w:hint="eastAsia" w:ascii="宋体" w:cs="宋体"/>
          <w:b/>
          <w:bCs/>
          <w:color w:val="auto"/>
          <w:kern w:val="0"/>
          <w:sz w:val="24"/>
          <w:szCs w:val="24"/>
          <w:highlight w:val="none"/>
          <w:lang w:val="en-US" w:eastAsia="zh-CN" w:bidi="ar-SA"/>
        </w:rPr>
        <w:t>2</w:t>
      </w:r>
      <w:r>
        <w:rPr>
          <w:rFonts w:hint="default" w:ascii="宋体" w:cs="宋体"/>
          <w:b/>
          <w:bCs/>
          <w:color w:val="auto"/>
          <w:kern w:val="0"/>
          <w:sz w:val="24"/>
          <w:szCs w:val="24"/>
          <w:highlight w:val="none"/>
          <w:lang w:val="en-US" w:eastAsia="zh-CN" w:bidi="ar-SA"/>
        </w:rPr>
        <w:t>年质保服务</w:t>
      </w:r>
      <w:r>
        <w:rPr>
          <w:rFonts w:hint="eastAsia" w:ascii="宋体" w:cs="宋体"/>
          <w:b/>
          <w:bCs/>
          <w:color w:val="auto"/>
          <w:kern w:val="0"/>
          <w:sz w:val="24"/>
          <w:szCs w:val="24"/>
          <w:highlight w:val="none"/>
          <w:lang w:val="en-US" w:eastAsia="zh-CN" w:bidi="ar-SA"/>
        </w:rPr>
        <w:t>。</w:t>
      </w:r>
    </w:p>
    <w:p w14:paraId="6324885E">
      <w:pPr>
        <w:shd w:val="clear" w:color="auto" w:fill="auto"/>
        <w:spacing w:line="360" w:lineRule="auto"/>
        <w:ind w:firstLine="723" w:firstLineChars="300"/>
        <w:jc w:val="left"/>
        <w:rPr>
          <w:rFonts w:hint="eastAsia" w:ascii="宋体" w:cs="宋体"/>
          <w:b/>
          <w:bCs/>
          <w:color w:val="auto"/>
          <w:kern w:val="0"/>
          <w:sz w:val="24"/>
          <w:szCs w:val="24"/>
          <w:highlight w:val="yellow"/>
          <w:lang w:bidi="ar-SA"/>
        </w:rPr>
      </w:pPr>
      <w:r>
        <w:rPr>
          <w:rFonts w:hint="eastAsia" w:ascii="宋体" w:cs="宋体"/>
          <w:b/>
          <w:bCs/>
          <w:color w:val="auto"/>
          <w:kern w:val="0"/>
          <w:sz w:val="24"/>
          <w:szCs w:val="24"/>
          <w:lang w:bidi="ar-SA"/>
        </w:rPr>
        <w:t>供应商须明确免费保修期限，同时应提出故障响应时间，在免费保修期内，同一质量问题连续两次维修仍无法正常使用，供应商必须予以更换同品牌、同型号的全新产品，超过保修期发生故障，用户可自由选择维修单位，如委托给供应商，供应商不得借故推诿，并且维修费不能超过市场平均价格。</w:t>
      </w:r>
    </w:p>
    <w:p w14:paraId="018A0FB7">
      <w:pPr>
        <w:spacing w:line="360" w:lineRule="auto"/>
        <w:ind w:firstLine="482" w:firstLineChars="200"/>
        <w:jc w:val="left"/>
        <w:rPr>
          <w:rFonts w:hint="eastAsia" w:ascii="宋体" w:cs="宋体"/>
          <w:b/>
          <w:bCs/>
          <w:kern w:val="0"/>
          <w:sz w:val="24"/>
          <w:szCs w:val="24"/>
          <w:lang w:bidi="ar-SA"/>
        </w:rPr>
      </w:pPr>
      <w:r>
        <w:rPr>
          <w:rFonts w:hint="eastAsia" w:ascii="宋体" w:cs="宋体"/>
          <w:b/>
          <w:bCs/>
          <w:kern w:val="0"/>
          <w:sz w:val="24"/>
          <w:szCs w:val="24"/>
          <w:lang w:bidi="ar-SA"/>
        </w:rPr>
        <w:t>三、验收标准</w:t>
      </w:r>
    </w:p>
    <w:p w14:paraId="1CB6249D">
      <w:pPr>
        <w:spacing w:line="360" w:lineRule="auto"/>
        <w:ind w:firstLine="480" w:firstLineChars="200"/>
        <w:jc w:val="left"/>
        <w:rPr>
          <w:rFonts w:hint="eastAsia" w:ascii="宋体" w:cs="宋体"/>
          <w:kern w:val="0"/>
          <w:sz w:val="24"/>
          <w:szCs w:val="24"/>
          <w:lang w:bidi="ar-SA"/>
        </w:rPr>
      </w:pPr>
      <w:r>
        <w:rPr>
          <w:rFonts w:hint="eastAsia" w:ascii="宋体" w:cs="宋体"/>
          <w:sz w:val="24"/>
          <w:szCs w:val="24"/>
          <w:lang w:bidi="ar-SA"/>
        </w:rPr>
        <w:t>1.</w:t>
      </w:r>
      <w:r>
        <w:rPr>
          <w:rFonts w:hint="eastAsia" w:ascii="宋体" w:cs="宋体"/>
          <w:kern w:val="0"/>
          <w:sz w:val="24"/>
          <w:szCs w:val="24"/>
          <w:lang w:bidi="ar-SA"/>
        </w:rPr>
        <w:t>由招标人成立验收小组或委托第三方,按照招标合同的约定对中标人履约情况进行验收。验收时,按照招标合同的约定对每一项技术、服务、安全标准的履约情况进行确认。验收结束后,出具验收报告,列明各项标准的验收情况及项目总体评价,由验收双方共同签署。</w:t>
      </w:r>
    </w:p>
    <w:p w14:paraId="37EE6563">
      <w:pPr>
        <w:spacing w:line="360" w:lineRule="auto"/>
        <w:ind w:firstLine="480" w:firstLineChars="200"/>
        <w:jc w:val="left"/>
        <w:rPr>
          <w:rFonts w:hint="eastAsia" w:ascii="宋体" w:cs="宋体"/>
          <w:kern w:val="0"/>
          <w:sz w:val="24"/>
          <w:szCs w:val="24"/>
          <w:lang w:bidi="ar-SA"/>
        </w:rPr>
      </w:pPr>
      <w:r>
        <w:rPr>
          <w:rFonts w:hint="eastAsia" w:ascii="宋体" w:cs="宋体"/>
          <w:kern w:val="0"/>
          <w:sz w:val="24"/>
          <w:szCs w:val="24"/>
          <w:lang w:bidi="ar-SA"/>
        </w:rPr>
        <w:t>2.按照招标文件要求、投标文件响应和承诺验收。</w:t>
      </w:r>
    </w:p>
    <w:p w14:paraId="2C51FB53">
      <w:pPr>
        <w:spacing w:line="360" w:lineRule="auto"/>
        <w:ind w:firstLine="482" w:firstLineChars="200"/>
        <w:jc w:val="left"/>
        <w:rPr>
          <w:rFonts w:hint="eastAsia" w:ascii="宋体" w:cs="宋体"/>
          <w:b/>
          <w:bCs/>
          <w:kern w:val="0"/>
          <w:sz w:val="24"/>
          <w:szCs w:val="24"/>
          <w:lang w:bidi="ar-SA"/>
        </w:rPr>
      </w:pPr>
      <w:r>
        <w:rPr>
          <w:rFonts w:hint="eastAsia" w:ascii="宋体" w:cs="宋体"/>
          <w:b/>
          <w:bCs/>
          <w:kern w:val="0"/>
          <w:sz w:val="24"/>
          <w:szCs w:val="24"/>
          <w:lang w:bidi="ar-SA"/>
        </w:rPr>
        <w:t>四、资金支付</w:t>
      </w:r>
    </w:p>
    <w:p w14:paraId="01CB6984">
      <w:pPr>
        <w:spacing w:line="360" w:lineRule="auto"/>
        <w:ind w:firstLine="480" w:firstLineChars="200"/>
        <w:jc w:val="left"/>
        <w:rPr>
          <w:rFonts w:hint="eastAsia" w:ascii="宋体" w:cs="宋体"/>
          <w:kern w:val="0"/>
          <w:sz w:val="24"/>
          <w:szCs w:val="24"/>
          <w:lang w:bidi="ar-SA"/>
        </w:rPr>
      </w:pPr>
      <w:r>
        <w:rPr>
          <w:rFonts w:hint="eastAsia" w:ascii="宋体" w:cs="宋体"/>
          <w:kern w:val="0"/>
          <w:sz w:val="24"/>
          <w:szCs w:val="24"/>
          <w:lang w:bidi="ar-SA"/>
        </w:rPr>
        <w:t>1.支付方式：银行转账。</w:t>
      </w:r>
    </w:p>
    <w:p w14:paraId="11B02682">
      <w:pPr>
        <w:spacing w:line="360" w:lineRule="auto"/>
        <w:ind w:firstLine="480" w:firstLineChars="200"/>
        <w:jc w:val="left"/>
        <w:rPr>
          <w:rFonts w:hint="eastAsia" w:ascii="宋体" w:cs="宋体"/>
          <w:kern w:val="0"/>
          <w:sz w:val="24"/>
          <w:szCs w:val="24"/>
          <w:lang w:bidi="ar-SA"/>
        </w:rPr>
      </w:pPr>
      <w:r>
        <w:rPr>
          <w:rFonts w:hint="eastAsia" w:ascii="宋体" w:cs="宋体"/>
          <w:kern w:val="0"/>
          <w:sz w:val="24"/>
          <w:szCs w:val="24"/>
          <w:lang w:bidi="ar-SA"/>
        </w:rPr>
        <w:t>2.支付时间及条件：以签订合同为准。</w:t>
      </w:r>
    </w:p>
    <w:p w14:paraId="413E7642">
      <w:pPr>
        <w:spacing w:line="360" w:lineRule="auto"/>
        <w:ind w:firstLine="720" w:firstLineChars="300"/>
        <w:jc w:val="left"/>
        <w:rPr>
          <w:rFonts w:hint="eastAsia" w:ascii="宋体" w:cs="宋体"/>
          <w:kern w:val="0"/>
          <w:sz w:val="24"/>
          <w:szCs w:val="24"/>
          <w:lang w:bidi="ar-SA"/>
        </w:rPr>
      </w:pPr>
    </w:p>
    <w:p w14:paraId="32B58CFF">
      <w:pPr>
        <w:pStyle w:val="7"/>
        <w:rPr>
          <w:rFonts w:hint="eastAsia" w:ascii="宋体" w:cs="宋体"/>
          <w:sz w:val="28"/>
          <w:szCs w:val="28"/>
          <w:lang w:bidi="ar-SA"/>
        </w:rPr>
      </w:pPr>
    </w:p>
    <w:p w14:paraId="7E5614A2">
      <w:pPr>
        <w:widowControl/>
        <w:spacing w:line="360" w:lineRule="auto"/>
        <w:jc w:val="center"/>
        <w:rPr>
          <w:rFonts w:hint="eastAsia" w:ascii="宋体"/>
          <w:b/>
          <w:kern w:val="0"/>
        </w:rPr>
      </w:pPr>
      <w:r>
        <w:rPr>
          <w:rFonts w:hint="eastAsia" w:ascii="宋体"/>
          <w:b/>
          <w:kern w:val="0"/>
        </w:rPr>
        <w:t>第三章  投标人须知前附表</w:t>
      </w:r>
    </w:p>
    <w:p w14:paraId="207D8785">
      <w:pPr>
        <w:widowControl/>
        <w:spacing w:line="360" w:lineRule="auto"/>
        <w:rPr>
          <w:rFonts w:hint="eastAsia" w:ascii="宋体"/>
          <w:b/>
          <w:kern w:val="0"/>
        </w:rPr>
      </w:pPr>
      <w:r>
        <w:rPr>
          <w:rFonts w:hint="eastAsia" w:ascii="宋体"/>
          <w:b/>
        </w:rPr>
        <w:t>招标</w:t>
      </w:r>
      <w:r>
        <w:rPr>
          <w:rFonts w:hint="eastAsia" w:ascii="宋体" w:cs="微软雅黑"/>
          <w:b/>
          <w:lang w:bidi="ar-SA"/>
        </w:rPr>
        <w:t>文件中凡标有</w:t>
      </w:r>
      <w:r>
        <w:rPr>
          <w:rFonts w:hint="eastAsia" w:ascii="宋体" w:hAnsi="宋体" w:eastAsia="宋体" w:cs="微软雅黑"/>
          <w:b/>
          <w:lang w:bidi="ar-SA"/>
        </w:rPr>
        <w:t>★</w:t>
      </w:r>
      <w:r>
        <w:rPr>
          <w:rFonts w:hint="eastAsia" w:ascii="宋体" w:cs="微软雅黑"/>
          <w:b/>
          <w:lang w:bidi="ar-SA"/>
        </w:rPr>
        <w:t>条款均为实质性要求条款，投标文件须完全响应，未实质响应的，按照无效投标处理。</w:t>
      </w:r>
    </w:p>
    <w:tbl>
      <w:tblPr>
        <w:tblStyle w:val="19"/>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983"/>
        <w:gridCol w:w="6800"/>
      </w:tblGrid>
      <w:tr w14:paraId="623AE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5D43F88">
            <w:pPr>
              <w:autoSpaceDE w:val="0"/>
              <w:autoSpaceDN w:val="0"/>
              <w:adjustRightInd w:val="0"/>
              <w:snapToGrid w:val="0"/>
              <w:spacing w:line="400" w:lineRule="exact"/>
              <w:jc w:val="center"/>
              <w:rPr>
                <w:rFonts w:hint="eastAsia" w:ascii="黑体" w:hAnsi="黑体" w:eastAsia="黑体" w:cs="黑体"/>
                <w:b/>
                <w:lang w:bidi="ar-SA"/>
              </w:rPr>
            </w:pPr>
            <w:r>
              <w:rPr>
                <w:rFonts w:hint="eastAsia" w:ascii="黑体" w:hAnsi="黑体" w:eastAsia="黑体" w:cs="黑体"/>
                <w:b/>
                <w:lang w:bidi="ar-SA"/>
              </w:rPr>
              <w:t>序号</w:t>
            </w:r>
          </w:p>
        </w:tc>
        <w:tc>
          <w:tcPr>
            <w:tcW w:w="1983" w:type="dxa"/>
            <w:tcBorders>
              <w:top w:val="single" w:color="auto" w:sz="4" w:space="0"/>
              <w:left w:val="nil"/>
              <w:bottom w:val="single" w:color="auto" w:sz="4" w:space="0"/>
              <w:right w:val="single" w:color="auto" w:sz="4" w:space="0"/>
            </w:tcBorders>
            <w:noWrap w:val="0"/>
            <w:vAlign w:val="center"/>
          </w:tcPr>
          <w:p w14:paraId="230D4553">
            <w:pPr>
              <w:autoSpaceDE w:val="0"/>
              <w:autoSpaceDN w:val="0"/>
              <w:adjustRightInd w:val="0"/>
              <w:snapToGrid w:val="0"/>
              <w:spacing w:line="400" w:lineRule="exact"/>
              <w:jc w:val="center"/>
              <w:rPr>
                <w:rFonts w:hint="eastAsia" w:ascii="黑体" w:hAnsi="黑体" w:eastAsia="黑体" w:cs="黑体"/>
                <w:b/>
                <w:lang w:bidi="ar-SA"/>
              </w:rPr>
            </w:pPr>
            <w:r>
              <w:rPr>
                <w:rFonts w:hint="eastAsia" w:ascii="黑体" w:hAnsi="黑体" w:eastAsia="黑体" w:cs="黑体"/>
                <w:b/>
                <w:lang w:bidi="ar-SA"/>
              </w:rPr>
              <w:t>条款名称</w:t>
            </w:r>
          </w:p>
        </w:tc>
        <w:tc>
          <w:tcPr>
            <w:tcW w:w="6800" w:type="dxa"/>
            <w:tcBorders>
              <w:top w:val="single" w:color="auto" w:sz="4" w:space="0"/>
              <w:left w:val="nil"/>
              <w:bottom w:val="single" w:color="auto" w:sz="4" w:space="0"/>
              <w:right w:val="single" w:color="auto" w:sz="4" w:space="0"/>
            </w:tcBorders>
            <w:noWrap w:val="0"/>
            <w:vAlign w:val="center"/>
          </w:tcPr>
          <w:p w14:paraId="040197D1">
            <w:pPr>
              <w:autoSpaceDE w:val="0"/>
              <w:autoSpaceDN w:val="0"/>
              <w:adjustRightInd w:val="0"/>
              <w:snapToGrid w:val="0"/>
              <w:spacing w:line="400" w:lineRule="exact"/>
              <w:jc w:val="center"/>
              <w:rPr>
                <w:rFonts w:hint="eastAsia" w:ascii="黑体" w:hAnsi="黑体" w:eastAsia="黑体" w:cs="黑体"/>
                <w:b/>
                <w:lang w:bidi="ar-SA"/>
              </w:rPr>
            </w:pPr>
            <w:r>
              <w:rPr>
                <w:rFonts w:hint="eastAsia" w:ascii="黑体" w:hAnsi="黑体" w:eastAsia="黑体" w:cs="黑体"/>
                <w:b/>
                <w:lang w:bidi="ar-SA"/>
              </w:rPr>
              <w:t>说明和要求</w:t>
            </w:r>
          </w:p>
        </w:tc>
      </w:tr>
      <w:tr w14:paraId="57E20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752E8213">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w:t>
            </w:r>
          </w:p>
        </w:tc>
        <w:tc>
          <w:tcPr>
            <w:tcW w:w="1983" w:type="dxa"/>
            <w:tcBorders>
              <w:top w:val="single" w:color="auto" w:sz="4" w:space="0"/>
              <w:left w:val="nil"/>
              <w:bottom w:val="single" w:color="auto" w:sz="4" w:space="0"/>
              <w:right w:val="single" w:color="auto" w:sz="4" w:space="0"/>
            </w:tcBorders>
            <w:noWrap w:val="0"/>
            <w:vAlign w:val="center"/>
          </w:tcPr>
          <w:p w14:paraId="71A9F3D7">
            <w:pPr>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lang w:bidi="ar-SA"/>
              </w:rPr>
              <w:t>招标项目</w:t>
            </w:r>
          </w:p>
        </w:tc>
        <w:tc>
          <w:tcPr>
            <w:tcW w:w="6800" w:type="dxa"/>
            <w:tcBorders>
              <w:top w:val="single" w:color="auto" w:sz="4" w:space="0"/>
              <w:left w:val="nil"/>
              <w:bottom w:val="single" w:color="auto" w:sz="4" w:space="0"/>
              <w:right w:val="single" w:color="auto" w:sz="4" w:space="0"/>
            </w:tcBorders>
            <w:noWrap w:val="0"/>
            <w:vAlign w:val="top"/>
          </w:tcPr>
          <w:p w14:paraId="24D66130">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bidi="ar-SA"/>
              </w:rPr>
              <w:t>项目名称：</w:t>
            </w:r>
            <w:r>
              <w:rPr>
                <w:rFonts w:hint="eastAsia" w:ascii="黑体" w:hAnsi="黑体" w:eastAsia="黑体" w:cs="黑体"/>
                <w:lang w:eastAsia="zh-CN" w:bidi="ar-SA"/>
              </w:rPr>
              <w:t>长葛市教育体育局市一高新建综合楼配套电子教学设备等采购项目</w:t>
            </w:r>
            <w:r>
              <w:rPr>
                <w:rFonts w:hint="eastAsia" w:ascii="黑体" w:hAnsi="黑体" w:eastAsia="黑体" w:cs="黑体"/>
                <w:lang w:bidi="ar-SA"/>
              </w:rPr>
              <w:t>（不见面开标）</w:t>
            </w:r>
          </w:p>
          <w:p w14:paraId="06258E8E">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bidi="ar-SA"/>
              </w:rPr>
              <w:t>项目编号：长招采公字【202</w:t>
            </w:r>
            <w:r>
              <w:rPr>
                <w:rFonts w:hint="eastAsia" w:ascii="黑体" w:hAnsi="黑体" w:eastAsia="黑体" w:cs="黑体"/>
                <w:lang w:val="en-US" w:eastAsia="zh-CN" w:bidi="ar-SA"/>
              </w:rPr>
              <w:t>5</w:t>
            </w:r>
            <w:r>
              <w:rPr>
                <w:rFonts w:hint="eastAsia" w:ascii="黑体" w:hAnsi="黑体" w:eastAsia="黑体" w:cs="黑体"/>
                <w:lang w:bidi="ar-SA"/>
              </w:rPr>
              <w:t>】0</w:t>
            </w:r>
            <w:r>
              <w:rPr>
                <w:rFonts w:hint="eastAsia" w:ascii="黑体" w:hAnsi="黑体" w:eastAsia="黑体" w:cs="黑体"/>
                <w:lang w:val="en-US" w:eastAsia="zh-CN" w:bidi="ar-SA"/>
              </w:rPr>
              <w:t>03</w:t>
            </w:r>
            <w:r>
              <w:rPr>
                <w:rFonts w:hint="eastAsia" w:ascii="黑体" w:hAnsi="黑体" w:eastAsia="黑体" w:cs="黑体"/>
                <w:lang w:bidi="ar-SA"/>
              </w:rPr>
              <w:t>号</w:t>
            </w:r>
          </w:p>
        </w:tc>
      </w:tr>
      <w:tr w14:paraId="0FD3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7B0FB799">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w:t>
            </w:r>
          </w:p>
        </w:tc>
        <w:tc>
          <w:tcPr>
            <w:tcW w:w="1983" w:type="dxa"/>
            <w:tcBorders>
              <w:top w:val="single" w:color="auto" w:sz="4" w:space="0"/>
              <w:left w:val="nil"/>
              <w:bottom w:val="single" w:color="auto" w:sz="4" w:space="0"/>
              <w:right w:val="single" w:color="auto" w:sz="4" w:space="0"/>
            </w:tcBorders>
            <w:noWrap w:val="0"/>
            <w:vAlign w:val="center"/>
          </w:tcPr>
          <w:p w14:paraId="598CF7C1">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招标人</w:t>
            </w:r>
          </w:p>
        </w:tc>
        <w:tc>
          <w:tcPr>
            <w:tcW w:w="6800" w:type="dxa"/>
            <w:tcBorders>
              <w:top w:val="single" w:color="auto" w:sz="4" w:space="0"/>
              <w:left w:val="nil"/>
              <w:bottom w:val="single" w:color="auto" w:sz="4" w:space="0"/>
              <w:right w:val="single" w:color="auto" w:sz="4" w:space="0"/>
            </w:tcBorders>
            <w:noWrap w:val="0"/>
            <w:vAlign w:val="top"/>
          </w:tcPr>
          <w:p w14:paraId="186E2196">
            <w:pPr>
              <w:widowControl/>
              <w:spacing w:before="31" w:line="360" w:lineRule="auto"/>
              <w:jc w:val="left"/>
              <w:rPr>
                <w:rFonts w:hint="eastAsia" w:ascii="黑体" w:hAnsi="黑体" w:eastAsia="黑体" w:cs="黑体"/>
                <w:bCs/>
                <w:lang w:bidi="ar-SA"/>
              </w:rPr>
            </w:pPr>
            <w:r>
              <w:rPr>
                <w:rFonts w:hint="eastAsia" w:ascii="黑体" w:hAnsi="黑体" w:eastAsia="黑体" w:cs="黑体"/>
                <w:bCs/>
                <w:lang w:bidi="ar-SA"/>
              </w:rPr>
              <w:t>招标单位：长葛市教育体育局</w:t>
            </w:r>
          </w:p>
          <w:p w14:paraId="31B57F7F">
            <w:pPr>
              <w:widowControl/>
              <w:spacing w:before="31" w:line="360" w:lineRule="auto"/>
              <w:jc w:val="left"/>
              <w:rPr>
                <w:rFonts w:hint="eastAsia" w:ascii="黑体" w:hAnsi="黑体" w:eastAsia="黑体" w:cs="黑体"/>
                <w:bCs/>
                <w:lang w:bidi="ar-SA"/>
              </w:rPr>
            </w:pPr>
            <w:r>
              <w:rPr>
                <w:rFonts w:hint="eastAsia" w:ascii="黑体" w:hAnsi="黑体" w:eastAsia="黑体" w:cs="黑体"/>
                <w:bCs/>
                <w:lang w:bidi="ar-SA"/>
              </w:rPr>
              <w:t xml:space="preserve">联系人： 石女士     联系电话： 0374-6110218 </w:t>
            </w:r>
          </w:p>
          <w:p w14:paraId="61272B98">
            <w:pPr>
              <w:widowControl/>
              <w:spacing w:before="31" w:line="360" w:lineRule="auto"/>
              <w:jc w:val="left"/>
              <w:rPr>
                <w:rFonts w:hint="eastAsia" w:ascii="黑体" w:hAnsi="黑体" w:eastAsia="黑体" w:cs="黑体"/>
                <w:bCs/>
                <w:lang w:bidi="ar-SA"/>
              </w:rPr>
            </w:pPr>
            <w:r>
              <w:rPr>
                <w:rFonts w:hint="eastAsia" w:ascii="黑体" w:hAnsi="黑体" w:eastAsia="黑体" w:cs="黑体"/>
                <w:bCs/>
                <w:lang w:bidi="ar-SA"/>
              </w:rPr>
              <w:t>地址：长葛市葛天大道商务区10号楼</w:t>
            </w:r>
          </w:p>
        </w:tc>
      </w:tr>
      <w:tr w14:paraId="5EE3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46CC6D77">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3</w:t>
            </w:r>
          </w:p>
        </w:tc>
        <w:tc>
          <w:tcPr>
            <w:tcW w:w="1983" w:type="dxa"/>
            <w:tcBorders>
              <w:top w:val="single" w:color="auto" w:sz="4" w:space="0"/>
              <w:left w:val="nil"/>
              <w:bottom w:val="single" w:color="auto" w:sz="4" w:space="0"/>
              <w:right w:val="single" w:color="auto" w:sz="4" w:space="0"/>
            </w:tcBorders>
            <w:noWrap w:val="0"/>
            <w:vAlign w:val="center"/>
          </w:tcPr>
          <w:p w14:paraId="55C89B9C">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集中采购机构</w:t>
            </w:r>
          </w:p>
        </w:tc>
        <w:tc>
          <w:tcPr>
            <w:tcW w:w="6800" w:type="dxa"/>
            <w:tcBorders>
              <w:top w:val="single" w:color="auto" w:sz="4" w:space="0"/>
              <w:left w:val="nil"/>
              <w:bottom w:val="single" w:color="auto" w:sz="4" w:space="0"/>
              <w:right w:val="single" w:color="auto" w:sz="4" w:space="0"/>
            </w:tcBorders>
            <w:noWrap w:val="0"/>
            <w:vAlign w:val="top"/>
          </w:tcPr>
          <w:p w14:paraId="495865D3">
            <w:pPr>
              <w:widowControl/>
              <w:spacing w:before="31" w:line="360" w:lineRule="auto"/>
              <w:jc w:val="left"/>
              <w:rPr>
                <w:rFonts w:hint="eastAsia" w:ascii="黑体" w:hAnsi="黑体" w:eastAsia="黑体" w:cs="黑体"/>
                <w:bCs/>
                <w:lang w:bidi="ar-SA"/>
              </w:rPr>
            </w:pPr>
            <w:r>
              <w:rPr>
                <w:rFonts w:hint="eastAsia" w:ascii="黑体" w:hAnsi="黑体" w:eastAsia="黑体" w:cs="黑体"/>
                <w:bCs/>
                <w:lang w:bidi="ar-SA"/>
              </w:rPr>
              <w:t>集采机构：长葛市公共资源交易中心</w:t>
            </w:r>
          </w:p>
          <w:p w14:paraId="71FA5472">
            <w:pPr>
              <w:widowControl/>
              <w:spacing w:before="31" w:line="360" w:lineRule="auto"/>
              <w:jc w:val="left"/>
              <w:rPr>
                <w:rFonts w:hint="eastAsia" w:ascii="黑体" w:hAnsi="黑体" w:eastAsia="黑体" w:cs="黑体"/>
                <w:bCs/>
                <w:lang w:bidi="ar-SA"/>
              </w:rPr>
            </w:pPr>
            <w:r>
              <w:rPr>
                <w:rFonts w:hint="eastAsia" w:ascii="黑体" w:hAnsi="黑体" w:eastAsia="黑体" w:cs="黑体"/>
                <w:bCs/>
                <w:lang w:bidi="ar-SA"/>
              </w:rPr>
              <w:t>地  址：长葛市葛天大道东段商务区6#楼4楼</w:t>
            </w:r>
          </w:p>
          <w:p w14:paraId="5BB4B08D">
            <w:pPr>
              <w:widowControl/>
              <w:spacing w:before="31" w:line="360" w:lineRule="auto"/>
              <w:jc w:val="left"/>
              <w:rPr>
                <w:rFonts w:hint="eastAsia" w:ascii="黑体" w:hAnsi="黑体" w:eastAsia="黑体" w:cs="黑体"/>
                <w:lang w:bidi="ar-SA"/>
              </w:rPr>
            </w:pPr>
            <w:r>
              <w:rPr>
                <w:rFonts w:hint="eastAsia" w:ascii="黑体" w:hAnsi="黑体" w:eastAsia="黑体" w:cs="黑体"/>
                <w:bCs/>
                <w:lang w:bidi="ar-SA"/>
              </w:rPr>
              <w:t>联系人：政府采购交易股   联系电话：0374-6189379</w:t>
            </w:r>
          </w:p>
        </w:tc>
      </w:tr>
      <w:tr w14:paraId="68ABA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49D16196">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4</w:t>
            </w:r>
          </w:p>
        </w:tc>
        <w:tc>
          <w:tcPr>
            <w:tcW w:w="1983" w:type="dxa"/>
            <w:tcBorders>
              <w:top w:val="single" w:color="auto" w:sz="4" w:space="0"/>
              <w:left w:val="nil"/>
              <w:bottom w:val="single" w:color="auto" w:sz="4" w:space="0"/>
              <w:right w:val="single" w:color="auto" w:sz="4" w:space="0"/>
            </w:tcBorders>
            <w:noWrap w:val="0"/>
            <w:vAlign w:val="center"/>
          </w:tcPr>
          <w:p w14:paraId="7C616F9F">
            <w:pPr>
              <w:autoSpaceDE w:val="0"/>
              <w:autoSpaceDN w:val="0"/>
              <w:adjustRightInd w:val="0"/>
              <w:snapToGrid w:val="0"/>
              <w:spacing w:line="400" w:lineRule="exact"/>
              <w:jc w:val="center"/>
              <w:rPr>
                <w:rFonts w:hint="eastAsia" w:ascii="黑体" w:hAnsi="黑体" w:eastAsia="黑体" w:cs="黑体"/>
                <w:lang w:bidi="ar-SA"/>
              </w:rPr>
            </w:pPr>
            <w:r>
              <w:rPr>
                <w:rFonts w:hint="eastAsia" w:ascii="宋体" w:hAnsi="宋体" w:eastAsia="宋体" w:cs="微软雅黑"/>
                <w:b/>
                <w:lang w:bidi="ar-SA"/>
              </w:rPr>
              <w:t>★</w:t>
            </w:r>
            <w:r>
              <w:rPr>
                <w:rFonts w:hint="eastAsia" w:ascii="黑体" w:hAnsi="黑体" w:eastAsia="黑体" w:cs="黑体"/>
                <w:lang w:bidi="ar-SA"/>
              </w:rPr>
              <w:t>投标人资格</w:t>
            </w:r>
          </w:p>
        </w:tc>
        <w:tc>
          <w:tcPr>
            <w:tcW w:w="6800" w:type="dxa"/>
            <w:tcBorders>
              <w:top w:val="single" w:color="auto" w:sz="4" w:space="0"/>
              <w:left w:val="nil"/>
              <w:bottom w:val="single" w:color="auto" w:sz="4" w:space="0"/>
              <w:right w:val="single" w:color="auto" w:sz="4" w:space="0"/>
            </w:tcBorders>
            <w:noWrap w:val="0"/>
            <w:vAlign w:val="center"/>
          </w:tcPr>
          <w:p w14:paraId="5F063FD2">
            <w:pPr>
              <w:autoSpaceDE w:val="0"/>
              <w:autoSpaceDN w:val="0"/>
              <w:adjustRightInd w:val="0"/>
              <w:snapToGrid w:val="0"/>
              <w:spacing w:line="400" w:lineRule="exact"/>
              <w:ind w:right="-11"/>
              <w:rPr>
                <w:rFonts w:hint="eastAsia" w:ascii="黑体" w:hAnsi="黑体" w:eastAsia="黑体" w:cs="黑体"/>
                <w:b/>
                <w:lang w:bidi="ar-SA"/>
              </w:rPr>
            </w:pPr>
            <w:r>
              <w:rPr>
                <w:rFonts w:hint="eastAsia" w:ascii="黑体" w:hAnsi="黑体" w:eastAsia="黑体" w:cs="黑体"/>
                <w:b/>
                <w:lang w:bidi="ar-SA"/>
              </w:rPr>
              <w:t>一、法人或者其他组织的营业执照、自然人的身份证明，资质等证明文件</w:t>
            </w:r>
          </w:p>
          <w:p w14:paraId="1346D670">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bidi="ar-SA"/>
              </w:rPr>
              <w:t>符合《</w:t>
            </w:r>
            <w:r>
              <w:rPr>
                <w:rFonts w:hint="eastAsia" w:ascii="黑体" w:hAnsi="黑体" w:eastAsia="黑体" w:cs="黑体"/>
                <w:lang w:eastAsia="zh-CN" w:bidi="ar-SA"/>
              </w:rPr>
              <w:t>中华人民共和国政府采购法</w:t>
            </w:r>
            <w:r>
              <w:rPr>
                <w:rFonts w:hint="eastAsia" w:ascii="黑体" w:hAnsi="黑体" w:eastAsia="黑体" w:cs="黑体"/>
                <w:lang w:bidi="ar-SA"/>
              </w:rPr>
              <w:t xml:space="preserve">》第二十二条规定 </w:t>
            </w:r>
          </w:p>
          <w:p w14:paraId="4D848BE4">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bidi="ar-SA"/>
              </w:rPr>
              <w:t xml:space="preserve">1．具有独立承担民事责任的能力； </w:t>
            </w:r>
          </w:p>
          <w:p w14:paraId="4822FB37">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bidi="ar-SA"/>
              </w:rPr>
              <w:t xml:space="preserve">2．具有良好的商业信誉和健全的财务会计制度； </w:t>
            </w:r>
          </w:p>
          <w:p w14:paraId="590E21C4">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bidi="ar-SA"/>
              </w:rPr>
              <w:t>3．具有履行合同所必需的设备和专业技术能力；</w:t>
            </w:r>
          </w:p>
          <w:p w14:paraId="540BA8E5">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bidi="ar-SA"/>
              </w:rPr>
              <w:t>4．具有依法缴纳税收和社会保障资金的良好记录；</w:t>
            </w:r>
          </w:p>
          <w:p w14:paraId="676D01D9">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bidi="ar-SA"/>
              </w:rPr>
              <w:t>5．参加政府采购活动前三年内，在经营活动中没有重大违法记录；</w:t>
            </w:r>
          </w:p>
          <w:p w14:paraId="559B2E70">
            <w:pPr>
              <w:pStyle w:val="3"/>
              <w:adjustRightInd/>
              <w:spacing w:before="0" w:after="0" w:line="276" w:lineRule="auto"/>
              <w:ind w:left="0" w:firstLine="0"/>
              <w:contextualSpacing/>
              <w:jc w:val="left"/>
              <w:rPr>
                <w:rFonts w:hint="eastAsia" w:cs="黑体"/>
                <w:sz w:val="21"/>
                <w:szCs w:val="21"/>
                <w:lang w:bidi="ar-SA"/>
              </w:rPr>
            </w:pPr>
            <w:r>
              <w:rPr>
                <w:rFonts w:hint="eastAsia" w:cs="黑体"/>
                <w:sz w:val="21"/>
                <w:szCs w:val="21"/>
                <w:lang w:bidi="ar-SA"/>
              </w:rPr>
              <w:t>二、未被列入“信用中国”网站(www.creditchina.gov.cn)失信被执行人、重大税收违法案件当事人名单；“中国政府采购网” (www.ccgp.gov.cn)网站的政府采购严重违法失信行为记录名单的投标人；“中国社会组织公共服务平台”网站（www.chinanpo.gov.cn）严重违法失信名单的投标人。</w:t>
            </w:r>
          </w:p>
          <w:p w14:paraId="7F1B3D90">
            <w:pPr>
              <w:pStyle w:val="3"/>
              <w:adjustRightInd/>
              <w:spacing w:before="0" w:after="0" w:line="276" w:lineRule="auto"/>
              <w:ind w:left="0" w:firstLine="0"/>
              <w:contextualSpacing/>
              <w:jc w:val="left"/>
              <w:rPr>
                <w:rFonts w:hint="eastAsia" w:cs="黑体"/>
                <w:b/>
                <w:kern w:val="2"/>
                <w:sz w:val="21"/>
                <w:szCs w:val="21"/>
                <w:lang w:bidi="ar-SA"/>
              </w:rPr>
            </w:pPr>
            <w:r>
              <w:rPr>
                <w:rFonts w:hint="eastAsia" w:cs="黑体"/>
                <w:b/>
                <w:kern w:val="2"/>
                <w:sz w:val="21"/>
                <w:szCs w:val="21"/>
                <w:lang w:bidi="ar-SA"/>
              </w:rPr>
              <w:t xml:space="preserve">注： 1、 投标人在投标时，提供《长葛市政府采购投标人信用承诺函》（详见 招标文件第八章3.5格式），无需再提交上述证明材料。 </w:t>
            </w:r>
          </w:p>
          <w:p w14:paraId="6BDACBE2">
            <w:pPr>
              <w:pStyle w:val="3"/>
              <w:adjustRightInd/>
              <w:spacing w:before="0" w:after="0" w:line="276" w:lineRule="auto"/>
              <w:ind w:left="0" w:firstLine="0"/>
              <w:contextualSpacing/>
              <w:jc w:val="left"/>
              <w:rPr>
                <w:rFonts w:hint="eastAsia" w:cs="黑体"/>
                <w:b/>
                <w:kern w:val="2"/>
                <w:sz w:val="21"/>
                <w:szCs w:val="21"/>
                <w:lang w:bidi="ar-SA"/>
              </w:rPr>
            </w:pPr>
            <w:r>
              <w:rPr>
                <w:rFonts w:hint="eastAsia" w:cs="黑体"/>
                <w:b/>
                <w:kern w:val="2"/>
                <w:sz w:val="21"/>
                <w:szCs w:val="21"/>
                <w:lang w:bidi="ar-SA"/>
              </w:rPr>
              <w:t>2、 招标人有权在签订合同前要求中标投标人提供相关证明材料以核实中标投标人承诺事项的真实性。</w:t>
            </w:r>
          </w:p>
          <w:p w14:paraId="785C91ED">
            <w:pPr>
              <w:spacing w:line="500" w:lineRule="exact"/>
              <w:rPr>
                <w:rFonts w:hint="eastAsia" w:ascii="黑体" w:hAnsi="黑体" w:eastAsia="黑体" w:cs="黑体"/>
                <w:b/>
                <w:lang w:bidi="ar-SA"/>
              </w:rPr>
            </w:pPr>
            <w:r>
              <w:rPr>
                <w:rFonts w:hint="eastAsia" w:ascii="黑体" w:hAnsi="黑体" w:eastAsia="黑体" w:cs="黑体"/>
                <w:b/>
                <w:lang w:bidi="ar-SA"/>
              </w:rPr>
              <w:t>3、 投标人对信用承诺内容的真实性、合法性、有效性负责。如作出虚假 信用承诺，视同为“提供虚假材料谋取中标”的违法行为。</w:t>
            </w:r>
          </w:p>
          <w:p w14:paraId="0E414BB1">
            <w:pPr>
              <w:spacing w:line="500" w:lineRule="exact"/>
              <w:rPr>
                <w:rFonts w:hint="eastAsia" w:ascii="黑体" w:hAnsi="黑体" w:eastAsia="黑体" w:cs="黑体"/>
                <w:kern w:val="0"/>
                <w:lang w:bidi="ar-SA"/>
              </w:rPr>
            </w:pPr>
            <w:r>
              <w:rPr>
                <w:rFonts w:hint="eastAsia" w:ascii="黑体" w:hAnsi="黑体" w:eastAsia="黑体" w:cs="黑体"/>
                <w:kern w:val="0"/>
                <w:lang w:bidi="ar-SA"/>
              </w:rPr>
              <w:t xml:space="preserve">三、单位负责人为同一人或者存在直接控股、管理关系的不同投标人，不得参加同一合同项下的政府采购活动。为招标项目提供整体设计、规范编制或者项目管理、监理、检测等服务的投标人，不得再参加该招标项目的其他采购活动。 </w:t>
            </w:r>
          </w:p>
          <w:p w14:paraId="04F6B3D0">
            <w:pPr>
              <w:spacing w:line="500" w:lineRule="exact"/>
              <w:rPr>
                <w:rFonts w:hint="eastAsia" w:ascii="黑体" w:hAnsi="黑体" w:eastAsia="黑体" w:cs="黑体"/>
                <w:b/>
                <w:bCs/>
                <w:kern w:val="0"/>
                <w:lang w:bidi="ar-SA"/>
              </w:rPr>
            </w:pPr>
            <w:r>
              <w:rPr>
                <w:rFonts w:hint="eastAsia" w:ascii="黑体" w:hAnsi="黑体" w:eastAsia="黑体" w:cs="黑体"/>
                <w:b/>
                <w:bCs/>
                <w:kern w:val="0"/>
                <w:lang w:bidi="ar-SA"/>
              </w:rPr>
              <w:t>四、本项目接受联合体投标。</w:t>
            </w:r>
          </w:p>
          <w:p w14:paraId="3D77AC08">
            <w:pPr>
              <w:spacing w:line="500" w:lineRule="exact"/>
              <w:rPr>
                <w:rFonts w:hint="eastAsia" w:ascii="黑体" w:hAnsi="黑体" w:eastAsia="黑体" w:cs="黑体"/>
                <w:lang w:bidi="ar-SA"/>
              </w:rPr>
            </w:pPr>
            <w:r>
              <w:rPr>
                <w:rFonts w:hint="eastAsia" w:ascii="黑体" w:hAnsi="黑体" w:eastAsia="黑体" w:cs="黑体"/>
                <w:b/>
                <w:bCs/>
                <w:kern w:val="0"/>
                <w:lang w:bidi="ar-SA"/>
              </w:rPr>
              <w:t xml:space="preserve">五、本项目非专门面向中小企业招标。 </w:t>
            </w:r>
          </w:p>
        </w:tc>
      </w:tr>
      <w:tr w14:paraId="5D0FE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4F4C053E">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5</w:t>
            </w:r>
          </w:p>
        </w:tc>
        <w:tc>
          <w:tcPr>
            <w:tcW w:w="1983" w:type="dxa"/>
            <w:tcBorders>
              <w:top w:val="single" w:color="auto" w:sz="4" w:space="0"/>
              <w:left w:val="nil"/>
              <w:bottom w:val="single" w:color="auto" w:sz="4" w:space="0"/>
              <w:right w:val="single" w:color="auto" w:sz="4" w:space="0"/>
            </w:tcBorders>
            <w:noWrap w:val="0"/>
            <w:vAlign w:val="center"/>
          </w:tcPr>
          <w:p w14:paraId="27CC8E75">
            <w:pPr>
              <w:autoSpaceDE w:val="0"/>
              <w:autoSpaceDN w:val="0"/>
              <w:adjustRightInd w:val="0"/>
              <w:snapToGrid w:val="0"/>
              <w:spacing w:line="400" w:lineRule="exact"/>
              <w:jc w:val="center"/>
              <w:rPr>
                <w:rFonts w:hint="eastAsia" w:ascii="黑体" w:hAnsi="黑体" w:eastAsia="黑体" w:cs="黑体"/>
                <w:bCs/>
                <w:lang w:bidi="ar-SA"/>
              </w:rPr>
            </w:pPr>
            <w:r>
              <w:rPr>
                <w:rFonts w:hint="eastAsia" w:ascii="宋体" w:hAnsi="宋体" w:eastAsia="宋体" w:cs="微软雅黑"/>
                <w:b/>
                <w:lang w:bidi="ar-SA"/>
              </w:rPr>
              <w:t>★</w:t>
            </w:r>
            <w:r>
              <w:rPr>
                <w:rFonts w:hint="eastAsia" w:ascii="黑体" w:hAnsi="黑体" w:eastAsia="黑体" w:cs="黑体"/>
                <w:bCs/>
                <w:lang w:bidi="ar-SA"/>
              </w:rPr>
              <w:t>联合体投标</w:t>
            </w:r>
          </w:p>
        </w:tc>
        <w:tc>
          <w:tcPr>
            <w:tcW w:w="6800" w:type="dxa"/>
            <w:tcBorders>
              <w:top w:val="single" w:color="auto" w:sz="4" w:space="0"/>
              <w:left w:val="nil"/>
              <w:bottom w:val="single" w:color="auto" w:sz="4" w:space="0"/>
              <w:right w:val="single" w:color="auto" w:sz="4" w:space="0"/>
            </w:tcBorders>
            <w:noWrap w:val="0"/>
            <w:vAlign w:val="center"/>
          </w:tcPr>
          <w:p w14:paraId="37AAF13F">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bidi="ar-SA"/>
              </w:rPr>
              <w:t>本项目</w:t>
            </w: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 xml:space="preserve">不接受   </w:t>
            </w:r>
            <w:r>
              <w:rPr>
                <w:rFonts w:hint="eastAsia" w:ascii="黑体" w:hAnsi="黑体" w:eastAsia="黑体" w:cs="黑体"/>
                <w:lang w:val="zh-CN" w:eastAsia="zh-CN" w:bidi="ar-SA"/>
              </w:rPr>
              <w:t>☑接受</w:t>
            </w:r>
            <w:r>
              <w:rPr>
                <w:rFonts w:hint="eastAsia" w:ascii="黑体" w:hAnsi="黑体" w:eastAsia="黑体" w:cs="黑体"/>
                <w:lang w:bidi="ar-SA"/>
              </w:rPr>
              <w:t>联合体响应</w:t>
            </w:r>
          </w:p>
        </w:tc>
      </w:tr>
      <w:tr w14:paraId="6366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76EFE70C">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6</w:t>
            </w:r>
          </w:p>
        </w:tc>
        <w:tc>
          <w:tcPr>
            <w:tcW w:w="1983" w:type="dxa"/>
            <w:tcBorders>
              <w:top w:val="single" w:color="auto" w:sz="4" w:space="0"/>
              <w:left w:val="nil"/>
              <w:bottom w:val="single" w:color="auto" w:sz="4" w:space="0"/>
              <w:right w:val="single" w:color="auto" w:sz="4" w:space="0"/>
            </w:tcBorders>
            <w:noWrap w:val="0"/>
            <w:vAlign w:val="center"/>
          </w:tcPr>
          <w:p w14:paraId="7F3A2FEC">
            <w:pPr>
              <w:autoSpaceDE w:val="0"/>
              <w:autoSpaceDN w:val="0"/>
              <w:adjustRightInd w:val="0"/>
              <w:snapToGrid w:val="0"/>
              <w:spacing w:line="400" w:lineRule="exact"/>
              <w:jc w:val="center"/>
              <w:rPr>
                <w:rFonts w:hint="eastAsia" w:ascii="黑体" w:hAnsi="黑体" w:eastAsia="黑体" w:cs="黑体"/>
                <w:bCs/>
                <w:lang w:bidi="ar-SA"/>
              </w:rPr>
            </w:pPr>
            <w:r>
              <w:rPr>
                <w:rFonts w:hint="eastAsia" w:ascii="宋体" w:hAnsi="宋体" w:eastAsia="宋体" w:cs="微软雅黑"/>
                <w:b/>
                <w:lang w:bidi="ar-SA"/>
              </w:rPr>
              <w:t>★</w:t>
            </w:r>
            <w:r>
              <w:rPr>
                <w:rFonts w:hint="eastAsia" w:ascii="黑体" w:hAnsi="黑体" w:eastAsia="黑体" w:cs="黑体"/>
                <w:bCs/>
                <w:lang w:bidi="ar-SA"/>
              </w:rPr>
              <w:t>预算金额</w:t>
            </w:r>
          </w:p>
        </w:tc>
        <w:tc>
          <w:tcPr>
            <w:tcW w:w="6800" w:type="dxa"/>
            <w:tcBorders>
              <w:top w:val="single" w:color="auto" w:sz="4" w:space="0"/>
              <w:left w:val="nil"/>
              <w:bottom w:val="single" w:color="auto" w:sz="4" w:space="0"/>
              <w:right w:val="single" w:color="auto" w:sz="4" w:space="0"/>
            </w:tcBorders>
            <w:noWrap w:val="0"/>
            <w:vAlign w:val="center"/>
          </w:tcPr>
          <w:p w14:paraId="5672DBB8">
            <w:pPr>
              <w:autoSpaceDE w:val="0"/>
              <w:autoSpaceDN w:val="0"/>
              <w:adjustRightInd w:val="0"/>
              <w:snapToGrid w:val="0"/>
              <w:spacing w:line="400" w:lineRule="exact"/>
              <w:rPr>
                <w:rFonts w:hint="eastAsia" w:ascii="黑体" w:hAnsi="黑体" w:eastAsia="黑体" w:cs="黑体"/>
                <w:b/>
                <w:lang w:bidi="ar-SA"/>
              </w:rPr>
            </w:pPr>
            <w:r>
              <w:rPr>
                <w:rFonts w:hint="eastAsia" w:ascii="黑体" w:hAnsi="黑体" w:eastAsia="黑体" w:cs="黑体"/>
                <w:b/>
                <w:lang w:val="en-US" w:eastAsia="zh-CN" w:bidi="ar-SA"/>
              </w:rPr>
              <w:t>931</w:t>
            </w:r>
            <w:r>
              <w:rPr>
                <w:rFonts w:hint="eastAsia" w:ascii="黑体" w:hAnsi="黑体" w:eastAsia="黑体" w:cs="黑体"/>
                <w:b/>
                <w:lang w:bidi="ar-SA"/>
              </w:rPr>
              <w:t>0000.00元，投标报价不得超过预算金额（最高限价），否则为无效报价。</w:t>
            </w:r>
          </w:p>
        </w:tc>
      </w:tr>
      <w:tr w14:paraId="1C858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89E27A5">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7</w:t>
            </w:r>
          </w:p>
        </w:tc>
        <w:tc>
          <w:tcPr>
            <w:tcW w:w="1983" w:type="dxa"/>
            <w:tcBorders>
              <w:top w:val="single" w:color="auto" w:sz="4" w:space="0"/>
              <w:left w:val="nil"/>
              <w:bottom w:val="single" w:color="auto" w:sz="4" w:space="0"/>
              <w:right w:val="single" w:color="auto" w:sz="4" w:space="0"/>
            </w:tcBorders>
            <w:noWrap w:val="0"/>
            <w:vAlign w:val="center"/>
          </w:tcPr>
          <w:p w14:paraId="1F6D27FC">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现场考察</w:t>
            </w:r>
          </w:p>
        </w:tc>
        <w:tc>
          <w:tcPr>
            <w:tcW w:w="6800" w:type="dxa"/>
            <w:tcBorders>
              <w:top w:val="single" w:color="auto" w:sz="4" w:space="0"/>
              <w:left w:val="nil"/>
              <w:bottom w:val="single" w:color="auto" w:sz="4" w:space="0"/>
              <w:right w:val="single" w:color="auto" w:sz="4" w:space="0"/>
            </w:tcBorders>
            <w:noWrap w:val="0"/>
            <w:vAlign w:val="center"/>
          </w:tcPr>
          <w:p w14:paraId="6C660B36">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不组织</w:t>
            </w:r>
          </w:p>
        </w:tc>
      </w:tr>
      <w:tr w14:paraId="6A7BE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EFDA309">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8</w:t>
            </w:r>
          </w:p>
        </w:tc>
        <w:tc>
          <w:tcPr>
            <w:tcW w:w="1983" w:type="dxa"/>
            <w:tcBorders>
              <w:top w:val="single" w:color="auto" w:sz="4" w:space="0"/>
              <w:left w:val="nil"/>
              <w:bottom w:val="single" w:color="auto" w:sz="4" w:space="0"/>
              <w:right w:val="single" w:color="auto" w:sz="4" w:space="0"/>
            </w:tcBorders>
            <w:noWrap w:val="0"/>
            <w:vAlign w:val="center"/>
          </w:tcPr>
          <w:p w14:paraId="33FA071C">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开标前答疑会</w:t>
            </w:r>
          </w:p>
        </w:tc>
        <w:tc>
          <w:tcPr>
            <w:tcW w:w="6800" w:type="dxa"/>
            <w:tcBorders>
              <w:top w:val="single" w:color="auto" w:sz="4" w:space="0"/>
              <w:left w:val="nil"/>
              <w:bottom w:val="single" w:color="auto" w:sz="4" w:space="0"/>
              <w:right w:val="single" w:color="auto" w:sz="4" w:space="0"/>
            </w:tcBorders>
            <w:noWrap w:val="0"/>
            <w:vAlign w:val="center"/>
          </w:tcPr>
          <w:p w14:paraId="679F7698">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不召开</w:t>
            </w:r>
          </w:p>
        </w:tc>
      </w:tr>
      <w:tr w14:paraId="2706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13CBF57">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9</w:t>
            </w:r>
          </w:p>
        </w:tc>
        <w:tc>
          <w:tcPr>
            <w:tcW w:w="1983" w:type="dxa"/>
            <w:tcBorders>
              <w:top w:val="single" w:color="auto" w:sz="4" w:space="0"/>
              <w:left w:val="nil"/>
              <w:bottom w:val="single" w:color="auto" w:sz="4" w:space="0"/>
              <w:right w:val="single" w:color="auto" w:sz="4" w:space="0"/>
            </w:tcBorders>
            <w:noWrap w:val="0"/>
            <w:vAlign w:val="center"/>
          </w:tcPr>
          <w:p w14:paraId="66C2F4DE">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进口产品参与</w:t>
            </w:r>
          </w:p>
        </w:tc>
        <w:tc>
          <w:tcPr>
            <w:tcW w:w="6800" w:type="dxa"/>
            <w:tcBorders>
              <w:top w:val="single" w:color="auto" w:sz="4" w:space="0"/>
              <w:left w:val="nil"/>
              <w:bottom w:val="single" w:color="auto" w:sz="4" w:space="0"/>
              <w:right w:val="single" w:color="auto" w:sz="4" w:space="0"/>
            </w:tcBorders>
            <w:noWrap w:val="0"/>
            <w:vAlign w:val="center"/>
          </w:tcPr>
          <w:p w14:paraId="6E7ADB6B">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不允许    </w:t>
            </w:r>
            <w:r>
              <w:rPr>
                <w:rFonts w:hint="eastAsia" w:ascii="黑体" w:hAnsi="黑体" w:eastAsia="黑体" w:cs="黑体"/>
                <w:lang w:eastAsia="zh-CN" w:bidi="ar-SA"/>
              </w:rPr>
              <w:t>□</w:t>
            </w:r>
            <w:r>
              <w:rPr>
                <w:rFonts w:hint="eastAsia" w:ascii="黑体" w:hAnsi="黑体" w:eastAsia="黑体" w:cs="黑体"/>
                <w:lang w:bidi="ar-SA"/>
              </w:rPr>
              <w:t>允许</w:t>
            </w:r>
          </w:p>
        </w:tc>
      </w:tr>
      <w:tr w14:paraId="2035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3D0659E">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10</w:t>
            </w:r>
          </w:p>
        </w:tc>
        <w:tc>
          <w:tcPr>
            <w:tcW w:w="1983" w:type="dxa"/>
            <w:tcBorders>
              <w:top w:val="single" w:color="auto" w:sz="4" w:space="0"/>
              <w:left w:val="nil"/>
              <w:bottom w:val="single" w:color="auto" w:sz="4" w:space="0"/>
              <w:right w:val="single" w:color="auto" w:sz="4" w:space="0"/>
            </w:tcBorders>
            <w:noWrap w:val="0"/>
            <w:vAlign w:val="center"/>
          </w:tcPr>
          <w:p w14:paraId="61A53901">
            <w:pPr>
              <w:autoSpaceDE w:val="0"/>
              <w:autoSpaceDN w:val="0"/>
              <w:adjustRightInd w:val="0"/>
              <w:snapToGrid w:val="0"/>
              <w:spacing w:line="400" w:lineRule="exact"/>
              <w:jc w:val="center"/>
              <w:rPr>
                <w:rFonts w:hint="eastAsia" w:ascii="黑体" w:hAnsi="黑体" w:eastAsia="黑体" w:cs="黑体"/>
                <w:lang w:bidi="ar-SA"/>
              </w:rPr>
            </w:pPr>
            <w:r>
              <w:rPr>
                <w:rFonts w:hint="eastAsia" w:ascii="宋体" w:hAnsi="宋体" w:eastAsia="宋体" w:cs="微软雅黑"/>
                <w:b/>
                <w:lang w:bidi="ar-SA"/>
              </w:rPr>
              <w:t>★</w:t>
            </w:r>
            <w:r>
              <w:rPr>
                <w:rFonts w:hint="eastAsia" w:ascii="黑体" w:hAnsi="黑体" w:eastAsia="黑体" w:cs="黑体"/>
                <w:lang w:bidi="ar-SA"/>
              </w:rPr>
              <w:t>投标有效期</w:t>
            </w:r>
          </w:p>
        </w:tc>
        <w:tc>
          <w:tcPr>
            <w:tcW w:w="6800" w:type="dxa"/>
            <w:tcBorders>
              <w:top w:val="single" w:color="auto" w:sz="4" w:space="0"/>
              <w:left w:val="nil"/>
              <w:bottom w:val="single" w:color="auto" w:sz="4" w:space="0"/>
              <w:right w:val="single" w:color="auto" w:sz="4" w:space="0"/>
            </w:tcBorders>
            <w:noWrap w:val="0"/>
            <w:vAlign w:val="center"/>
          </w:tcPr>
          <w:p w14:paraId="5739633E">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60天（自提交投标文件的截止之日起算）</w:t>
            </w:r>
          </w:p>
        </w:tc>
      </w:tr>
      <w:tr w14:paraId="7824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7C1CF2B4">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11</w:t>
            </w:r>
          </w:p>
        </w:tc>
        <w:tc>
          <w:tcPr>
            <w:tcW w:w="1983" w:type="dxa"/>
            <w:tcBorders>
              <w:top w:val="single" w:color="auto" w:sz="4" w:space="0"/>
              <w:left w:val="nil"/>
              <w:bottom w:val="single" w:color="auto" w:sz="4" w:space="0"/>
              <w:right w:val="single" w:color="auto" w:sz="4" w:space="0"/>
            </w:tcBorders>
            <w:noWrap w:val="0"/>
            <w:vAlign w:val="center"/>
          </w:tcPr>
          <w:p w14:paraId="48DEEFC6">
            <w:pPr>
              <w:autoSpaceDE w:val="0"/>
              <w:autoSpaceDN w:val="0"/>
              <w:adjustRightInd w:val="0"/>
              <w:snapToGrid w:val="0"/>
              <w:spacing w:line="400" w:lineRule="exact"/>
              <w:rPr>
                <w:rFonts w:hint="eastAsia" w:ascii="黑体" w:hAnsi="黑体" w:eastAsia="黑体" w:cs="黑体"/>
                <w:lang w:bidi="ar-SA"/>
              </w:rPr>
            </w:pPr>
            <w:r>
              <w:rPr>
                <w:rFonts w:hint="eastAsia" w:ascii="黑体" w:hAnsi="黑体" w:eastAsia="黑体" w:cs="黑体"/>
                <w:bCs/>
                <w:lang w:bidi="ar-SA"/>
              </w:rPr>
              <w:t>中标人将本项目非主体、非关键性工作分包</w:t>
            </w:r>
          </w:p>
        </w:tc>
        <w:tc>
          <w:tcPr>
            <w:tcW w:w="6800" w:type="dxa"/>
            <w:tcBorders>
              <w:top w:val="single" w:color="auto" w:sz="4" w:space="0"/>
              <w:left w:val="nil"/>
              <w:bottom w:val="single" w:color="auto" w:sz="4" w:space="0"/>
              <w:right w:val="single" w:color="auto" w:sz="4" w:space="0"/>
            </w:tcBorders>
            <w:noWrap w:val="0"/>
            <w:vAlign w:val="center"/>
          </w:tcPr>
          <w:p w14:paraId="7E4D33E1">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不允许   □允许</w:t>
            </w:r>
          </w:p>
        </w:tc>
      </w:tr>
      <w:tr w14:paraId="7AE7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4C51AB7B">
            <w:pPr>
              <w:autoSpaceDE w:val="0"/>
              <w:autoSpaceDN w:val="0"/>
              <w:adjustRightInd w:val="0"/>
              <w:snapToGrid w:val="0"/>
              <w:spacing w:line="400" w:lineRule="exact"/>
              <w:jc w:val="center"/>
              <w:rPr>
                <w:rFonts w:hint="eastAsia" w:ascii="黑体" w:hAnsi="黑体" w:eastAsia="黑体" w:cs="黑体"/>
                <w:color w:val="auto"/>
                <w:lang w:bidi="ar-SA"/>
              </w:rPr>
            </w:pPr>
            <w:r>
              <w:rPr>
                <w:rFonts w:hint="eastAsia" w:ascii="黑体" w:hAnsi="黑体" w:eastAsia="黑体" w:cs="黑体"/>
                <w:color w:val="auto"/>
                <w:lang w:bidi="ar-SA"/>
              </w:rPr>
              <w:t>12</w:t>
            </w:r>
          </w:p>
        </w:tc>
        <w:tc>
          <w:tcPr>
            <w:tcW w:w="1983" w:type="dxa"/>
            <w:tcBorders>
              <w:top w:val="single" w:color="auto" w:sz="4" w:space="0"/>
              <w:left w:val="nil"/>
              <w:bottom w:val="single" w:color="auto" w:sz="4" w:space="0"/>
              <w:right w:val="single" w:color="auto" w:sz="4" w:space="0"/>
            </w:tcBorders>
            <w:noWrap w:val="0"/>
            <w:vAlign w:val="center"/>
          </w:tcPr>
          <w:p w14:paraId="148AD845">
            <w:pPr>
              <w:autoSpaceDE w:val="0"/>
              <w:autoSpaceDN w:val="0"/>
              <w:adjustRightInd w:val="0"/>
              <w:snapToGrid w:val="0"/>
              <w:spacing w:line="400" w:lineRule="exact"/>
              <w:rPr>
                <w:rFonts w:hint="eastAsia" w:ascii="黑体" w:hAnsi="黑体" w:eastAsia="黑体" w:cs="黑体"/>
                <w:color w:val="auto"/>
                <w:lang w:bidi="ar-SA"/>
              </w:rPr>
            </w:pPr>
            <w:r>
              <w:rPr>
                <w:rFonts w:hint="eastAsia" w:ascii="黑体" w:hAnsi="黑体" w:eastAsia="黑体" w:cs="黑体"/>
                <w:color w:val="auto"/>
                <w:lang w:bidi="ar-SA"/>
              </w:rPr>
              <w:t>投标截止及开标时间</w:t>
            </w:r>
          </w:p>
        </w:tc>
        <w:tc>
          <w:tcPr>
            <w:tcW w:w="6800" w:type="dxa"/>
            <w:tcBorders>
              <w:top w:val="single" w:color="auto" w:sz="4" w:space="0"/>
              <w:left w:val="nil"/>
              <w:bottom w:val="single" w:color="auto" w:sz="4" w:space="0"/>
              <w:right w:val="single" w:color="auto" w:sz="4" w:space="0"/>
            </w:tcBorders>
            <w:noWrap w:val="0"/>
            <w:vAlign w:val="center"/>
          </w:tcPr>
          <w:p w14:paraId="6F36F043">
            <w:pPr>
              <w:autoSpaceDE w:val="0"/>
              <w:autoSpaceDN w:val="0"/>
              <w:adjustRightInd w:val="0"/>
              <w:snapToGrid w:val="0"/>
              <w:spacing w:line="400" w:lineRule="exact"/>
              <w:ind w:right="-11"/>
              <w:rPr>
                <w:rFonts w:hint="eastAsia" w:ascii="黑体" w:hAnsi="黑体" w:eastAsia="黑体" w:cs="黑体"/>
                <w:color w:val="auto"/>
                <w:lang w:bidi="ar-SA"/>
              </w:rPr>
            </w:pPr>
            <w:r>
              <w:rPr>
                <w:rFonts w:hint="eastAsia" w:ascii="黑体" w:hAnsi="黑体" w:eastAsia="黑体" w:cs="黑体"/>
                <w:color w:val="auto"/>
                <w:lang w:bidi="ar-SA"/>
              </w:rPr>
              <w:t>2025年</w:t>
            </w:r>
            <w:r>
              <w:rPr>
                <w:rFonts w:hint="eastAsia" w:ascii="黑体" w:hAnsi="黑体" w:eastAsia="黑体" w:cs="黑体"/>
                <w:color w:val="auto"/>
                <w:lang w:val="en-US" w:eastAsia="zh-CN" w:bidi="ar-SA"/>
              </w:rPr>
              <w:t>3</w:t>
            </w:r>
            <w:r>
              <w:rPr>
                <w:rFonts w:hint="eastAsia" w:ascii="黑体" w:hAnsi="黑体" w:eastAsia="黑体" w:cs="黑体"/>
                <w:color w:val="auto"/>
                <w:lang w:bidi="ar-SA"/>
              </w:rPr>
              <w:t>月</w:t>
            </w:r>
            <w:r>
              <w:rPr>
                <w:rFonts w:hint="eastAsia" w:ascii="黑体" w:hAnsi="黑体" w:eastAsia="黑体" w:cs="黑体"/>
                <w:color w:val="auto"/>
                <w:lang w:val="en-US" w:eastAsia="zh-CN" w:bidi="ar-SA"/>
              </w:rPr>
              <w:t>3</w:t>
            </w:r>
            <w:r>
              <w:rPr>
                <w:rFonts w:hint="eastAsia" w:ascii="黑体" w:hAnsi="黑体" w:eastAsia="黑体" w:cs="黑体"/>
                <w:color w:val="auto"/>
                <w:lang w:bidi="ar-SA"/>
              </w:rPr>
              <w:t>日</w:t>
            </w:r>
            <w:r>
              <w:rPr>
                <w:rFonts w:hint="eastAsia" w:ascii="黑体" w:hAnsi="黑体" w:eastAsia="黑体" w:cs="黑体"/>
                <w:color w:val="auto"/>
                <w:lang w:val="en-US" w:eastAsia="zh-CN" w:bidi="ar-SA"/>
              </w:rPr>
              <w:t>8</w:t>
            </w:r>
            <w:r>
              <w:rPr>
                <w:rFonts w:hint="eastAsia" w:ascii="黑体" w:hAnsi="黑体" w:eastAsia="黑体" w:cs="黑体"/>
                <w:color w:val="auto"/>
                <w:lang w:bidi="ar-SA"/>
              </w:rPr>
              <w:t>时</w:t>
            </w:r>
            <w:r>
              <w:rPr>
                <w:rFonts w:hint="eastAsia" w:ascii="黑体" w:hAnsi="黑体" w:eastAsia="黑体" w:cs="黑体"/>
                <w:color w:val="auto"/>
                <w:lang w:val="en-US" w:eastAsia="zh-CN" w:bidi="ar-SA"/>
              </w:rPr>
              <w:t>30</w:t>
            </w:r>
            <w:r>
              <w:rPr>
                <w:rFonts w:hint="eastAsia" w:ascii="黑体" w:hAnsi="黑体" w:eastAsia="黑体" w:cs="黑体"/>
                <w:color w:val="auto"/>
                <w:lang w:bidi="ar-SA"/>
              </w:rPr>
              <w:t>分（北京时间）</w:t>
            </w:r>
          </w:p>
        </w:tc>
      </w:tr>
      <w:tr w14:paraId="6B07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36D0EC6">
            <w:pPr>
              <w:autoSpaceDE w:val="0"/>
              <w:autoSpaceDN w:val="0"/>
              <w:adjustRightInd w:val="0"/>
              <w:snapToGrid w:val="0"/>
              <w:spacing w:line="400" w:lineRule="exact"/>
              <w:jc w:val="center"/>
              <w:rPr>
                <w:rFonts w:hint="eastAsia" w:ascii="黑体" w:hAnsi="黑体" w:eastAsia="黑体" w:cs="黑体"/>
                <w:color w:val="auto"/>
                <w:lang w:bidi="ar-SA"/>
              </w:rPr>
            </w:pPr>
            <w:r>
              <w:rPr>
                <w:rFonts w:hint="eastAsia" w:ascii="黑体" w:hAnsi="黑体" w:eastAsia="黑体" w:cs="黑体"/>
                <w:color w:val="auto"/>
                <w:lang w:bidi="ar-SA"/>
              </w:rPr>
              <w:t>13</w:t>
            </w:r>
          </w:p>
        </w:tc>
        <w:tc>
          <w:tcPr>
            <w:tcW w:w="1983" w:type="dxa"/>
            <w:tcBorders>
              <w:top w:val="single" w:color="auto" w:sz="4" w:space="0"/>
              <w:left w:val="nil"/>
              <w:bottom w:val="single" w:color="auto" w:sz="4" w:space="0"/>
              <w:right w:val="single" w:color="auto" w:sz="4" w:space="0"/>
            </w:tcBorders>
            <w:noWrap w:val="0"/>
            <w:vAlign w:val="center"/>
          </w:tcPr>
          <w:p w14:paraId="60F0C863">
            <w:pPr>
              <w:autoSpaceDE w:val="0"/>
              <w:autoSpaceDN w:val="0"/>
              <w:adjustRightInd w:val="0"/>
              <w:snapToGrid w:val="0"/>
              <w:spacing w:line="390" w:lineRule="exact"/>
              <w:jc w:val="center"/>
              <w:rPr>
                <w:rFonts w:hint="eastAsia" w:ascii="黑体" w:hAnsi="黑体" w:eastAsia="黑体" w:cs="黑体"/>
                <w:color w:val="auto"/>
                <w:lang w:bidi="ar-SA"/>
              </w:rPr>
            </w:pPr>
            <w:r>
              <w:rPr>
                <w:rFonts w:hint="eastAsia" w:ascii="黑体" w:hAnsi="黑体" w:eastAsia="黑体" w:cs="黑体"/>
                <w:color w:val="auto"/>
                <w:lang w:bidi="ar-SA"/>
              </w:rPr>
              <w:t>提交投标文件</w:t>
            </w:r>
          </w:p>
          <w:p w14:paraId="04B7EEFB">
            <w:pPr>
              <w:autoSpaceDE w:val="0"/>
              <w:autoSpaceDN w:val="0"/>
              <w:adjustRightInd w:val="0"/>
              <w:snapToGrid w:val="0"/>
              <w:spacing w:line="400" w:lineRule="exact"/>
              <w:jc w:val="center"/>
              <w:rPr>
                <w:rFonts w:hint="eastAsia" w:ascii="黑体" w:hAnsi="黑体" w:eastAsia="黑体" w:cs="黑体"/>
                <w:color w:val="auto"/>
                <w:lang w:bidi="ar-SA"/>
              </w:rPr>
            </w:pPr>
            <w:r>
              <w:rPr>
                <w:rFonts w:hint="eastAsia" w:ascii="黑体" w:hAnsi="黑体" w:eastAsia="黑体" w:cs="黑体"/>
                <w:color w:val="auto"/>
                <w:lang w:bidi="ar-SA"/>
              </w:rPr>
              <w:t>及开标地点</w:t>
            </w:r>
          </w:p>
        </w:tc>
        <w:tc>
          <w:tcPr>
            <w:tcW w:w="6800" w:type="dxa"/>
            <w:tcBorders>
              <w:top w:val="single" w:color="auto" w:sz="4" w:space="0"/>
              <w:left w:val="nil"/>
              <w:bottom w:val="single" w:color="auto" w:sz="4" w:space="0"/>
              <w:right w:val="single" w:color="auto" w:sz="4" w:space="0"/>
            </w:tcBorders>
            <w:noWrap w:val="0"/>
            <w:vAlign w:val="center"/>
          </w:tcPr>
          <w:p w14:paraId="08DD633D">
            <w:pPr>
              <w:autoSpaceDE w:val="0"/>
              <w:autoSpaceDN w:val="0"/>
              <w:adjustRightInd w:val="0"/>
              <w:snapToGrid w:val="0"/>
              <w:spacing w:line="400" w:lineRule="exact"/>
              <w:ind w:right="-11"/>
              <w:rPr>
                <w:rFonts w:hint="eastAsia" w:ascii="黑体" w:hAnsi="黑体" w:eastAsia="黑体" w:cs="黑体"/>
                <w:color w:val="auto"/>
                <w:lang w:bidi="ar-SA"/>
              </w:rPr>
            </w:pPr>
            <w:r>
              <w:rPr>
                <w:rFonts w:hint="eastAsia" w:ascii="黑体" w:hAnsi="黑体" w:eastAsia="黑体" w:cs="黑体"/>
                <w:color w:val="auto"/>
                <w:lang w:bidi="ar-SA"/>
              </w:rPr>
              <w:t>长葛市公共资源交易中心开标</w:t>
            </w:r>
            <w:r>
              <w:rPr>
                <w:rFonts w:hint="eastAsia" w:ascii="黑体" w:hAnsi="黑体" w:eastAsia="黑体" w:cs="黑体"/>
                <w:color w:val="auto"/>
                <w:lang w:eastAsia="zh-CN" w:bidi="ar-SA"/>
              </w:rPr>
              <w:t>四</w:t>
            </w:r>
            <w:r>
              <w:rPr>
                <w:rFonts w:hint="eastAsia" w:ascii="黑体" w:hAnsi="黑体" w:eastAsia="黑体" w:cs="黑体"/>
                <w:color w:val="auto"/>
                <w:lang w:bidi="ar-SA"/>
              </w:rPr>
              <w:t>室（长葛市葛天大道东段商务区6#楼</w:t>
            </w:r>
            <w:r>
              <w:rPr>
                <w:rFonts w:hint="eastAsia" w:ascii="黑体" w:hAnsi="黑体" w:eastAsia="黑体" w:cs="黑体"/>
                <w:color w:val="auto"/>
                <w:lang w:val="en-US" w:eastAsia="zh-CN" w:bidi="ar-SA"/>
              </w:rPr>
              <w:t>5</w:t>
            </w:r>
            <w:r>
              <w:rPr>
                <w:rFonts w:hint="eastAsia" w:ascii="黑体" w:hAnsi="黑体" w:eastAsia="黑体" w:cs="黑体"/>
                <w:color w:val="auto"/>
                <w:lang w:bidi="ar-SA"/>
              </w:rPr>
              <w:t xml:space="preserve">楼 </w:t>
            </w:r>
            <w:r>
              <w:rPr>
                <w:rFonts w:hint="eastAsia" w:ascii="黑体" w:hAnsi="黑体" w:eastAsia="黑体" w:cs="黑体"/>
                <w:color w:val="auto"/>
                <w:lang w:val="en-US" w:eastAsia="zh-CN" w:bidi="ar-SA"/>
              </w:rPr>
              <w:t>507）</w:t>
            </w:r>
            <w:r>
              <w:rPr>
                <w:rFonts w:hint="eastAsia" w:ascii="黑体" w:hAnsi="黑体" w:eastAsia="黑体" w:cs="黑体"/>
                <w:color w:val="auto"/>
                <w:lang w:bidi="ar-SA"/>
              </w:rPr>
              <w:t>（本项目采用远程不见面开标，投标人无须到交易中心现场）</w:t>
            </w:r>
          </w:p>
        </w:tc>
      </w:tr>
      <w:tr w14:paraId="30E0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9A33AFB">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14</w:t>
            </w:r>
          </w:p>
        </w:tc>
        <w:tc>
          <w:tcPr>
            <w:tcW w:w="1983" w:type="dxa"/>
            <w:tcBorders>
              <w:top w:val="single" w:color="auto" w:sz="4" w:space="0"/>
              <w:left w:val="nil"/>
              <w:bottom w:val="single" w:color="auto" w:sz="4" w:space="0"/>
              <w:right w:val="single" w:color="auto" w:sz="4" w:space="0"/>
            </w:tcBorders>
            <w:noWrap w:val="0"/>
            <w:vAlign w:val="center"/>
          </w:tcPr>
          <w:p w14:paraId="6C4B3DBF">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kern w:val="0"/>
                <w:lang w:bidi="ar-SA"/>
              </w:rPr>
              <w:t>投标保证金</w:t>
            </w:r>
          </w:p>
        </w:tc>
        <w:tc>
          <w:tcPr>
            <w:tcW w:w="6800" w:type="dxa"/>
            <w:tcBorders>
              <w:top w:val="single" w:color="auto" w:sz="4" w:space="0"/>
              <w:left w:val="nil"/>
              <w:bottom w:val="single" w:color="auto" w:sz="4" w:space="0"/>
              <w:right w:val="single" w:color="auto" w:sz="4" w:space="0"/>
            </w:tcBorders>
            <w:noWrap w:val="0"/>
            <w:vAlign w:val="center"/>
          </w:tcPr>
          <w:p w14:paraId="401D5FC5">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bidi="ar-SA"/>
              </w:rPr>
              <w:t>按照河南省《关于优化政府采购营商环境有关问题的通知》（豫财购（2019）4号文）的要求，</w:t>
            </w:r>
            <w:r>
              <w:rPr>
                <w:rFonts w:hint="eastAsia" w:ascii="黑体" w:hAnsi="黑体" w:eastAsia="黑体" w:cs="黑体"/>
                <w:b/>
                <w:bCs/>
                <w:lang w:bidi="ar-SA"/>
              </w:rPr>
              <w:t>不收取投标保证金。</w:t>
            </w:r>
            <w:r>
              <w:rPr>
                <w:rFonts w:hint="eastAsia" w:ascii="黑体" w:hAnsi="黑体" w:eastAsia="黑体" w:cs="黑体"/>
                <w:lang w:val="zh-CN" w:eastAsia="zh-CN" w:bidi="ar-SA"/>
              </w:rPr>
              <w:t>投标人应提供投标承诺函（按照招标文件第八章</w:t>
            </w:r>
            <w:r>
              <w:rPr>
                <w:rFonts w:hint="eastAsia" w:ascii="黑体" w:hAnsi="黑体" w:eastAsia="黑体" w:cs="黑体"/>
                <w:lang w:bidi="ar-SA"/>
              </w:rPr>
              <w:t>3.4格式填写</w:t>
            </w:r>
            <w:r>
              <w:rPr>
                <w:rFonts w:hint="eastAsia" w:ascii="黑体" w:hAnsi="黑体" w:eastAsia="黑体" w:cs="黑体"/>
                <w:lang w:val="zh-CN" w:eastAsia="zh-CN" w:bidi="ar-SA"/>
              </w:rPr>
              <w:t>）。</w:t>
            </w:r>
          </w:p>
        </w:tc>
      </w:tr>
      <w:tr w14:paraId="734E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7A391548">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15</w:t>
            </w:r>
          </w:p>
        </w:tc>
        <w:tc>
          <w:tcPr>
            <w:tcW w:w="1983" w:type="dxa"/>
            <w:tcBorders>
              <w:top w:val="single" w:color="auto" w:sz="4" w:space="0"/>
              <w:left w:val="nil"/>
              <w:bottom w:val="single" w:color="auto" w:sz="4" w:space="0"/>
              <w:right w:val="single" w:color="auto" w:sz="4" w:space="0"/>
            </w:tcBorders>
            <w:noWrap w:val="0"/>
            <w:vAlign w:val="center"/>
          </w:tcPr>
          <w:p w14:paraId="38C3193C">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公告发布</w:t>
            </w:r>
          </w:p>
        </w:tc>
        <w:tc>
          <w:tcPr>
            <w:tcW w:w="6800" w:type="dxa"/>
            <w:tcBorders>
              <w:top w:val="single" w:color="auto" w:sz="4" w:space="0"/>
              <w:left w:val="nil"/>
              <w:bottom w:val="single" w:color="auto" w:sz="4" w:space="0"/>
              <w:right w:val="single" w:color="auto" w:sz="4" w:space="0"/>
            </w:tcBorders>
            <w:noWrap w:val="0"/>
            <w:vAlign w:val="center"/>
          </w:tcPr>
          <w:p w14:paraId="0DBA572D">
            <w:pPr>
              <w:autoSpaceDE w:val="0"/>
              <w:autoSpaceDN w:val="0"/>
              <w:adjustRightInd w:val="0"/>
              <w:snapToGrid w:val="0"/>
              <w:spacing w:line="400" w:lineRule="exact"/>
              <w:rPr>
                <w:rFonts w:hint="eastAsia" w:ascii="黑体" w:hAnsi="黑体" w:eastAsia="黑体" w:cs="黑体"/>
                <w:bCs/>
                <w:lang w:eastAsia="zh-CN" w:bidi="ar-SA"/>
              </w:rPr>
            </w:pPr>
            <w:r>
              <w:rPr>
                <w:rFonts w:hint="eastAsia" w:ascii="黑体" w:hAnsi="黑体" w:eastAsia="黑体" w:cs="黑体"/>
                <w:lang w:bidi="ar-SA"/>
              </w:rPr>
              <w:t>招标公告、成交公告、变更（更正）公告、现场勘察答复等相关信息同时在以下网站发布：《河南省政府采购网》、《全国公共资源交易平台（河南省·许昌市）》</w:t>
            </w:r>
            <w:r>
              <w:rPr>
                <w:rFonts w:hint="eastAsia" w:ascii="黑体" w:hAnsi="黑体" w:eastAsia="黑体" w:cs="黑体"/>
                <w:lang w:eastAsia="zh-CN" w:bidi="ar-SA"/>
              </w:rPr>
              <w:t>《长葛市人民政府门户网站》</w:t>
            </w:r>
          </w:p>
        </w:tc>
      </w:tr>
      <w:tr w14:paraId="52667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5644AF9">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16</w:t>
            </w:r>
          </w:p>
        </w:tc>
        <w:tc>
          <w:tcPr>
            <w:tcW w:w="1983" w:type="dxa"/>
            <w:tcBorders>
              <w:top w:val="single" w:color="auto" w:sz="4" w:space="0"/>
              <w:left w:val="nil"/>
              <w:bottom w:val="single" w:color="auto" w:sz="4" w:space="0"/>
              <w:right w:val="single" w:color="auto" w:sz="4" w:space="0"/>
            </w:tcBorders>
            <w:noWrap w:val="0"/>
            <w:vAlign w:val="center"/>
          </w:tcPr>
          <w:p w14:paraId="18806A8C">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招标人澄清或修改招标文件时间</w:t>
            </w:r>
          </w:p>
        </w:tc>
        <w:tc>
          <w:tcPr>
            <w:tcW w:w="6800" w:type="dxa"/>
            <w:tcBorders>
              <w:top w:val="single" w:color="auto" w:sz="4" w:space="0"/>
              <w:left w:val="nil"/>
              <w:bottom w:val="single" w:color="auto" w:sz="4" w:space="0"/>
              <w:right w:val="single" w:color="auto" w:sz="4" w:space="0"/>
            </w:tcBorders>
            <w:noWrap w:val="0"/>
            <w:vAlign w:val="center"/>
          </w:tcPr>
          <w:p w14:paraId="5814C416">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bCs/>
                <w:lang w:bidi="ar-SA"/>
              </w:rPr>
              <w:t>在投标截止时间至少15日前（澄清内容可能影响投标文件编制的）</w:t>
            </w:r>
          </w:p>
        </w:tc>
      </w:tr>
      <w:tr w14:paraId="7AF8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182524D">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17</w:t>
            </w:r>
          </w:p>
        </w:tc>
        <w:tc>
          <w:tcPr>
            <w:tcW w:w="1983" w:type="dxa"/>
            <w:tcBorders>
              <w:top w:val="single" w:color="auto" w:sz="4" w:space="0"/>
              <w:left w:val="nil"/>
              <w:bottom w:val="single" w:color="auto" w:sz="4" w:space="0"/>
              <w:right w:val="single" w:color="auto" w:sz="4" w:space="0"/>
            </w:tcBorders>
            <w:noWrap w:val="0"/>
            <w:vAlign w:val="center"/>
          </w:tcPr>
          <w:p w14:paraId="18AE5FA2">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投标人对招标文件质疑截止时间</w:t>
            </w:r>
          </w:p>
        </w:tc>
        <w:tc>
          <w:tcPr>
            <w:tcW w:w="6800" w:type="dxa"/>
            <w:tcBorders>
              <w:top w:val="single" w:color="auto" w:sz="4" w:space="0"/>
              <w:left w:val="nil"/>
              <w:bottom w:val="single" w:color="auto" w:sz="4" w:space="0"/>
              <w:right w:val="single" w:color="auto" w:sz="4" w:space="0"/>
            </w:tcBorders>
            <w:noWrap w:val="0"/>
            <w:vAlign w:val="center"/>
          </w:tcPr>
          <w:p w14:paraId="5D5FE351">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bCs/>
                <w:lang w:bidi="ar-SA"/>
              </w:rPr>
              <w:t>招标公告期满之日起七个工作日内</w:t>
            </w:r>
          </w:p>
        </w:tc>
      </w:tr>
      <w:tr w14:paraId="2C17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31888CC">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18</w:t>
            </w:r>
          </w:p>
        </w:tc>
        <w:tc>
          <w:tcPr>
            <w:tcW w:w="1983" w:type="dxa"/>
            <w:tcBorders>
              <w:top w:val="single" w:color="auto" w:sz="4" w:space="0"/>
              <w:left w:val="nil"/>
              <w:bottom w:val="single" w:color="auto" w:sz="4" w:space="0"/>
              <w:right w:val="single" w:color="auto" w:sz="4" w:space="0"/>
            </w:tcBorders>
            <w:noWrap w:val="0"/>
            <w:vAlign w:val="center"/>
          </w:tcPr>
          <w:p w14:paraId="77B05196">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投标文件份数</w:t>
            </w:r>
          </w:p>
        </w:tc>
        <w:tc>
          <w:tcPr>
            <w:tcW w:w="6800" w:type="dxa"/>
            <w:tcBorders>
              <w:top w:val="single" w:color="auto" w:sz="4" w:space="0"/>
              <w:left w:val="nil"/>
              <w:bottom w:val="single" w:color="auto" w:sz="4" w:space="0"/>
              <w:right w:val="single" w:color="auto" w:sz="4" w:space="0"/>
            </w:tcBorders>
            <w:noWrap w:val="0"/>
            <w:vAlign w:val="center"/>
          </w:tcPr>
          <w:p w14:paraId="4126283A">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b/>
                <w:lang w:bidi="ar-SA"/>
              </w:rPr>
              <w:fldChar w:fldCharType="begin"/>
            </w:r>
            <w:r>
              <w:rPr>
                <w:rFonts w:hint="eastAsia" w:ascii="黑体" w:hAnsi="黑体" w:eastAsia="黑体" w:cs="黑体"/>
                <w:b/>
                <w:lang w:bidi="ar-SA"/>
              </w:rPr>
              <w:instrText xml:space="preserve">eq \o\ac(</w:instrText>
            </w:r>
            <w:r>
              <w:rPr>
                <w:rFonts w:hint="eastAsia" w:ascii="黑体" w:hAnsi="黑体" w:eastAsia="黑体" w:cs="黑体"/>
                <w:b/>
                <w:position w:val="-4"/>
                <w:sz w:val="31"/>
                <w:lang w:bidi="ar-SA"/>
              </w:rPr>
              <w:instrText xml:space="preserve">□</w:instrText>
            </w:r>
            <w:r>
              <w:rPr>
                <w:rFonts w:ascii="黑体" w:hAnsi="黑体" w:eastAsia="黑体" w:cs="黑体"/>
                <w:b/>
                <w:lang w:bidi="ar-SA"/>
              </w:rPr>
              <w:instrText xml:space="preserve">,√)</w:instrText>
            </w:r>
            <w:r>
              <w:rPr>
                <w:rFonts w:hint="eastAsia" w:ascii="黑体" w:hAnsi="黑体" w:eastAsia="黑体" w:cs="黑体"/>
                <w:b/>
                <w:lang w:bidi="ar-SA"/>
              </w:rPr>
              <w:fldChar w:fldCharType="end"/>
            </w:r>
            <w:r>
              <w:rPr>
                <w:rFonts w:hint="eastAsia" w:ascii="黑体" w:hAnsi="黑体" w:eastAsia="黑体" w:cs="黑体"/>
                <w:bCs/>
                <w:lang w:bidi="ar-SA"/>
              </w:rPr>
              <w:t>电子投标文件：成功上传至《全国公共资源交易平台（河南省·许昌市）》公共资源交易系统加密电子投标文件1份</w:t>
            </w:r>
            <w:r>
              <w:rPr>
                <w:rFonts w:hint="eastAsia" w:ascii="黑体" w:hAnsi="黑体" w:eastAsia="黑体" w:cs="黑体"/>
                <w:bCs/>
                <w:lang w:val="zh-CN" w:eastAsia="zh-CN" w:bidi="ar-SA"/>
              </w:rPr>
              <w:t>（文件格式为： XXX公司XXX项目编号.file）。</w:t>
            </w:r>
          </w:p>
        </w:tc>
      </w:tr>
      <w:tr w14:paraId="0CC47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3FEB8F33">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19</w:t>
            </w:r>
          </w:p>
        </w:tc>
        <w:tc>
          <w:tcPr>
            <w:tcW w:w="1983" w:type="dxa"/>
            <w:tcBorders>
              <w:top w:val="single" w:color="auto" w:sz="4" w:space="0"/>
              <w:left w:val="nil"/>
              <w:bottom w:val="single" w:color="auto" w:sz="4" w:space="0"/>
              <w:right w:val="single" w:color="auto" w:sz="4" w:space="0"/>
            </w:tcBorders>
            <w:noWrap w:val="0"/>
            <w:vAlign w:val="center"/>
          </w:tcPr>
          <w:p w14:paraId="76F96A5D">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投标文件的</w:t>
            </w:r>
          </w:p>
          <w:p w14:paraId="13E1C1EB">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签署盖章</w:t>
            </w:r>
          </w:p>
        </w:tc>
        <w:tc>
          <w:tcPr>
            <w:tcW w:w="6800" w:type="dxa"/>
            <w:tcBorders>
              <w:top w:val="single" w:color="auto" w:sz="4" w:space="0"/>
              <w:left w:val="nil"/>
              <w:bottom w:val="single" w:color="auto" w:sz="4" w:space="0"/>
              <w:right w:val="single" w:color="auto" w:sz="4" w:space="0"/>
            </w:tcBorders>
            <w:noWrap w:val="0"/>
            <w:vAlign w:val="center"/>
          </w:tcPr>
          <w:p w14:paraId="0573792B">
            <w:pPr>
              <w:autoSpaceDE w:val="0"/>
              <w:autoSpaceDN w:val="0"/>
              <w:adjustRightInd w:val="0"/>
              <w:snapToGrid w:val="0"/>
              <w:spacing w:line="400" w:lineRule="exact"/>
              <w:rPr>
                <w:rFonts w:hint="eastAsia" w:ascii="黑体" w:hAnsi="黑体" w:eastAsia="黑体" w:cs="黑体"/>
                <w:lang w:bidi="ar-SA"/>
              </w:rPr>
            </w:pPr>
            <w:r>
              <w:rPr>
                <w:rFonts w:hint="eastAsia" w:ascii="黑体" w:hAnsi="黑体" w:eastAsia="黑体" w:cs="黑体"/>
                <w:b/>
                <w:lang w:bidi="ar-SA"/>
              </w:rPr>
              <w:fldChar w:fldCharType="begin"/>
            </w:r>
            <w:r>
              <w:rPr>
                <w:rFonts w:hint="eastAsia" w:ascii="黑体" w:hAnsi="黑体" w:eastAsia="黑体" w:cs="黑体"/>
                <w:b/>
                <w:lang w:bidi="ar-SA"/>
              </w:rPr>
              <w:instrText xml:space="preserve">eq \o\ac(</w:instrText>
            </w:r>
            <w:r>
              <w:rPr>
                <w:rFonts w:hint="eastAsia" w:ascii="黑体" w:hAnsi="黑体" w:eastAsia="黑体" w:cs="黑体"/>
                <w:b/>
                <w:position w:val="-4"/>
                <w:sz w:val="31"/>
                <w:lang w:bidi="ar-SA"/>
              </w:rPr>
              <w:instrText xml:space="preserve">□</w:instrText>
            </w:r>
            <w:r>
              <w:rPr>
                <w:rFonts w:ascii="黑体" w:hAnsi="黑体" w:eastAsia="黑体" w:cs="黑体"/>
                <w:b/>
                <w:lang w:bidi="ar-SA"/>
              </w:rPr>
              <w:instrText xml:space="preserve">,√)</w:instrText>
            </w:r>
            <w:r>
              <w:rPr>
                <w:rFonts w:hint="eastAsia" w:ascii="黑体" w:hAnsi="黑体" w:eastAsia="黑体" w:cs="黑体"/>
                <w:b/>
                <w:lang w:bidi="ar-SA"/>
              </w:rPr>
              <w:fldChar w:fldCharType="end"/>
            </w:r>
            <w:r>
              <w:rPr>
                <w:rFonts w:hint="eastAsia" w:ascii="黑体" w:hAnsi="黑体" w:eastAsia="黑体" w:cs="黑体"/>
                <w:lang w:bidi="ar-SA"/>
              </w:rPr>
              <w:t>电子投标文件：按招标文件要求加盖投标人电子印章和法人电子印章。</w:t>
            </w:r>
          </w:p>
        </w:tc>
      </w:tr>
      <w:tr w14:paraId="325B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4A79B543">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20</w:t>
            </w:r>
          </w:p>
        </w:tc>
        <w:tc>
          <w:tcPr>
            <w:tcW w:w="1983" w:type="dxa"/>
            <w:tcBorders>
              <w:top w:val="single" w:color="auto" w:sz="4" w:space="0"/>
              <w:left w:val="nil"/>
              <w:bottom w:val="single" w:color="auto" w:sz="4" w:space="0"/>
              <w:right w:val="single" w:color="auto" w:sz="4" w:space="0"/>
            </w:tcBorders>
            <w:noWrap w:val="0"/>
            <w:vAlign w:val="center"/>
          </w:tcPr>
          <w:p w14:paraId="355E6DC1">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评标委员会组建</w:t>
            </w:r>
          </w:p>
        </w:tc>
        <w:tc>
          <w:tcPr>
            <w:tcW w:w="6800" w:type="dxa"/>
            <w:tcBorders>
              <w:top w:val="single" w:color="auto" w:sz="4" w:space="0"/>
              <w:left w:val="nil"/>
              <w:bottom w:val="single" w:color="auto" w:sz="4" w:space="0"/>
              <w:right w:val="single" w:color="auto" w:sz="4" w:space="0"/>
            </w:tcBorders>
            <w:noWrap w:val="0"/>
            <w:vAlign w:val="center"/>
          </w:tcPr>
          <w:p w14:paraId="4F4E21E0">
            <w:pPr>
              <w:autoSpaceDE w:val="0"/>
              <w:autoSpaceDN w:val="0"/>
              <w:adjustRightInd w:val="0"/>
              <w:spacing w:line="360" w:lineRule="auto"/>
              <w:rPr>
                <w:rFonts w:hint="eastAsia" w:ascii="黑体" w:hAnsi="黑体" w:eastAsia="黑体" w:cs="黑体"/>
                <w:lang w:val="zh-CN" w:eastAsia="zh-CN" w:bidi="ar-SA"/>
              </w:rPr>
            </w:pPr>
            <w:r>
              <w:rPr>
                <w:rFonts w:hint="eastAsia" w:ascii="黑体" w:hAnsi="黑体" w:eastAsia="黑体" w:cs="黑体"/>
                <w:b/>
                <w:lang w:bidi="ar-SA"/>
              </w:rPr>
              <w:fldChar w:fldCharType="begin"/>
            </w:r>
            <w:r>
              <w:rPr>
                <w:rFonts w:hint="eastAsia" w:ascii="黑体" w:hAnsi="黑体" w:eastAsia="黑体" w:cs="黑体"/>
                <w:b/>
                <w:lang w:bidi="ar-SA"/>
              </w:rPr>
              <w:instrText xml:space="preserve">eq \o\ac(</w:instrText>
            </w:r>
            <w:r>
              <w:rPr>
                <w:rFonts w:hint="eastAsia" w:ascii="黑体" w:hAnsi="黑体" w:eastAsia="黑体" w:cs="黑体"/>
                <w:b/>
                <w:position w:val="-4"/>
                <w:sz w:val="31"/>
                <w:lang w:bidi="ar-SA"/>
              </w:rPr>
              <w:instrText xml:space="preserve">□</w:instrText>
            </w:r>
            <w:r>
              <w:rPr>
                <w:rFonts w:ascii="黑体" w:hAnsi="黑体" w:eastAsia="黑体" w:cs="黑体"/>
                <w:b/>
                <w:lang w:bidi="ar-SA"/>
              </w:rPr>
              <w:instrText xml:space="preserve">,√)</w:instrText>
            </w:r>
            <w:r>
              <w:rPr>
                <w:rFonts w:hint="eastAsia" w:ascii="黑体" w:hAnsi="黑体" w:eastAsia="黑体" w:cs="黑体"/>
                <w:b/>
                <w:lang w:bidi="ar-SA"/>
              </w:rPr>
              <w:fldChar w:fldCharType="end"/>
            </w:r>
            <w:r>
              <w:rPr>
                <w:rFonts w:hint="eastAsia" w:ascii="黑体" w:hAnsi="黑体" w:eastAsia="黑体" w:cs="黑体"/>
                <w:lang w:val="zh-CN" w:eastAsia="zh-CN" w:bidi="ar-SA"/>
              </w:rPr>
              <w:t>由招标人代表</w:t>
            </w:r>
            <w:r>
              <w:rPr>
                <w:rFonts w:hint="eastAsia" w:ascii="黑体" w:hAnsi="黑体" w:eastAsia="黑体" w:cs="黑体"/>
                <w:lang w:val="en-US" w:eastAsia="zh-CN" w:bidi="ar-SA"/>
              </w:rPr>
              <w:t>1人</w:t>
            </w:r>
            <w:r>
              <w:rPr>
                <w:rFonts w:hint="eastAsia" w:ascii="黑体" w:hAnsi="黑体" w:eastAsia="黑体" w:cs="黑体"/>
                <w:lang w:val="zh-CN" w:eastAsia="zh-CN" w:bidi="ar-SA"/>
              </w:rPr>
              <w:t>和评审专家</w:t>
            </w:r>
            <w:r>
              <w:rPr>
                <w:rFonts w:hint="eastAsia" w:ascii="黑体" w:hAnsi="黑体" w:eastAsia="黑体" w:cs="黑体"/>
                <w:lang w:val="en-US" w:eastAsia="zh-CN" w:bidi="ar-SA"/>
              </w:rPr>
              <w:t>4人</w:t>
            </w:r>
            <w:r>
              <w:rPr>
                <w:rFonts w:hint="eastAsia" w:ascii="黑体" w:hAnsi="黑体" w:eastAsia="黑体" w:cs="黑体"/>
                <w:lang w:val="zh-CN" w:eastAsia="zh-CN" w:bidi="ar-SA"/>
              </w:rPr>
              <w:t>组成，其中评审专家的人数不少于评审小组成员总数的三分之二。评审专家从政府采购评审专家库中随机抽取。评审委员会应当推选组长，但招标人代表不得担任组长。与投标人有利害关系的人不得进入评标委员会。</w:t>
            </w:r>
          </w:p>
          <w:p w14:paraId="08F1499C">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val="zh-CN" w:eastAsia="zh-CN" w:bidi="ar-SA"/>
              </w:rPr>
              <w:t>□由评审专家组成。评审专家从政府采购评审专家库中随机抽取。</w:t>
            </w:r>
          </w:p>
        </w:tc>
      </w:tr>
      <w:tr w14:paraId="26FA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755F5309">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21</w:t>
            </w:r>
          </w:p>
        </w:tc>
        <w:tc>
          <w:tcPr>
            <w:tcW w:w="1983" w:type="dxa"/>
            <w:tcBorders>
              <w:top w:val="single" w:color="auto" w:sz="4" w:space="0"/>
              <w:left w:val="nil"/>
              <w:bottom w:val="single" w:color="auto" w:sz="4" w:space="0"/>
              <w:right w:val="single" w:color="auto" w:sz="4" w:space="0"/>
            </w:tcBorders>
            <w:noWrap w:val="0"/>
            <w:vAlign w:val="center"/>
          </w:tcPr>
          <w:p w14:paraId="19BA93F1">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评标方法</w:t>
            </w:r>
          </w:p>
        </w:tc>
        <w:tc>
          <w:tcPr>
            <w:tcW w:w="6800" w:type="dxa"/>
            <w:tcBorders>
              <w:top w:val="single" w:color="auto" w:sz="4" w:space="0"/>
              <w:left w:val="nil"/>
              <w:bottom w:val="single" w:color="auto" w:sz="4" w:space="0"/>
              <w:right w:val="single" w:color="auto" w:sz="4" w:space="0"/>
            </w:tcBorders>
            <w:noWrap w:val="0"/>
            <w:vAlign w:val="center"/>
          </w:tcPr>
          <w:p w14:paraId="2C0FD6EB">
            <w:pPr>
              <w:autoSpaceDE w:val="0"/>
              <w:autoSpaceDN w:val="0"/>
              <w:adjustRightInd w:val="0"/>
              <w:snapToGrid w:val="0"/>
              <w:spacing w:line="400" w:lineRule="exact"/>
              <w:rPr>
                <w:rFonts w:hint="eastAsia" w:ascii="黑体" w:hAnsi="黑体" w:eastAsia="黑体" w:cs="黑体"/>
                <w:lang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lang w:bidi="ar-SA"/>
              </w:rPr>
              <w:t>综合评分法□最低评标价法</w:t>
            </w:r>
          </w:p>
        </w:tc>
      </w:tr>
      <w:tr w14:paraId="50E7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42854AA">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22</w:t>
            </w:r>
          </w:p>
        </w:tc>
        <w:tc>
          <w:tcPr>
            <w:tcW w:w="1983" w:type="dxa"/>
            <w:tcBorders>
              <w:top w:val="single" w:color="auto" w:sz="4" w:space="0"/>
              <w:left w:val="nil"/>
              <w:bottom w:val="single" w:color="auto" w:sz="4" w:space="0"/>
              <w:right w:val="single" w:color="auto" w:sz="4" w:space="0"/>
            </w:tcBorders>
            <w:noWrap w:val="0"/>
            <w:vAlign w:val="center"/>
          </w:tcPr>
          <w:p w14:paraId="4421058A">
            <w:pPr>
              <w:adjustRightInd w:val="0"/>
              <w:snapToGrid w:val="0"/>
              <w:spacing w:line="400" w:lineRule="exact"/>
              <w:ind w:right="-23" w:rightChars="-11"/>
              <w:jc w:val="center"/>
              <w:rPr>
                <w:rFonts w:hint="eastAsia" w:ascii="黑体" w:hAnsi="黑体" w:eastAsia="黑体" w:cs="黑体"/>
                <w:bCs/>
                <w:lang w:val="zh-CN" w:eastAsia="zh-CN" w:bidi="ar-SA"/>
              </w:rPr>
            </w:pPr>
            <w:r>
              <w:rPr>
                <w:rFonts w:hint="eastAsia" w:ascii="黑体" w:hAnsi="黑体" w:eastAsia="黑体" w:cs="黑体"/>
                <w:bCs/>
                <w:lang w:val="zh-CN" w:eastAsia="zh-CN" w:bidi="ar-SA"/>
              </w:rPr>
              <w:t>履约担保</w:t>
            </w:r>
          </w:p>
        </w:tc>
        <w:tc>
          <w:tcPr>
            <w:tcW w:w="6800" w:type="dxa"/>
            <w:tcBorders>
              <w:top w:val="single" w:color="auto" w:sz="4" w:space="0"/>
              <w:left w:val="nil"/>
              <w:bottom w:val="single" w:color="auto" w:sz="4" w:space="0"/>
              <w:right w:val="single" w:color="auto" w:sz="4" w:space="0"/>
            </w:tcBorders>
            <w:noWrap w:val="0"/>
            <w:vAlign w:val="center"/>
          </w:tcPr>
          <w:p w14:paraId="6DAE80B5">
            <w:pPr>
              <w:adjustRightInd w:val="0"/>
              <w:snapToGrid w:val="0"/>
              <w:spacing w:line="400" w:lineRule="exact"/>
              <w:ind w:right="-23" w:rightChars="-11"/>
              <w:jc w:val="left"/>
              <w:rPr>
                <w:rFonts w:hint="eastAsia" w:ascii="黑体" w:hAnsi="黑体" w:eastAsia="黑体" w:cs="黑体"/>
                <w:bCs/>
                <w:lang w:val="zh-CN" w:eastAsia="zh-CN"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bCs/>
                <w:lang w:bidi="ar-SA"/>
              </w:rPr>
              <w:t>无要求 按照《许昌市财政局关于加大政府采购支持中小企业力度有关事项的通知》(许财购【2022】5号）文的要求，不收取履约保证金。</w:t>
            </w:r>
          </w:p>
        </w:tc>
      </w:tr>
      <w:tr w14:paraId="76F6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BCEAA56">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23</w:t>
            </w:r>
          </w:p>
        </w:tc>
        <w:tc>
          <w:tcPr>
            <w:tcW w:w="1983" w:type="dxa"/>
            <w:tcBorders>
              <w:top w:val="single" w:color="auto" w:sz="4" w:space="0"/>
              <w:left w:val="nil"/>
              <w:bottom w:val="single" w:color="auto" w:sz="4" w:space="0"/>
              <w:right w:val="single" w:color="auto" w:sz="4" w:space="0"/>
            </w:tcBorders>
            <w:noWrap w:val="0"/>
            <w:vAlign w:val="center"/>
          </w:tcPr>
          <w:p w14:paraId="21D56E6E">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代理服务费</w:t>
            </w:r>
          </w:p>
        </w:tc>
        <w:tc>
          <w:tcPr>
            <w:tcW w:w="6800" w:type="dxa"/>
            <w:tcBorders>
              <w:top w:val="single" w:color="auto" w:sz="4" w:space="0"/>
              <w:left w:val="nil"/>
              <w:bottom w:val="single" w:color="auto" w:sz="4" w:space="0"/>
              <w:right w:val="single" w:color="auto" w:sz="4" w:space="0"/>
            </w:tcBorders>
            <w:noWrap w:val="0"/>
            <w:vAlign w:val="center"/>
          </w:tcPr>
          <w:p w14:paraId="76BC4A4F">
            <w:pPr>
              <w:widowControl/>
              <w:jc w:val="left"/>
              <w:rPr>
                <w:rFonts w:hint="eastAsia" w:ascii="黑体" w:hAnsi="黑体" w:eastAsia="黑体" w:cs="黑体"/>
                <w:bCs/>
                <w:lang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lang w:val="zh-CN" w:eastAsia="zh-CN" w:bidi="ar-SA"/>
              </w:rPr>
              <w:t>不收取。</w:t>
            </w:r>
            <w:r>
              <w:rPr>
                <w:rFonts w:hint="eastAsia" w:ascii="黑体" w:hAnsi="黑体" w:eastAsia="黑体" w:cs="黑体"/>
                <w:lang w:val="zh-CN" w:eastAsia="zh-CN" w:bidi="ar-SA"/>
              </w:rPr>
              <w:tab/>
            </w:r>
          </w:p>
        </w:tc>
      </w:tr>
      <w:tr w14:paraId="09EE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052AACB">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24</w:t>
            </w:r>
          </w:p>
        </w:tc>
        <w:tc>
          <w:tcPr>
            <w:tcW w:w="1983" w:type="dxa"/>
            <w:tcBorders>
              <w:top w:val="single" w:color="auto" w:sz="4" w:space="0"/>
              <w:left w:val="nil"/>
              <w:bottom w:val="single" w:color="auto" w:sz="4" w:space="0"/>
              <w:right w:val="single" w:color="auto" w:sz="4" w:space="0"/>
            </w:tcBorders>
            <w:noWrap w:val="0"/>
            <w:vAlign w:val="center"/>
          </w:tcPr>
          <w:p w14:paraId="799765DD">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中标人资格核验</w:t>
            </w:r>
          </w:p>
        </w:tc>
        <w:tc>
          <w:tcPr>
            <w:tcW w:w="6800" w:type="dxa"/>
            <w:tcBorders>
              <w:top w:val="single" w:color="auto" w:sz="4" w:space="0"/>
              <w:left w:val="nil"/>
              <w:bottom w:val="single" w:color="auto" w:sz="4" w:space="0"/>
              <w:right w:val="single" w:color="auto" w:sz="4" w:space="0"/>
            </w:tcBorders>
            <w:noWrap w:val="0"/>
            <w:vAlign w:val="center"/>
          </w:tcPr>
          <w:p w14:paraId="2C1500AC">
            <w:pPr>
              <w:spacing w:line="500" w:lineRule="exact"/>
              <w:rPr>
                <w:rFonts w:hint="eastAsia" w:ascii="黑体" w:hAnsi="黑体" w:eastAsia="黑体" w:cs="黑体"/>
                <w:bCs/>
                <w:lang w:bidi="ar-SA"/>
              </w:rPr>
            </w:pPr>
            <w:r>
              <w:rPr>
                <w:rFonts w:hint="eastAsia" w:ascii="黑体" w:hAnsi="黑体" w:eastAsia="黑体" w:cs="黑体"/>
                <w:bCs/>
                <w:lang w:bidi="ar-SA"/>
              </w:rPr>
              <w:t>投标人在中标后，应将由《长葛市政府采购投标人信用承诺函》替代的证明材料提交招标人核验，经核验无误后，发出中标通知书。</w:t>
            </w:r>
          </w:p>
          <w:p w14:paraId="550DAF53">
            <w:pPr>
              <w:spacing w:line="500" w:lineRule="exact"/>
              <w:rPr>
                <w:rFonts w:hint="eastAsia" w:ascii="黑体" w:hAnsi="黑体" w:eastAsia="黑体" w:cs="黑体"/>
                <w:b/>
                <w:bCs/>
                <w:lang w:bidi="ar-SA"/>
              </w:rPr>
            </w:pPr>
            <w:r>
              <w:rPr>
                <w:rFonts w:hint="eastAsia" w:ascii="黑体" w:hAnsi="黑体" w:eastAsia="黑体" w:cs="黑体"/>
                <w:b/>
                <w:bCs/>
                <w:lang w:bidi="ar-SA"/>
              </w:rPr>
              <w:t xml:space="preserve"> 一、法人或者其他组织的营业执照等证明文件，自然人的身份证明 </w:t>
            </w:r>
          </w:p>
          <w:p w14:paraId="7781A54B">
            <w:pPr>
              <w:spacing w:line="500" w:lineRule="exact"/>
              <w:rPr>
                <w:rFonts w:hint="eastAsia" w:ascii="黑体" w:hAnsi="黑体" w:eastAsia="黑体" w:cs="黑体"/>
                <w:bCs/>
                <w:lang w:bidi="ar-SA"/>
              </w:rPr>
            </w:pPr>
            <w:r>
              <w:rPr>
                <w:rFonts w:hint="eastAsia" w:ascii="黑体" w:hAnsi="黑体" w:eastAsia="黑体" w:cs="黑体"/>
                <w:bCs/>
                <w:lang w:bidi="ar-SA"/>
              </w:rPr>
              <w:t>1、企业法人营业执照或营业执照。（企业投标提供）</w:t>
            </w:r>
          </w:p>
          <w:p w14:paraId="7E56B027">
            <w:pPr>
              <w:spacing w:line="500" w:lineRule="exact"/>
              <w:rPr>
                <w:rFonts w:hint="eastAsia" w:ascii="黑体" w:hAnsi="黑体" w:eastAsia="黑体" w:cs="黑体"/>
                <w:bCs/>
                <w:lang w:bidi="ar-SA"/>
              </w:rPr>
            </w:pPr>
            <w:r>
              <w:rPr>
                <w:rFonts w:hint="eastAsia" w:ascii="黑体" w:hAnsi="黑体" w:eastAsia="黑体" w:cs="黑体"/>
                <w:bCs/>
                <w:lang w:bidi="ar-SA"/>
              </w:rPr>
              <w:t>2、事业单位法人证书。（事业单位投标提供）</w:t>
            </w:r>
          </w:p>
          <w:p w14:paraId="0FD80513">
            <w:pPr>
              <w:spacing w:line="500" w:lineRule="exact"/>
              <w:rPr>
                <w:rFonts w:hint="eastAsia" w:ascii="黑体" w:hAnsi="黑体" w:eastAsia="黑体" w:cs="黑体"/>
                <w:bCs/>
                <w:lang w:bidi="ar-SA"/>
              </w:rPr>
            </w:pPr>
            <w:r>
              <w:rPr>
                <w:rFonts w:hint="eastAsia" w:ascii="黑体" w:hAnsi="黑体" w:eastAsia="黑体" w:cs="黑体"/>
                <w:bCs/>
                <w:lang w:bidi="ar-SA"/>
              </w:rPr>
              <w:t xml:space="preserve">3、执业许可证。（非企业专业服务机构投标提供） </w:t>
            </w:r>
          </w:p>
          <w:p w14:paraId="39A26748">
            <w:pPr>
              <w:spacing w:line="500" w:lineRule="exact"/>
              <w:rPr>
                <w:rFonts w:hint="eastAsia" w:ascii="黑体" w:hAnsi="黑体" w:eastAsia="黑体" w:cs="黑体"/>
                <w:bCs/>
                <w:lang w:bidi="ar-SA"/>
              </w:rPr>
            </w:pPr>
            <w:r>
              <w:rPr>
                <w:rFonts w:hint="eastAsia" w:ascii="黑体" w:hAnsi="黑体" w:eastAsia="黑体" w:cs="黑体"/>
                <w:bCs/>
                <w:lang w:bidi="ar-SA"/>
              </w:rPr>
              <w:t xml:space="preserve">4、个体工商户营业执照。（个体工商户投标提供） </w:t>
            </w:r>
          </w:p>
          <w:p w14:paraId="731BB762">
            <w:pPr>
              <w:spacing w:line="500" w:lineRule="exact"/>
              <w:rPr>
                <w:rFonts w:hint="eastAsia" w:ascii="黑体" w:hAnsi="黑体" w:eastAsia="黑体" w:cs="黑体"/>
                <w:bCs/>
                <w:lang w:bidi="ar-SA"/>
              </w:rPr>
            </w:pPr>
            <w:r>
              <w:rPr>
                <w:rFonts w:hint="eastAsia" w:ascii="黑体" w:hAnsi="黑体" w:eastAsia="黑体" w:cs="黑体"/>
                <w:bCs/>
                <w:lang w:bidi="ar-SA"/>
              </w:rPr>
              <w:t xml:space="preserve">5、自然人身份证明。（自然人投标提供） </w:t>
            </w:r>
          </w:p>
          <w:p w14:paraId="54B22A82">
            <w:pPr>
              <w:spacing w:line="500" w:lineRule="exact"/>
              <w:rPr>
                <w:rFonts w:hint="eastAsia" w:ascii="黑体" w:hAnsi="黑体" w:eastAsia="黑体" w:cs="黑体"/>
                <w:bCs/>
                <w:lang w:bidi="ar-SA"/>
              </w:rPr>
            </w:pPr>
            <w:r>
              <w:rPr>
                <w:rFonts w:hint="eastAsia" w:ascii="黑体" w:hAnsi="黑体" w:eastAsia="黑体" w:cs="黑体"/>
                <w:bCs/>
                <w:lang w:bidi="ar-SA"/>
              </w:rPr>
              <w:t>6、民办非企业单位登记证书。（民办非企业单位投标提供）</w:t>
            </w:r>
          </w:p>
          <w:p w14:paraId="6A695E1E">
            <w:pPr>
              <w:spacing w:line="500" w:lineRule="exact"/>
              <w:rPr>
                <w:rFonts w:hint="eastAsia" w:ascii="黑体" w:hAnsi="黑体" w:eastAsia="黑体" w:cs="黑体"/>
                <w:b/>
                <w:bCs/>
                <w:lang w:bidi="ar-SA"/>
              </w:rPr>
            </w:pPr>
            <w:r>
              <w:rPr>
                <w:rFonts w:hint="eastAsia" w:ascii="黑体" w:hAnsi="黑体" w:eastAsia="黑体" w:cs="黑体"/>
                <w:b/>
                <w:bCs/>
                <w:lang w:bidi="ar-SA"/>
              </w:rPr>
              <w:t xml:space="preserve"> 二、财务状况报告相关材料</w:t>
            </w:r>
          </w:p>
          <w:p w14:paraId="1A817020">
            <w:pPr>
              <w:spacing w:line="500" w:lineRule="exact"/>
              <w:rPr>
                <w:rFonts w:hint="eastAsia" w:ascii="黑体" w:hAnsi="黑体" w:eastAsia="黑体" w:cs="黑体"/>
                <w:bCs/>
                <w:lang w:bidi="ar-SA"/>
              </w:rPr>
            </w:pPr>
            <w:r>
              <w:rPr>
                <w:rFonts w:hint="eastAsia" w:ascii="黑体" w:hAnsi="黑体" w:eastAsia="黑体" w:cs="黑体"/>
                <w:bCs/>
                <w:lang w:bidi="ar-SA"/>
              </w:rPr>
              <w:t xml:space="preserve"> 1、投标人是法人（法人包括企业法人、机关法人、事业单位法人和社会 团体法人），提供本单位：</w:t>
            </w:r>
          </w:p>
          <w:p w14:paraId="59521046">
            <w:pPr>
              <w:spacing w:line="500" w:lineRule="exact"/>
              <w:rPr>
                <w:rFonts w:hint="eastAsia" w:ascii="黑体" w:hAnsi="黑体" w:eastAsia="黑体" w:cs="黑体"/>
                <w:bCs/>
                <w:lang w:bidi="ar-SA"/>
              </w:rPr>
            </w:pPr>
            <w:r>
              <w:rPr>
                <w:rFonts w:hint="eastAsia" w:ascii="黑体" w:hAnsi="黑体" w:eastAsia="黑体" w:cs="黑体"/>
                <w:bCs/>
                <w:lang w:bidi="ar-SA"/>
              </w:rPr>
              <w:t xml:space="preserve"> ①2023年度经审计的财务报告，包括资产负债表、利润表、现金流量表、所有者权益变动表及其附注； </w:t>
            </w:r>
          </w:p>
          <w:p w14:paraId="29A5BBE1">
            <w:pPr>
              <w:spacing w:line="500" w:lineRule="exact"/>
              <w:rPr>
                <w:rFonts w:hint="eastAsia" w:ascii="黑体" w:hAnsi="黑体" w:eastAsia="黑体" w:cs="黑体"/>
                <w:bCs/>
                <w:lang w:bidi="ar-SA"/>
              </w:rPr>
            </w:pPr>
            <w:r>
              <w:rPr>
                <w:rFonts w:hint="eastAsia" w:ascii="黑体" w:hAnsi="黑体" w:eastAsia="黑体" w:cs="黑体"/>
                <w:bCs/>
                <w:lang w:bidi="ar-SA"/>
              </w:rPr>
              <w:t>②基本开户银行出具的资信证明；</w:t>
            </w:r>
          </w:p>
          <w:p w14:paraId="0A0E7534">
            <w:pPr>
              <w:spacing w:line="500" w:lineRule="exact"/>
              <w:rPr>
                <w:rFonts w:hint="eastAsia" w:ascii="黑体" w:hAnsi="黑体" w:eastAsia="黑体" w:cs="黑体"/>
                <w:bCs/>
                <w:lang w:bidi="ar-SA"/>
              </w:rPr>
            </w:pPr>
            <w:r>
              <w:rPr>
                <w:rFonts w:hint="eastAsia" w:ascii="黑体" w:hAnsi="黑体" w:eastAsia="黑体" w:cs="黑体"/>
                <w:bCs/>
                <w:lang w:bidi="ar-SA"/>
              </w:rPr>
              <w:t xml:space="preserve">③财政部门认可的政府采购专业担保机构的证明文件和担保机构出具的 投标担保函。 </w:t>
            </w:r>
          </w:p>
          <w:p w14:paraId="4EDC26F7">
            <w:pPr>
              <w:spacing w:line="500" w:lineRule="exact"/>
              <w:rPr>
                <w:rFonts w:hint="eastAsia" w:ascii="黑体" w:hAnsi="黑体" w:eastAsia="黑体" w:cs="黑体"/>
                <w:bCs/>
                <w:lang w:bidi="ar-SA"/>
              </w:rPr>
            </w:pPr>
            <w:r>
              <w:rPr>
                <w:rFonts w:hint="eastAsia" w:ascii="黑体" w:hAnsi="黑体" w:eastAsia="黑体" w:cs="黑体"/>
                <w:bCs/>
                <w:lang w:bidi="ar-SA"/>
              </w:rPr>
              <w:t xml:space="preserve">注：仅需提供序号①～③其中之一即可。 </w:t>
            </w:r>
          </w:p>
          <w:p w14:paraId="56E78647">
            <w:pPr>
              <w:spacing w:line="500" w:lineRule="exact"/>
              <w:rPr>
                <w:rFonts w:hint="eastAsia" w:ascii="黑体" w:hAnsi="黑体" w:eastAsia="黑体" w:cs="黑体"/>
                <w:bCs/>
                <w:lang w:bidi="ar-SA"/>
              </w:rPr>
            </w:pPr>
            <w:r>
              <w:rPr>
                <w:rFonts w:hint="eastAsia" w:ascii="黑体" w:hAnsi="黑体" w:eastAsia="黑体" w:cs="黑体"/>
                <w:bCs/>
                <w:lang w:bidi="ar-SA"/>
              </w:rPr>
              <w:t>2、投标人（其他组织和自然人）提供本单位：</w:t>
            </w:r>
          </w:p>
          <w:p w14:paraId="0497EAEF">
            <w:pPr>
              <w:spacing w:line="500" w:lineRule="exact"/>
              <w:rPr>
                <w:rFonts w:hint="eastAsia" w:ascii="黑体" w:hAnsi="黑体" w:eastAsia="黑体" w:cs="黑体"/>
                <w:bCs/>
                <w:lang w:bidi="ar-SA"/>
              </w:rPr>
            </w:pPr>
            <w:r>
              <w:rPr>
                <w:rFonts w:hint="eastAsia" w:ascii="黑体" w:hAnsi="黑体" w:eastAsia="黑体" w:cs="黑体"/>
                <w:bCs/>
                <w:lang w:bidi="ar-SA"/>
              </w:rPr>
              <w:t xml:space="preserve"> ①2023年度经审计的财务报告，包括资产负债表、利润表、现金流量表、 所有者权益变动表及其附注；</w:t>
            </w:r>
          </w:p>
          <w:p w14:paraId="61C39BCA">
            <w:pPr>
              <w:spacing w:line="500" w:lineRule="exact"/>
              <w:rPr>
                <w:rFonts w:hint="eastAsia" w:ascii="黑体" w:hAnsi="黑体" w:eastAsia="黑体" w:cs="黑体"/>
                <w:bCs/>
                <w:lang w:bidi="ar-SA"/>
              </w:rPr>
            </w:pPr>
            <w:r>
              <w:rPr>
                <w:rFonts w:hint="eastAsia" w:ascii="黑体" w:hAnsi="黑体" w:eastAsia="黑体" w:cs="黑体"/>
                <w:bCs/>
                <w:lang w:bidi="ar-SA"/>
              </w:rPr>
              <w:t xml:space="preserve"> ②银行出具的资信证明；</w:t>
            </w:r>
          </w:p>
          <w:p w14:paraId="69577023">
            <w:pPr>
              <w:spacing w:line="500" w:lineRule="exact"/>
              <w:rPr>
                <w:rFonts w:hint="eastAsia" w:ascii="黑体" w:hAnsi="黑体" w:eastAsia="黑体" w:cs="黑体"/>
                <w:bCs/>
                <w:lang w:bidi="ar-SA"/>
              </w:rPr>
            </w:pPr>
            <w:r>
              <w:rPr>
                <w:rFonts w:hint="eastAsia" w:ascii="黑体" w:hAnsi="黑体" w:eastAsia="黑体" w:cs="黑体"/>
                <w:bCs/>
                <w:lang w:bidi="ar-SA"/>
              </w:rPr>
              <w:t xml:space="preserve"> ③财政部门认可的政府采购专业担保机构的证明文件和担保机构出具的 投标担保函。 </w:t>
            </w:r>
          </w:p>
          <w:p w14:paraId="286D0A5D">
            <w:pPr>
              <w:spacing w:line="500" w:lineRule="exact"/>
              <w:rPr>
                <w:rFonts w:hint="eastAsia" w:ascii="黑体" w:hAnsi="黑体" w:eastAsia="黑体" w:cs="黑体"/>
                <w:bCs/>
                <w:lang w:bidi="ar-SA"/>
              </w:rPr>
            </w:pPr>
            <w:r>
              <w:rPr>
                <w:rFonts w:hint="eastAsia" w:ascii="黑体" w:hAnsi="黑体" w:eastAsia="黑体" w:cs="黑体"/>
                <w:bCs/>
                <w:lang w:bidi="ar-SA"/>
              </w:rPr>
              <w:t>注：仅需提供序号①～③其中之一即可。</w:t>
            </w:r>
          </w:p>
          <w:p w14:paraId="1051DB3E">
            <w:pPr>
              <w:numPr>
                <w:ilvl w:val="0"/>
                <w:numId w:val="15"/>
              </w:numPr>
              <w:spacing w:line="500" w:lineRule="exact"/>
              <w:ind w:left="105" w:leftChars="0" w:firstLine="0" w:firstLineChars="0"/>
              <w:rPr>
                <w:rFonts w:hint="eastAsia" w:ascii="黑体" w:hAnsi="黑体" w:eastAsia="黑体" w:cs="黑体"/>
                <w:b/>
                <w:bCs/>
                <w:lang w:bidi="ar-SA"/>
              </w:rPr>
            </w:pPr>
            <w:r>
              <w:rPr>
                <w:rFonts w:hint="eastAsia" w:ascii="黑体" w:hAnsi="黑体" w:eastAsia="黑体" w:cs="黑体"/>
                <w:b/>
                <w:bCs/>
                <w:lang w:bidi="ar-SA"/>
              </w:rPr>
              <w:t>依法缴纳税收相关材料</w:t>
            </w:r>
          </w:p>
          <w:p w14:paraId="61B5703B">
            <w:pPr>
              <w:numPr>
                <w:ilvl w:val="0"/>
                <w:numId w:val="0"/>
              </w:numPr>
              <w:spacing w:line="500" w:lineRule="exact"/>
              <w:ind w:left="105" w:leftChars="0"/>
              <w:rPr>
                <w:rFonts w:hint="eastAsia" w:ascii="黑体" w:hAnsi="黑体" w:eastAsia="黑体" w:cs="黑体"/>
                <w:bCs/>
                <w:lang w:bidi="ar-SA"/>
              </w:rPr>
            </w:pPr>
            <w:r>
              <w:rPr>
                <w:rFonts w:hint="eastAsia" w:ascii="黑体" w:hAnsi="黑体" w:eastAsia="黑体" w:cs="黑体"/>
                <w:b w:val="0"/>
                <w:bCs w:val="0"/>
                <w:lang w:bidi="ar-SA"/>
              </w:rPr>
              <w:t>参加本次政府采购项目投标截止时间前一年内任意一个月缴纳税收凭据</w:t>
            </w:r>
            <w:r>
              <w:rPr>
                <w:rFonts w:hint="eastAsia" w:ascii="黑体" w:hAnsi="黑体" w:eastAsia="黑体" w:cs="黑体"/>
                <w:b/>
                <w:bCs/>
                <w:lang w:val="en-US" w:eastAsia="zh-CN" w:bidi="ar-SA"/>
              </w:rPr>
              <w:t>(</w:t>
            </w:r>
            <w:r>
              <w:rPr>
                <w:rFonts w:hint="eastAsia" w:ascii="黑体" w:hAnsi="黑体" w:eastAsia="黑体" w:cs="黑体"/>
                <w:bCs/>
                <w:lang w:bidi="ar-SA"/>
              </w:rPr>
              <w:t xml:space="preserve">依法免税的投标人，应提供相应文件证明依法免税） </w:t>
            </w:r>
          </w:p>
          <w:p w14:paraId="0C40EB44">
            <w:pPr>
              <w:spacing w:line="500" w:lineRule="exact"/>
              <w:rPr>
                <w:rFonts w:hint="eastAsia" w:ascii="黑体" w:hAnsi="黑体" w:eastAsia="黑体" w:cs="黑体"/>
                <w:b/>
                <w:bCs/>
                <w:lang w:bidi="ar-SA"/>
              </w:rPr>
            </w:pPr>
            <w:r>
              <w:rPr>
                <w:rFonts w:hint="eastAsia" w:ascii="黑体" w:hAnsi="黑体" w:eastAsia="黑体" w:cs="黑体"/>
                <w:b/>
                <w:bCs/>
                <w:lang w:bidi="ar-SA"/>
              </w:rPr>
              <w:t xml:space="preserve">四、依法缴纳社会保障资金的证明材料 </w:t>
            </w:r>
          </w:p>
          <w:p w14:paraId="2825B7C6">
            <w:pPr>
              <w:spacing w:line="500" w:lineRule="exact"/>
              <w:rPr>
                <w:rFonts w:hint="eastAsia" w:ascii="黑体" w:hAnsi="黑体" w:eastAsia="黑体" w:cs="黑体"/>
                <w:bCs/>
                <w:lang w:bidi="ar-SA"/>
              </w:rPr>
            </w:pPr>
            <w:r>
              <w:rPr>
                <w:rFonts w:hint="eastAsia" w:ascii="黑体" w:hAnsi="黑体" w:eastAsia="黑体" w:cs="黑体"/>
                <w:bCs/>
                <w:lang w:bidi="ar-SA"/>
              </w:rPr>
              <w:t xml:space="preserve">参加本次政府采购项目投标截止时间前一年内任意一个月缴纳社会保险凭据。（依法不需要缴纳社会保障资金的投标人，应提供相应文件证明依 法不需要缴纳社会保障资金） </w:t>
            </w:r>
          </w:p>
          <w:p w14:paraId="6F330E0C">
            <w:pPr>
              <w:spacing w:line="500" w:lineRule="exact"/>
              <w:rPr>
                <w:rFonts w:hint="eastAsia" w:ascii="黑体" w:hAnsi="黑体" w:eastAsia="黑体" w:cs="黑体"/>
                <w:b/>
                <w:bCs/>
                <w:lang w:bidi="ar-SA"/>
              </w:rPr>
            </w:pPr>
            <w:r>
              <w:rPr>
                <w:rFonts w:hint="eastAsia" w:ascii="黑体" w:hAnsi="黑体" w:eastAsia="黑体" w:cs="黑体"/>
                <w:b/>
                <w:bCs/>
                <w:lang w:bidi="ar-SA"/>
              </w:rPr>
              <w:t>五、履行合同所</w:t>
            </w:r>
            <w:r>
              <w:rPr>
                <w:rFonts w:hint="eastAsia" w:ascii="黑体" w:hAnsi="黑体" w:eastAsia="黑体" w:cs="黑体"/>
                <w:b/>
                <w:bCs/>
                <w:lang w:eastAsia="zh-CN" w:bidi="ar-SA"/>
              </w:rPr>
              <w:t>必需的</w:t>
            </w:r>
            <w:r>
              <w:rPr>
                <w:rFonts w:hint="eastAsia" w:ascii="黑体" w:hAnsi="黑体" w:eastAsia="黑体" w:cs="黑体"/>
                <w:b/>
                <w:bCs/>
                <w:lang w:bidi="ar-SA"/>
              </w:rPr>
              <w:t xml:space="preserve">设备和专业技术能力的证明材料 </w:t>
            </w:r>
          </w:p>
          <w:p w14:paraId="62156C4E">
            <w:pPr>
              <w:spacing w:line="500" w:lineRule="exact"/>
              <w:rPr>
                <w:rFonts w:hint="eastAsia" w:ascii="黑体" w:hAnsi="黑体" w:eastAsia="黑体" w:cs="黑体"/>
                <w:bCs/>
                <w:lang w:bidi="ar-SA"/>
              </w:rPr>
            </w:pPr>
            <w:r>
              <w:rPr>
                <w:rFonts w:hint="eastAsia" w:ascii="黑体" w:hAnsi="黑体" w:eastAsia="黑体" w:cs="黑体"/>
                <w:bCs/>
                <w:lang w:bidi="ar-SA"/>
              </w:rPr>
              <w:t xml:space="preserve"> 1、相关设备的购置发票、专业技术人员职称证书、用工合同等；</w:t>
            </w:r>
          </w:p>
          <w:p w14:paraId="64BF1222">
            <w:pPr>
              <w:spacing w:line="500" w:lineRule="exact"/>
              <w:rPr>
                <w:rFonts w:hint="eastAsia" w:ascii="黑体" w:hAnsi="黑体" w:eastAsia="黑体" w:cs="黑体"/>
                <w:bCs/>
                <w:lang w:bidi="ar-SA"/>
              </w:rPr>
            </w:pPr>
            <w:r>
              <w:rPr>
                <w:rFonts w:hint="eastAsia" w:ascii="黑体" w:hAnsi="黑体" w:eastAsia="黑体" w:cs="黑体"/>
                <w:bCs/>
                <w:lang w:bidi="ar-SA"/>
              </w:rPr>
              <w:t xml:space="preserve"> 2、投标人具备履行合同所</w:t>
            </w:r>
            <w:r>
              <w:rPr>
                <w:rFonts w:hint="eastAsia" w:ascii="黑体" w:hAnsi="黑体" w:eastAsia="黑体" w:cs="黑体"/>
                <w:bCs/>
                <w:lang w:eastAsia="zh-CN" w:bidi="ar-SA"/>
              </w:rPr>
              <w:t>必需的</w:t>
            </w:r>
            <w:r>
              <w:rPr>
                <w:rFonts w:hint="eastAsia" w:ascii="黑体" w:hAnsi="黑体" w:eastAsia="黑体" w:cs="黑体"/>
                <w:bCs/>
                <w:lang w:bidi="ar-SA"/>
              </w:rPr>
              <w:t>设备和专业技术能力承诺函或声明（承诺函或声明格式自拟）。</w:t>
            </w:r>
          </w:p>
          <w:p w14:paraId="2C0F45A7">
            <w:pPr>
              <w:spacing w:line="500" w:lineRule="exact"/>
              <w:rPr>
                <w:rFonts w:hint="eastAsia" w:ascii="黑体" w:hAnsi="黑体" w:eastAsia="黑体" w:cs="黑体"/>
                <w:bCs/>
                <w:lang w:bidi="ar-SA"/>
              </w:rPr>
            </w:pPr>
            <w:r>
              <w:rPr>
                <w:rFonts w:hint="eastAsia" w:ascii="黑体" w:hAnsi="黑体" w:eastAsia="黑体" w:cs="黑体"/>
                <w:bCs/>
                <w:lang w:bidi="ar-SA"/>
              </w:rPr>
              <w:t xml:space="preserve"> 注：仅需提供序号1～2其中之一即可。 </w:t>
            </w:r>
          </w:p>
          <w:p w14:paraId="71C6ED44">
            <w:pPr>
              <w:spacing w:line="500" w:lineRule="exact"/>
              <w:rPr>
                <w:rFonts w:hint="eastAsia" w:ascii="黑体" w:hAnsi="黑体" w:eastAsia="黑体" w:cs="黑体"/>
                <w:b/>
                <w:bCs/>
                <w:lang w:bidi="ar-SA"/>
              </w:rPr>
            </w:pPr>
            <w:r>
              <w:rPr>
                <w:rFonts w:hint="eastAsia" w:ascii="黑体" w:hAnsi="黑体" w:eastAsia="黑体" w:cs="黑体"/>
                <w:b/>
                <w:bCs/>
                <w:lang w:bidi="ar-SA"/>
              </w:rPr>
              <w:t xml:space="preserve">六、参加政府采购活动前3年内在经营活动中没有重大违法记录的声明 </w:t>
            </w:r>
          </w:p>
          <w:p w14:paraId="743AE257">
            <w:pPr>
              <w:spacing w:line="500" w:lineRule="exact"/>
              <w:rPr>
                <w:rFonts w:hint="eastAsia" w:ascii="黑体" w:hAnsi="黑体" w:eastAsia="黑体" w:cs="黑体"/>
                <w:bCs/>
                <w:lang w:bidi="ar-SA"/>
              </w:rPr>
            </w:pPr>
            <w:r>
              <w:rPr>
                <w:rFonts w:hint="eastAsia" w:ascii="黑体" w:hAnsi="黑体" w:eastAsia="黑体" w:cs="黑体"/>
                <w:bCs/>
                <w:lang w:bidi="ar-SA"/>
              </w:rPr>
              <w:t>投标人“参加政府采购活动前3年内在经营活动中没有重大违法记录的书 面声明”。 重大违法记录，是指投标人因违法经营受到刑事处罚或者责 令停产停业、吊销许可证或者执照、较大数额罚款等行政处罚。</w:t>
            </w:r>
          </w:p>
          <w:p w14:paraId="4D77A134">
            <w:pPr>
              <w:spacing w:line="500" w:lineRule="exact"/>
              <w:rPr>
                <w:rFonts w:hint="eastAsia" w:ascii="黑体" w:hAnsi="黑体" w:eastAsia="黑体" w:cs="黑体"/>
                <w:bCs/>
                <w:lang w:bidi="ar-SA"/>
              </w:rPr>
            </w:pPr>
            <w:r>
              <w:rPr>
                <w:rFonts w:hint="eastAsia" w:ascii="黑体" w:hAnsi="黑体" w:eastAsia="黑体" w:cs="黑体"/>
                <w:b/>
                <w:bCs/>
                <w:lang w:bidi="ar-SA"/>
              </w:rPr>
              <w:t xml:space="preserve"> 七、未被列入“信用中国”</w:t>
            </w:r>
            <w:r>
              <w:rPr>
                <w:rFonts w:hint="eastAsia" w:ascii="黑体" w:hAnsi="黑体" w:eastAsia="黑体" w:cs="黑体"/>
                <w:bCs/>
                <w:lang w:bidi="ar-SA"/>
              </w:rPr>
              <w:t>网站(www.creditchina.gov.cn)失信被执行人、税收违法黑名单的投标人；“中国政府采购网” (www.ccgp.gov.cn) 政府采购严重违法失信行为记录名单的投标人； “中国社会组织政务服 务平台”网站（https://chinanpo.mca.gov.cn）严重违法失信社会组织 （联合体形式投标的，联合体成员存在不良信用记录，视同联合体存在 不良信用记录）。</w:t>
            </w:r>
          </w:p>
          <w:p w14:paraId="308C85A2">
            <w:pPr>
              <w:spacing w:line="500" w:lineRule="exact"/>
              <w:rPr>
                <w:rFonts w:hint="eastAsia" w:ascii="黑体" w:hAnsi="黑体" w:eastAsia="黑体" w:cs="黑体"/>
                <w:bCs/>
                <w:lang w:bidi="ar-SA"/>
              </w:rPr>
            </w:pPr>
            <w:r>
              <w:rPr>
                <w:rFonts w:hint="eastAsia" w:ascii="黑体" w:hAnsi="黑体" w:eastAsia="黑体" w:cs="黑体"/>
                <w:bCs/>
                <w:lang w:bidi="ar-SA"/>
              </w:rPr>
              <w:t>1、查询渠道：</w:t>
            </w:r>
          </w:p>
          <w:p w14:paraId="5A2EB7A7">
            <w:pPr>
              <w:spacing w:line="500" w:lineRule="exact"/>
              <w:rPr>
                <w:rFonts w:hint="eastAsia" w:ascii="黑体" w:hAnsi="黑体" w:eastAsia="黑体" w:cs="黑体"/>
                <w:bCs/>
                <w:lang w:bidi="ar-SA"/>
              </w:rPr>
            </w:pPr>
            <w:r>
              <w:rPr>
                <w:rFonts w:hint="eastAsia" w:ascii="黑体" w:hAnsi="黑体" w:eastAsia="黑体" w:cs="黑体"/>
                <w:bCs/>
                <w:lang w:bidi="ar-SA"/>
              </w:rPr>
              <w:t>①“信用中国”网站（</w:t>
            </w:r>
            <w:r>
              <w:rPr>
                <w:rStyle w:val="23"/>
                <w:rFonts w:hint="eastAsia" w:ascii="黑体" w:hAnsi="黑体" w:eastAsia="黑体" w:cs="黑体"/>
                <w:bCs/>
                <w:color w:val="auto"/>
                <w:lang w:bidi="ar-SA"/>
              </w:rPr>
              <w:fldChar w:fldCharType="begin"/>
            </w:r>
            <w:r>
              <w:rPr>
                <w:rStyle w:val="23"/>
                <w:rFonts w:hint="eastAsia" w:ascii="黑体" w:hAnsi="黑体" w:eastAsia="黑体" w:cs="黑体"/>
                <w:bCs/>
                <w:color w:val="auto"/>
                <w:lang w:bidi="ar-SA"/>
              </w:rPr>
              <w:instrText xml:space="preserve">HYPERLINK "http://www.creditchina.gov.cn"</w:instrText>
            </w:r>
            <w:r>
              <w:rPr>
                <w:rStyle w:val="23"/>
                <w:rFonts w:hint="eastAsia" w:ascii="黑体" w:hAnsi="黑体" w:eastAsia="黑体" w:cs="黑体"/>
                <w:bCs/>
                <w:color w:val="auto"/>
                <w:lang w:bidi="ar-SA"/>
              </w:rPr>
              <w:fldChar w:fldCharType="separate"/>
            </w:r>
            <w:r>
              <w:rPr>
                <w:rStyle w:val="23"/>
                <w:rFonts w:hint="eastAsia" w:ascii="黑体" w:hAnsi="黑体" w:eastAsia="黑体" w:cs="黑体"/>
                <w:bCs/>
                <w:color w:val="auto"/>
                <w:lang w:bidi="ar-SA"/>
              </w:rPr>
              <w:t>www.creditchina.gov.cn</w:t>
            </w:r>
            <w:r>
              <w:rPr>
                <w:rFonts w:hint="eastAsia" w:ascii="黑体" w:hAnsi="黑体" w:eastAsia="黑体" w:cs="黑体"/>
                <w:bCs/>
                <w:lang w:bidi="ar-SA"/>
              </w:rPr>
              <w:fldChar w:fldCharType="end"/>
            </w:r>
            <w:r>
              <w:rPr>
                <w:rFonts w:hint="eastAsia" w:ascii="黑体" w:hAnsi="黑体" w:eastAsia="黑体" w:cs="黑体"/>
                <w:bCs/>
                <w:lang w:bidi="ar-SA"/>
              </w:rPr>
              <w:t xml:space="preserve">） </w:t>
            </w:r>
          </w:p>
          <w:p w14:paraId="452A3149">
            <w:pPr>
              <w:spacing w:line="500" w:lineRule="exact"/>
              <w:rPr>
                <w:rFonts w:hint="eastAsia" w:ascii="黑体" w:hAnsi="黑体" w:eastAsia="黑体" w:cs="黑体"/>
                <w:bCs/>
                <w:lang w:bidi="ar-SA"/>
              </w:rPr>
            </w:pPr>
            <w:r>
              <w:rPr>
                <w:rFonts w:hint="eastAsia" w:ascii="黑体" w:hAnsi="黑体" w:eastAsia="黑体" w:cs="黑体"/>
                <w:bCs/>
                <w:lang w:bidi="ar-SA"/>
              </w:rPr>
              <w:t>②“中国政府采购网”（</w:t>
            </w:r>
            <w:r>
              <w:rPr>
                <w:rStyle w:val="23"/>
                <w:rFonts w:hint="eastAsia" w:ascii="黑体" w:hAnsi="黑体" w:eastAsia="黑体" w:cs="黑体"/>
                <w:bCs/>
                <w:color w:val="auto"/>
                <w:lang w:bidi="ar-SA"/>
              </w:rPr>
              <w:fldChar w:fldCharType="begin"/>
            </w:r>
            <w:r>
              <w:rPr>
                <w:rStyle w:val="23"/>
                <w:rFonts w:hint="eastAsia" w:ascii="黑体" w:hAnsi="黑体" w:eastAsia="黑体" w:cs="黑体"/>
                <w:bCs/>
                <w:color w:val="auto"/>
                <w:lang w:bidi="ar-SA"/>
              </w:rPr>
              <w:instrText xml:space="preserve">HYPERLINK "http://www.ccgp.gov.cn"</w:instrText>
            </w:r>
            <w:r>
              <w:rPr>
                <w:rStyle w:val="23"/>
                <w:rFonts w:hint="eastAsia" w:ascii="黑体" w:hAnsi="黑体" w:eastAsia="黑体" w:cs="黑体"/>
                <w:bCs/>
                <w:color w:val="auto"/>
                <w:lang w:bidi="ar-SA"/>
              </w:rPr>
              <w:fldChar w:fldCharType="separate"/>
            </w:r>
            <w:r>
              <w:rPr>
                <w:rStyle w:val="23"/>
                <w:rFonts w:hint="eastAsia" w:ascii="黑体" w:hAnsi="黑体" w:eastAsia="黑体" w:cs="黑体"/>
                <w:bCs/>
                <w:color w:val="auto"/>
                <w:lang w:bidi="ar-SA"/>
              </w:rPr>
              <w:t>www.ccgp.gov.cn</w:t>
            </w:r>
            <w:r>
              <w:rPr>
                <w:rFonts w:hint="eastAsia" w:ascii="黑体" w:hAnsi="黑体" w:eastAsia="黑体" w:cs="黑体"/>
                <w:bCs/>
                <w:lang w:bidi="ar-SA"/>
              </w:rPr>
              <w:fldChar w:fldCharType="end"/>
            </w:r>
            <w:r>
              <w:rPr>
                <w:rFonts w:hint="eastAsia" w:ascii="黑体" w:hAnsi="黑体" w:eastAsia="黑体" w:cs="黑体"/>
                <w:bCs/>
                <w:lang w:bidi="ar-SA"/>
              </w:rPr>
              <w:t>）</w:t>
            </w:r>
          </w:p>
          <w:p w14:paraId="0B4553C4">
            <w:pPr>
              <w:spacing w:line="500" w:lineRule="exact"/>
              <w:rPr>
                <w:rFonts w:hint="eastAsia" w:ascii="黑体" w:hAnsi="黑体" w:eastAsia="黑体" w:cs="黑体"/>
                <w:bCs/>
                <w:lang w:bidi="ar-SA"/>
              </w:rPr>
            </w:pPr>
            <w:r>
              <w:rPr>
                <w:rFonts w:hint="eastAsia" w:ascii="黑体" w:hAnsi="黑体" w:eastAsia="黑体" w:cs="黑体"/>
                <w:bCs/>
                <w:lang w:bidi="ar-SA"/>
              </w:rPr>
              <w:t xml:space="preserve"> ③“中国社会组织政务服务平台”网站（https://chinanpo.mca.gov.cn） （仅查询社会组织）；</w:t>
            </w:r>
          </w:p>
          <w:p w14:paraId="7AE781D0">
            <w:pPr>
              <w:spacing w:line="500" w:lineRule="exact"/>
              <w:rPr>
                <w:rFonts w:hint="eastAsia" w:ascii="黑体" w:hAnsi="黑体" w:eastAsia="黑体" w:cs="黑体"/>
                <w:bCs/>
                <w:lang w:bidi="ar-SA"/>
              </w:rPr>
            </w:pPr>
            <w:r>
              <w:rPr>
                <w:rFonts w:hint="eastAsia" w:ascii="黑体" w:hAnsi="黑体" w:eastAsia="黑体" w:cs="黑体"/>
                <w:bCs/>
                <w:lang w:bidi="ar-SA"/>
              </w:rPr>
              <w:t xml:space="preserve">2、截止时间：同投标截止时间； </w:t>
            </w:r>
          </w:p>
          <w:p w14:paraId="7858E041">
            <w:pPr>
              <w:spacing w:line="500" w:lineRule="exact"/>
              <w:rPr>
                <w:rFonts w:hint="eastAsia" w:ascii="黑体" w:hAnsi="黑体" w:eastAsia="黑体" w:cs="黑体"/>
                <w:bCs/>
                <w:lang w:bidi="ar-SA"/>
              </w:rPr>
            </w:pPr>
            <w:r>
              <w:rPr>
                <w:rFonts w:hint="eastAsia" w:ascii="黑体" w:hAnsi="黑体" w:eastAsia="黑体" w:cs="黑体"/>
                <w:bCs/>
                <w:lang w:bidi="ar-SA"/>
              </w:rPr>
              <w:t>3、信用信息的使用原则：经招标人认定的被列入失信被执行人、税收违法黑名单、政府采购严重违法失信行为记录名单的投标人、严重违法失信社会组织，将拒绝其参与本次政府采购活动。</w:t>
            </w:r>
          </w:p>
        </w:tc>
      </w:tr>
      <w:tr w14:paraId="4174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4C2E6553">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25</w:t>
            </w:r>
          </w:p>
        </w:tc>
        <w:tc>
          <w:tcPr>
            <w:tcW w:w="1983" w:type="dxa"/>
            <w:tcBorders>
              <w:top w:val="single" w:color="auto" w:sz="4" w:space="0"/>
              <w:left w:val="nil"/>
              <w:bottom w:val="single" w:color="auto" w:sz="4" w:space="0"/>
              <w:right w:val="single" w:color="auto" w:sz="4" w:space="0"/>
            </w:tcBorders>
            <w:noWrap w:val="0"/>
            <w:vAlign w:val="center"/>
          </w:tcPr>
          <w:p w14:paraId="5B8955E8">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电子化招标模式</w:t>
            </w:r>
          </w:p>
        </w:tc>
        <w:tc>
          <w:tcPr>
            <w:tcW w:w="6800" w:type="dxa"/>
            <w:tcBorders>
              <w:top w:val="single" w:color="auto" w:sz="4" w:space="0"/>
              <w:left w:val="nil"/>
              <w:bottom w:val="single" w:color="auto" w:sz="4" w:space="0"/>
              <w:right w:val="single" w:color="auto" w:sz="4" w:space="0"/>
            </w:tcBorders>
            <w:noWrap w:val="0"/>
            <w:vAlign w:val="center"/>
          </w:tcPr>
          <w:p w14:paraId="5A8E7A2B">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bCs/>
                <w:lang w:bidi="ar-SA"/>
              </w:rPr>
              <w:t>是。投标人投标时须成功上传、解密电子投标文件。投标人资质、业绩、荣誉及相关人员证明材料等资料原件不再提交（本招标文件第六章另有要求提供原件的除外）。</w:t>
            </w:r>
          </w:p>
        </w:tc>
      </w:tr>
      <w:tr w14:paraId="6D11F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B71C438">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26</w:t>
            </w:r>
          </w:p>
        </w:tc>
        <w:tc>
          <w:tcPr>
            <w:tcW w:w="1983" w:type="dxa"/>
            <w:tcBorders>
              <w:top w:val="single" w:color="auto" w:sz="4" w:space="0"/>
              <w:left w:val="nil"/>
              <w:bottom w:val="single" w:color="auto" w:sz="4" w:space="0"/>
              <w:right w:val="single" w:color="auto" w:sz="4" w:space="0"/>
            </w:tcBorders>
            <w:noWrap w:val="0"/>
            <w:vAlign w:val="center"/>
          </w:tcPr>
          <w:p w14:paraId="713731CA">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投标人代表出席开标会</w:t>
            </w:r>
          </w:p>
        </w:tc>
        <w:tc>
          <w:tcPr>
            <w:tcW w:w="6800" w:type="dxa"/>
            <w:tcBorders>
              <w:top w:val="single" w:color="auto" w:sz="4" w:space="0"/>
              <w:left w:val="nil"/>
              <w:bottom w:val="single" w:color="auto" w:sz="4" w:space="0"/>
              <w:right w:val="single" w:color="auto" w:sz="4" w:space="0"/>
            </w:tcBorders>
            <w:noWrap w:val="0"/>
            <w:vAlign w:val="center"/>
          </w:tcPr>
          <w:p w14:paraId="072947B2">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投标人准时在网上参加投标、开标活动。</w:t>
            </w:r>
          </w:p>
        </w:tc>
      </w:tr>
      <w:tr w14:paraId="3779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33284AD0">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27</w:t>
            </w:r>
          </w:p>
        </w:tc>
        <w:tc>
          <w:tcPr>
            <w:tcW w:w="1983" w:type="dxa"/>
            <w:tcBorders>
              <w:top w:val="single" w:color="auto" w:sz="4" w:space="0"/>
              <w:left w:val="nil"/>
              <w:bottom w:val="single" w:color="auto" w:sz="4" w:space="0"/>
              <w:right w:val="single" w:color="auto" w:sz="4" w:space="0"/>
            </w:tcBorders>
            <w:noWrap w:val="0"/>
            <w:vAlign w:val="center"/>
          </w:tcPr>
          <w:p w14:paraId="500584DE">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特别提示</w:t>
            </w:r>
          </w:p>
        </w:tc>
        <w:tc>
          <w:tcPr>
            <w:tcW w:w="6800" w:type="dxa"/>
            <w:tcBorders>
              <w:top w:val="single" w:color="auto" w:sz="4" w:space="0"/>
              <w:left w:val="nil"/>
              <w:bottom w:val="single" w:color="auto" w:sz="4" w:space="0"/>
              <w:right w:val="single" w:color="auto" w:sz="4" w:space="0"/>
            </w:tcBorders>
            <w:noWrap w:val="0"/>
            <w:vAlign w:val="center"/>
          </w:tcPr>
          <w:p w14:paraId="42013BB5">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按照《关于推进全流程电子化交易和在线监管工作有关问题的</w:t>
            </w:r>
          </w:p>
          <w:p w14:paraId="37A6C6FD">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通知》(许公管办(2019)3号)规定:</w:t>
            </w:r>
          </w:p>
          <w:p w14:paraId="7243A83E">
            <w:pPr>
              <w:autoSpaceDE w:val="0"/>
              <w:autoSpaceDN w:val="0"/>
              <w:adjustRightInd w:val="0"/>
              <w:snapToGrid w:val="0"/>
              <w:spacing w:line="400" w:lineRule="exact"/>
              <w:ind w:right="-11"/>
              <w:rPr>
                <w:rFonts w:hint="eastAsia" w:ascii="黑体" w:hAnsi="黑体" w:eastAsia="黑体" w:cs="黑体"/>
                <w:kern w:val="0"/>
                <w:lang w:bidi="ar-SA"/>
              </w:rPr>
            </w:pPr>
            <w:r>
              <w:rPr>
                <w:rFonts w:hint="eastAsia" w:ascii="黑体" w:hAnsi="黑体" w:eastAsia="黑体" w:cs="黑体"/>
                <w:lang w:bidi="ar-SA"/>
              </w:rPr>
              <w:t>不同投标人电子响应文件的文件制作机器码均一致时，视为‘不同投标人的响应文件由同一单位或者个人编制’或‘不同供应商委托同一单位或者个人办理响应事宜’，其投标无效。评审专家应严格按照要求查看“文件制作机器码”相关信息并进行评审，在评审报告中显示“不同投标人电子响应文件的文件制作机器码”是否雷同的分析及判定结果。</w:t>
            </w:r>
          </w:p>
        </w:tc>
      </w:tr>
      <w:tr w14:paraId="7BD33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66D9769">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28</w:t>
            </w:r>
          </w:p>
        </w:tc>
        <w:tc>
          <w:tcPr>
            <w:tcW w:w="1983" w:type="dxa"/>
            <w:tcBorders>
              <w:top w:val="single" w:color="auto" w:sz="4" w:space="0"/>
              <w:left w:val="nil"/>
              <w:bottom w:val="single" w:color="auto" w:sz="4" w:space="0"/>
              <w:right w:val="single" w:color="auto" w:sz="4" w:space="0"/>
            </w:tcBorders>
            <w:noWrap w:val="0"/>
            <w:vAlign w:val="center"/>
          </w:tcPr>
          <w:p w14:paraId="60DE5CA4">
            <w:pPr>
              <w:autoSpaceDE w:val="0"/>
              <w:autoSpaceDN w:val="0"/>
              <w:adjustRightInd w:val="0"/>
              <w:snapToGrid w:val="0"/>
              <w:spacing w:line="400" w:lineRule="exact"/>
              <w:jc w:val="center"/>
              <w:rPr>
                <w:rFonts w:hint="eastAsia" w:ascii="黑体" w:hAnsi="黑体" w:eastAsia="黑体" w:cs="黑体"/>
                <w:b/>
                <w:bCs/>
                <w:lang w:bidi="ar-SA"/>
              </w:rPr>
            </w:pPr>
            <w:r>
              <w:rPr>
                <w:rFonts w:hint="eastAsia" w:ascii="黑体" w:hAnsi="黑体" w:eastAsia="黑体" w:cs="黑体"/>
                <w:lang w:bidi="ar-SA"/>
              </w:rPr>
              <w:t>中小企业有关政策</w:t>
            </w:r>
          </w:p>
        </w:tc>
        <w:tc>
          <w:tcPr>
            <w:tcW w:w="6800" w:type="dxa"/>
            <w:tcBorders>
              <w:top w:val="single" w:color="auto" w:sz="4" w:space="0"/>
              <w:left w:val="nil"/>
              <w:bottom w:val="single" w:color="auto" w:sz="4" w:space="0"/>
              <w:right w:val="single" w:color="auto" w:sz="4" w:space="0"/>
            </w:tcBorders>
            <w:noWrap w:val="0"/>
            <w:vAlign w:val="center"/>
          </w:tcPr>
          <w:p w14:paraId="79F66CBB">
            <w:pPr>
              <w:autoSpaceDE w:val="0"/>
              <w:autoSpaceDN w:val="0"/>
              <w:adjustRightInd w:val="0"/>
              <w:snapToGrid w:val="0"/>
              <w:spacing w:line="360" w:lineRule="auto"/>
              <w:rPr>
                <w:rFonts w:hint="eastAsia" w:ascii="黑体" w:hAnsi="黑体" w:eastAsia="黑体" w:cs="黑体"/>
                <w:b/>
                <w:bCs/>
                <w:kern w:val="0"/>
                <w:lang w:bidi="ar-SA"/>
              </w:rPr>
            </w:pPr>
            <w:r>
              <w:rPr>
                <w:rFonts w:hint="eastAsia" w:ascii="黑体" w:hAnsi="黑体" w:eastAsia="黑体" w:cs="黑体"/>
                <w:b/>
                <w:bCs/>
                <w:kern w:val="0"/>
                <w:lang w:bidi="ar-SA"/>
              </w:rPr>
              <w:t>1、本项目非专门面向中小企业招标。</w:t>
            </w:r>
          </w:p>
          <w:p w14:paraId="43167EB2">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 xml:space="preserve">2、根据工信部等部委发布的《关于印发中小企业划型标准规定的通知》 （工信部联企业〔2011〕300号），按照本次招标标的所属行业的划型标 准，符合条件的中小企业应按照招标文件格式要求提供《中小企业声明 函》，否则不得享受相关中小企业扶持政策。 </w:t>
            </w:r>
          </w:p>
          <w:p w14:paraId="3D12FF57">
            <w:pPr>
              <w:autoSpaceDE w:val="0"/>
              <w:autoSpaceDN w:val="0"/>
              <w:adjustRightInd w:val="0"/>
              <w:snapToGrid w:val="0"/>
              <w:spacing w:line="460" w:lineRule="exact"/>
              <w:rPr>
                <w:rFonts w:hint="eastAsia" w:ascii="黑体" w:hAnsi="黑体" w:eastAsia="黑体" w:cs="黑体"/>
                <w:b/>
                <w:bCs/>
                <w:color w:val="auto"/>
                <w:lang w:bidi="ar-SA"/>
              </w:rPr>
            </w:pPr>
            <w:r>
              <w:rPr>
                <w:rFonts w:hint="eastAsia" w:ascii="黑体" w:hAnsi="黑体" w:eastAsia="黑体" w:cs="黑体"/>
                <w:b/>
                <w:bCs/>
                <w:color w:val="auto"/>
                <w:lang w:bidi="ar-SA"/>
              </w:rPr>
              <w:t>3、本次招标标的对应的中小企业划分标准所属行业：详见参数列表。</w:t>
            </w:r>
          </w:p>
          <w:p w14:paraId="70D04C76">
            <w:pPr>
              <w:autoSpaceDE w:val="0"/>
              <w:autoSpaceDN w:val="0"/>
              <w:adjustRightInd w:val="0"/>
              <w:snapToGrid w:val="0"/>
              <w:spacing w:line="460" w:lineRule="exact"/>
              <w:rPr>
                <w:rFonts w:hint="eastAsia" w:ascii="黑体" w:hAnsi="黑体" w:eastAsia="黑体" w:cs="黑体"/>
                <w:lang w:bidi="ar-SA"/>
              </w:rPr>
            </w:pPr>
            <w:r>
              <w:rPr>
                <w:rFonts w:hint="eastAsia" w:ascii="黑体" w:hAnsi="黑体" w:eastAsia="黑体" w:cs="黑体"/>
                <w:lang w:bidi="ar-SA"/>
              </w:rPr>
              <w:t>4、根据财政部、工业和信息化部发布的《政府采购促进中小企业发展管 理办法》（财库〔2020〕46号）、《关于进一步加大政府采购支持中小企业 力度的通知》（财库〔2022〕19号）规定，</w:t>
            </w:r>
            <w:r>
              <w:rPr>
                <w:rFonts w:hint="eastAsia" w:ascii="黑体" w:hAnsi="黑体" w:eastAsia="黑体" w:cs="黑体"/>
                <w:b/>
                <w:bCs/>
                <w:lang w:bidi="ar-SA"/>
              </w:rPr>
              <w:t>对小型和微型企业投标价格给予20%（10%-20%）(工程项目为3%-5%）的扣除，用扣除后的价格参与评审。</w:t>
            </w:r>
          </w:p>
          <w:p w14:paraId="442C82DF">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5、以联合体形式参加政府采购活动，联合体各方均为中小企业的，联合 体视同中小企业。其中，联合体各方均为小微企业的，联合体视同小微企业。</w:t>
            </w:r>
          </w:p>
          <w:p w14:paraId="3D1BF1E1">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6、接受大中型企业与小微企业组成联合体或者允许大中型企业向一家或 者多家小微企业分包的招标项目，对于联合协议或者分包意向协议约定小微企业的合同份额占到合同总金额 30%以上的，招标人、招标代理机 构应当对联合体或者大中型企业的报价给予6%（4%—6%）(工程项目为1%-2%）的扣除，用扣 除后的价格参加评审。组成联合体或者接受分包的小微企业与联合体内其他企业、分包企业之间存在直接控股、管理关系的，不享受价格扣除优惠政策。</w:t>
            </w:r>
          </w:p>
          <w:p w14:paraId="39CC88BE">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7、提供由省级以上监狱管理局、戒毒管理局（含新疆生产建设兵团）出 具的属于监狱企业证明文件的，视同为小型和微型企业。</w:t>
            </w:r>
          </w:p>
          <w:p w14:paraId="576289FB">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8、符合享受政府采购支持政策的残疾人福利性单位条件且提供《残疾人 福利性单位声明函》的，视同为小型和微型企业。</w:t>
            </w:r>
          </w:p>
          <w:p w14:paraId="62FC3859">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享受政府采购支持政策的残疾人福利性单位应当同时满足以下条件：</w:t>
            </w:r>
          </w:p>
          <w:p w14:paraId="22D58B55">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（一）安置的残疾人占本单位在职职工人数的比例不低于 25%（含 25%），并且安置的残疾人人数不少于 10 人（含 10 人）；</w:t>
            </w:r>
          </w:p>
          <w:p w14:paraId="30D0C8B7">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（二）依法与安置的每位残疾人签订了一年以上（含一年）的劳动合同或服务协议；</w:t>
            </w:r>
          </w:p>
          <w:p w14:paraId="2F6E36AD">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（三）为安置的每位残疾人按月足额缴纳了基本养老保险、基本医疗保险、失业保险、工伤保险和生育保险等社会保险费；</w:t>
            </w:r>
          </w:p>
          <w:p w14:paraId="2650E614">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（四）通过银行等金融机构向安置的每位残疾人，按月支付了不低于单位所在区县适用的经省级人民政府批准的月最低工资标准的工资；</w:t>
            </w:r>
          </w:p>
          <w:p w14:paraId="5ADBF283">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（五）提供本单位制造的货物、承担的工程或者服务（以下简称产品），或者提供其他残疾人福利性单位制造的货物（不包括使用非残疾人福利性单位注册商标的货物）。</w:t>
            </w:r>
          </w:p>
          <w:p w14:paraId="3FCD48B3">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3127636A">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9、小型和微型企业不包括民办非企业单位。</w:t>
            </w:r>
          </w:p>
          <w:p w14:paraId="3AEF1655">
            <w:pPr>
              <w:autoSpaceDE w:val="0"/>
              <w:autoSpaceDN w:val="0"/>
              <w:adjustRightInd w:val="0"/>
              <w:snapToGrid w:val="0"/>
              <w:spacing w:line="360" w:lineRule="auto"/>
              <w:rPr>
                <w:rFonts w:hint="eastAsia" w:ascii="黑体" w:hAnsi="黑体" w:eastAsia="黑体" w:cs="黑体"/>
                <w:b/>
                <w:lang w:bidi="ar-SA"/>
              </w:rPr>
            </w:pPr>
            <w:r>
              <w:rPr>
                <w:rFonts w:hint="eastAsia" w:ascii="黑体" w:hAnsi="黑体" w:eastAsia="黑体" w:cs="黑体"/>
                <w:lang w:bidi="ar-SA"/>
              </w:rPr>
              <w:t>10、符合中小企业划分标准的个体工商户，在政府采购活动中视同中小企业</w:t>
            </w:r>
          </w:p>
        </w:tc>
      </w:tr>
      <w:tr w14:paraId="5DF6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8AA3862">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29</w:t>
            </w:r>
          </w:p>
        </w:tc>
        <w:tc>
          <w:tcPr>
            <w:tcW w:w="1983" w:type="dxa"/>
            <w:tcBorders>
              <w:top w:val="single" w:color="auto" w:sz="4" w:space="0"/>
              <w:left w:val="nil"/>
              <w:bottom w:val="single" w:color="auto" w:sz="4" w:space="0"/>
              <w:right w:val="single" w:color="auto" w:sz="4" w:space="0"/>
            </w:tcBorders>
            <w:noWrap w:val="0"/>
            <w:vAlign w:val="center"/>
          </w:tcPr>
          <w:p w14:paraId="64B1D2DB">
            <w:pPr>
              <w:autoSpaceDE w:val="0"/>
              <w:autoSpaceDN w:val="0"/>
              <w:adjustRightInd w:val="0"/>
              <w:snapToGrid w:val="0"/>
              <w:spacing w:line="400" w:lineRule="exact"/>
              <w:jc w:val="center"/>
              <w:rPr>
                <w:rFonts w:hint="eastAsia" w:ascii="黑体" w:hAnsi="黑体" w:eastAsia="黑体" w:cs="黑体"/>
                <w:b/>
                <w:bCs/>
                <w:lang w:bidi="ar-SA"/>
              </w:rPr>
            </w:pPr>
            <w:r>
              <w:rPr>
                <w:rFonts w:hint="eastAsia" w:ascii="黑体" w:hAnsi="黑体" w:eastAsia="黑体" w:cs="黑体"/>
                <w:lang w:bidi="ar-SA"/>
              </w:rPr>
              <w:t>节能环保要求</w:t>
            </w:r>
          </w:p>
        </w:tc>
        <w:tc>
          <w:tcPr>
            <w:tcW w:w="6800" w:type="dxa"/>
            <w:tcBorders>
              <w:top w:val="single" w:color="auto" w:sz="4" w:space="0"/>
              <w:left w:val="nil"/>
              <w:bottom w:val="single" w:color="auto" w:sz="4" w:space="0"/>
              <w:right w:val="single" w:color="auto" w:sz="4" w:space="0"/>
            </w:tcBorders>
            <w:noWrap w:val="0"/>
            <w:vAlign w:val="center"/>
          </w:tcPr>
          <w:p w14:paraId="1DF9D87C">
            <w:pPr>
              <w:autoSpaceDE w:val="0"/>
              <w:autoSpaceDN w:val="0"/>
              <w:adjustRightInd w:val="0"/>
              <w:snapToGrid w:val="0"/>
              <w:spacing w:line="360" w:lineRule="auto"/>
              <w:rPr>
                <w:rFonts w:hint="eastAsia" w:ascii="黑体" w:hAnsi="黑体" w:eastAsia="黑体" w:cs="黑体"/>
                <w:b/>
                <w:lang w:bidi="ar-SA"/>
              </w:rPr>
            </w:pPr>
            <w:r>
              <w:rPr>
                <w:rFonts w:hint="eastAsia" w:ascii="黑体" w:hAnsi="黑体" w:eastAsia="黑体" w:cs="黑体"/>
                <w:lang w:bidi="ar-SA"/>
              </w:rPr>
              <w:t>执行《财政部发展改革委生态环境部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 录的公告（2019年第16号），本次投标产品属于政府强制招标产品的，须提供国家确定的认证机构出具的、处于有效期之内的节能产品认证证书， 否则投标无效；属于政府优先采购产品的，须提供国家确定的认证机构出具的、处于有效期之内的节能产品、环境标志产品认证证书，否则不予认定。</w:t>
            </w:r>
          </w:p>
        </w:tc>
      </w:tr>
      <w:tr w14:paraId="5D86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4422DE08">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30</w:t>
            </w:r>
          </w:p>
        </w:tc>
        <w:tc>
          <w:tcPr>
            <w:tcW w:w="1983" w:type="dxa"/>
            <w:tcBorders>
              <w:top w:val="single" w:color="auto" w:sz="4" w:space="0"/>
              <w:left w:val="single" w:color="auto" w:sz="4" w:space="0"/>
              <w:bottom w:val="single" w:color="auto" w:sz="4" w:space="0"/>
              <w:right w:val="single" w:color="auto" w:sz="4" w:space="0"/>
            </w:tcBorders>
            <w:noWrap w:val="0"/>
            <w:vAlign w:val="center"/>
          </w:tcPr>
          <w:p w14:paraId="61CB5B0B">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val="zh-CN" w:eastAsia="zh-CN" w:bidi="ar-SA"/>
              </w:rPr>
              <w:t>网络关键设备、</w:t>
            </w:r>
            <w:bookmarkStart w:id="3" w:name="突出显示"/>
            <w:bookmarkStart w:id="4" w:name="突出显示"/>
            <w:r>
              <w:rPr>
                <w:rFonts w:hint="eastAsia" w:ascii="黑体" w:hAnsi="黑体" w:eastAsia="黑体" w:cs="黑体"/>
                <w:lang w:val="zh-CN" w:eastAsia="zh-CN" w:bidi="ar-SA"/>
              </w:rPr>
              <w:t>网络安全</w:t>
            </w:r>
            <w:bookmarkEnd w:id="3"/>
            <w:bookmarkEnd w:id="4"/>
            <w:r>
              <w:rPr>
                <w:rFonts w:hint="eastAsia" w:ascii="黑体" w:hAnsi="黑体" w:eastAsia="黑体" w:cs="黑体"/>
                <w:lang w:val="zh-CN" w:eastAsia="zh-CN" w:bidi="ar-SA"/>
              </w:rPr>
              <w:t>专用产品要求</w:t>
            </w:r>
          </w:p>
        </w:tc>
        <w:tc>
          <w:tcPr>
            <w:tcW w:w="6800" w:type="dxa"/>
            <w:tcBorders>
              <w:top w:val="single" w:color="auto" w:sz="4" w:space="0"/>
              <w:left w:val="single" w:color="auto" w:sz="4" w:space="0"/>
              <w:bottom w:val="single" w:color="auto" w:sz="4" w:space="0"/>
              <w:right w:val="single" w:color="auto" w:sz="4" w:space="0"/>
            </w:tcBorders>
            <w:noWrap w:val="0"/>
            <w:vAlign w:val="center"/>
          </w:tcPr>
          <w:p w14:paraId="7CE6D05D">
            <w:pPr>
              <w:numPr>
                <w:ilvl w:val="0"/>
                <w:numId w:val="16"/>
              </w:numPr>
              <w:autoSpaceDE w:val="0"/>
              <w:autoSpaceDN w:val="0"/>
              <w:adjustRightInd w:val="0"/>
              <w:snapToGrid w:val="0"/>
              <w:spacing w:line="360" w:lineRule="auto"/>
              <w:rPr>
                <w:rFonts w:hint="eastAsia" w:ascii="黑体" w:hAnsi="黑体" w:eastAsia="黑体" w:cs="黑体"/>
                <w:b/>
                <w:bCs/>
                <w:color w:val="auto"/>
                <w:lang w:val="zh-CN" w:eastAsia="zh-CN" w:bidi="ar-SA"/>
              </w:rPr>
            </w:pPr>
            <w:r>
              <w:rPr>
                <w:rFonts w:hint="eastAsia" w:ascii="黑体" w:hAnsi="黑体" w:eastAsia="黑体" w:cs="黑体"/>
                <w:b/>
                <w:bCs/>
                <w:color w:val="auto"/>
                <w:lang w:val="zh-CN" w:eastAsia="zh-CN" w:bidi="ar-SA"/>
              </w:rPr>
              <w:t>本项目网络关键设备</w:t>
            </w:r>
            <w:r>
              <w:rPr>
                <w:rFonts w:hint="eastAsia" w:ascii="黑体" w:hAnsi="黑体" w:eastAsia="黑体" w:cs="黑体"/>
                <w:b/>
                <w:bCs/>
                <w:color w:val="auto"/>
                <w:lang w:val="en-US" w:eastAsia="zh-CN" w:bidi="ar-SA"/>
              </w:rPr>
              <w:t>:</w:t>
            </w:r>
            <w:r>
              <w:rPr>
                <w:rFonts w:hint="eastAsia" w:ascii="黑体" w:hAnsi="黑体" w:eastAsia="黑体" w:cs="黑体"/>
                <w:b/>
                <w:bCs/>
                <w:color w:val="auto"/>
                <w:lang w:val="zh-CN" w:eastAsia="zh-CN" w:bidi="ar-SA"/>
              </w:rPr>
              <w:t>无</w:t>
            </w:r>
          </w:p>
          <w:p w14:paraId="29CA63D7">
            <w:pPr>
              <w:numPr>
                <w:ilvl w:val="0"/>
                <w:numId w:val="0"/>
              </w:num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t>2、本项目中涉及网络关键设备或</w:t>
            </w:r>
            <w:bookmarkStart w:id="5" w:name="突出显示"/>
            <w:bookmarkStart w:id="6" w:name="突出显示"/>
            <w:r>
              <w:rPr>
                <w:rFonts w:hint="eastAsia" w:ascii="黑体" w:hAnsi="黑体" w:eastAsia="黑体" w:cs="黑体"/>
                <w:lang w:val="zh-CN" w:eastAsia="zh-CN" w:bidi="ar-SA"/>
              </w:rPr>
              <w:t>网络安全</w:t>
            </w:r>
            <w:bookmarkEnd w:id="5"/>
            <w:bookmarkEnd w:id="6"/>
            <w:r>
              <w:rPr>
                <w:rFonts w:hint="eastAsia" w:ascii="黑体" w:hAnsi="黑体" w:eastAsia="黑体" w:cs="黑体"/>
                <w:lang w:val="zh-CN" w:eastAsia="zh-CN" w:bidi="ar-SA"/>
              </w:rPr>
              <w:t>专用产品的，执行国家互联网信息办公室、工业和信息化部、公安部和国家认证认可监督管理委员会 2023 年第 2 号《关于调整&lt;网络关键设备和</w:t>
            </w:r>
            <w:bookmarkStart w:id="7" w:name="突出显示"/>
            <w:bookmarkStart w:id="8" w:name="突出显示"/>
            <w:r>
              <w:rPr>
                <w:rFonts w:hint="eastAsia" w:ascii="黑体" w:hAnsi="黑体" w:eastAsia="黑体" w:cs="黑体"/>
                <w:lang w:val="zh-CN" w:eastAsia="zh-CN" w:bidi="ar-SA"/>
              </w:rPr>
              <w:t>网络安全</w:t>
            </w:r>
            <w:bookmarkEnd w:id="7"/>
            <w:bookmarkEnd w:id="8"/>
            <w:r>
              <w:rPr>
                <w:rFonts w:hint="eastAsia" w:ascii="黑体" w:hAnsi="黑体" w:eastAsia="黑体" w:cs="黑体"/>
                <w:lang w:val="zh-CN" w:eastAsia="zh-CN" w:bidi="ar-SA"/>
              </w:rPr>
              <w:t>专用产品目录&gt;的公告》及国家互联网信息办公室、工业和信息化部、公安部、财政部和国家认证认可监督管理委员会 2023 年第 1 号《关于调整</w:t>
            </w:r>
            <w:bookmarkStart w:id="9" w:name="突出显示"/>
            <w:bookmarkStart w:id="10" w:name="突出显示"/>
            <w:r>
              <w:rPr>
                <w:rFonts w:hint="eastAsia" w:ascii="黑体" w:hAnsi="黑体" w:eastAsia="黑体" w:cs="黑体"/>
                <w:lang w:val="zh-CN" w:eastAsia="zh-CN" w:bidi="ar-SA"/>
              </w:rPr>
              <w:t>网络安全</w:t>
            </w:r>
            <w:bookmarkEnd w:id="9"/>
            <w:bookmarkEnd w:id="10"/>
            <w:r>
              <w:rPr>
                <w:rFonts w:hint="eastAsia" w:ascii="黑体" w:hAnsi="黑体" w:eastAsia="黑体" w:cs="黑体"/>
                <w:lang w:val="zh-CN" w:eastAsia="zh-CN" w:bidi="ar-SA"/>
              </w:rPr>
              <w:t>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349F368E">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t>3、提供资料（下列资料任意一项）</w:t>
            </w:r>
          </w:p>
          <w:p w14:paraId="5CFB1C39">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1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①</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网络关键设备和</w:t>
            </w:r>
            <w:bookmarkStart w:id="11" w:name="突出显示"/>
            <w:bookmarkStart w:id="12" w:name="突出显示"/>
            <w:r>
              <w:rPr>
                <w:rFonts w:hint="eastAsia" w:ascii="黑体" w:hAnsi="黑体" w:eastAsia="黑体" w:cs="黑体"/>
                <w:lang w:val="zh-CN" w:eastAsia="zh-CN" w:bidi="ar-SA"/>
              </w:rPr>
              <w:t>网络安全</w:t>
            </w:r>
            <w:bookmarkEnd w:id="11"/>
            <w:bookmarkEnd w:id="12"/>
            <w:r>
              <w:rPr>
                <w:rFonts w:hint="eastAsia" w:ascii="黑体" w:hAnsi="黑体" w:eastAsia="黑体" w:cs="黑体"/>
                <w:lang w:val="zh-CN" w:eastAsia="zh-CN" w:bidi="ar-SA"/>
              </w:rPr>
              <w:t>专用产品安全认证证书；</w:t>
            </w:r>
          </w:p>
          <w:p w14:paraId="7011474C">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2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②</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网络关键设备安全检测证书、</w:t>
            </w:r>
            <w:bookmarkStart w:id="13" w:name="突出显示"/>
            <w:bookmarkStart w:id="14" w:name="突出显示"/>
            <w:r>
              <w:rPr>
                <w:rFonts w:hint="eastAsia" w:ascii="黑体" w:hAnsi="黑体" w:eastAsia="黑体" w:cs="黑体"/>
                <w:lang w:val="zh-CN" w:eastAsia="zh-CN" w:bidi="ar-SA"/>
              </w:rPr>
              <w:t>网络安全</w:t>
            </w:r>
            <w:bookmarkEnd w:id="13"/>
            <w:bookmarkEnd w:id="14"/>
            <w:r>
              <w:rPr>
                <w:rFonts w:hint="eastAsia" w:ascii="黑体" w:hAnsi="黑体" w:eastAsia="黑体" w:cs="黑体"/>
                <w:lang w:val="zh-CN" w:eastAsia="zh-CN" w:bidi="ar-SA"/>
              </w:rPr>
              <w:t>专用产品安全检测证书；</w:t>
            </w:r>
          </w:p>
          <w:p w14:paraId="3F94B3B6">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3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③</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计算机信息系统安全专用产品销售许可证；</w:t>
            </w:r>
          </w:p>
          <w:p w14:paraId="58F7DABA">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4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④</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中国网信网或工业和信息化部网站或公安部网站或国家认证认可监督管理委员会网站公布的认证、检测结果（提供公布安全认证、安全检测结果页面网址和安全认证、检测结果截图）。</w:t>
            </w:r>
          </w:p>
        </w:tc>
      </w:tr>
      <w:tr w14:paraId="2163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89" w:type="dxa"/>
            <w:gridSpan w:val="3"/>
            <w:tcBorders>
              <w:top w:val="single" w:color="auto" w:sz="4" w:space="0"/>
              <w:left w:val="single" w:color="auto" w:sz="4" w:space="0"/>
              <w:bottom w:val="single" w:color="auto" w:sz="4" w:space="0"/>
              <w:right w:val="single" w:color="auto" w:sz="4" w:space="0"/>
            </w:tcBorders>
            <w:noWrap w:val="0"/>
            <w:vAlign w:val="center"/>
          </w:tcPr>
          <w:p w14:paraId="7CBF0ACE">
            <w:pPr>
              <w:autoSpaceDE w:val="0"/>
              <w:autoSpaceDN w:val="0"/>
              <w:adjustRightInd w:val="0"/>
              <w:snapToGrid w:val="0"/>
              <w:spacing w:line="400" w:lineRule="exact"/>
              <w:rPr>
                <w:rFonts w:hint="eastAsia" w:ascii="黑体" w:hAnsi="黑体" w:eastAsia="黑体" w:cs="黑体"/>
                <w:lang w:val="zh-CN" w:eastAsia="zh-CN" w:bidi="ar-SA"/>
              </w:rPr>
            </w:pPr>
            <w:r>
              <w:rPr>
                <w:rFonts w:hint="eastAsia" w:ascii="黑体" w:hAnsi="黑体" w:eastAsia="黑体" w:cs="黑体"/>
                <w:position w:val="6"/>
                <w:lang w:bidi="ar-SA"/>
              </w:rPr>
              <w:t>未尽事宜，按国家有关规定执行。</w:t>
            </w:r>
          </w:p>
        </w:tc>
      </w:tr>
    </w:tbl>
    <w:p w14:paraId="6D040CF0">
      <w:pPr>
        <w:jc w:val="both"/>
        <w:rPr>
          <w:rFonts w:hint="eastAsia" w:ascii="宋体"/>
          <w:b/>
          <w:kern w:val="0"/>
          <w:sz w:val="28"/>
          <w:szCs w:val="28"/>
        </w:rPr>
      </w:pPr>
    </w:p>
    <w:p w14:paraId="00FAA6FC">
      <w:pPr>
        <w:jc w:val="center"/>
        <w:rPr>
          <w:rFonts w:hint="eastAsia" w:ascii="宋体"/>
          <w:b/>
          <w:kern w:val="0"/>
          <w:sz w:val="28"/>
          <w:szCs w:val="28"/>
        </w:rPr>
      </w:pPr>
      <w:r>
        <w:rPr>
          <w:rFonts w:hint="eastAsia" w:ascii="宋体"/>
          <w:b/>
          <w:kern w:val="0"/>
          <w:sz w:val="28"/>
          <w:szCs w:val="28"/>
        </w:rPr>
        <w:t>第四章 投标人须知</w:t>
      </w:r>
    </w:p>
    <w:p w14:paraId="4C5E2042">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一、概念释义</w:t>
      </w:r>
    </w:p>
    <w:p w14:paraId="4E556298">
      <w:pPr>
        <w:pStyle w:val="24"/>
        <w:autoSpaceDE w:val="0"/>
        <w:autoSpaceDN w:val="0"/>
        <w:spacing w:line="360" w:lineRule="auto"/>
        <w:contextualSpacing/>
        <w:rPr>
          <w:rFonts w:hint="eastAsia" w:ascii="宋体" w:cs="宋体"/>
          <w:b/>
          <w:kern w:val="0"/>
          <w:lang w:bidi="ar-SA"/>
        </w:rPr>
      </w:pPr>
      <w:r>
        <w:rPr>
          <w:rFonts w:hint="eastAsia" w:ascii="宋体" w:cs="宋体"/>
          <w:b/>
          <w:kern w:val="0"/>
          <w:lang w:bidi="ar-SA"/>
        </w:rPr>
        <w:t>1.  适用范围</w:t>
      </w:r>
    </w:p>
    <w:p w14:paraId="4EEA390A">
      <w:pPr>
        <w:pStyle w:val="24"/>
        <w:autoSpaceDE w:val="0"/>
        <w:autoSpaceDN w:val="0"/>
        <w:spacing w:line="360" w:lineRule="auto"/>
        <w:contextualSpacing/>
        <w:rPr>
          <w:rFonts w:hint="eastAsia" w:ascii="宋体" w:cs="宋体"/>
          <w:bCs/>
          <w:kern w:val="0"/>
          <w:lang w:bidi="ar-SA"/>
        </w:rPr>
      </w:pPr>
      <w:r>
        <w:rPr>
          <w:rFonts w:hint="eastAsia" w:ascii="宋体" w:cs="宋体"/>
          <w:bCs/>
          <w:kern w:val="0"/>
          <w:lang w:bidi="ar-SA"/>
        </w:rPr>
        <w:t>1.1  本招标文件仅适用于本次“投标邀请”中所述招标项目。</w:t>
      </w:r>
    </w:p>
    <w:p w14:paraId="2BA96B0B">
      <w:pPr>
        <w:pStyle w:val="24"/>
        <w:autoSpaceDE w:val="0"/>
        <w:autoSpaceDN w:val="0"/>
        <w:spacing w:line="360" w:lineRule="auto"/>
        <w:contextualSpacing/>
        <w:rPr>
          <w:rFonts w:hint="eastAsia" w:ascii="宋体" w:cs="宋体"/>
          <w:bCs/>
          <w:kern w:val="0"/>
          <w:lang w:bidi="ar-SA"/>
        </w:rPr>
      </w:pPr>
      <w:r>
        <w:rPr>
          <w:rFonts w:hint="eastAsia" w:ascii="宋体" w:cs="宋体"/>
          <w:bCs/>
          <w:kern w:val="0"/>
          <w:lang w:bidi="ar-SA"/>
        </w:rPr>
        <w:t>1.2  本招标文件解释权属于“投标邀请”所述的招标人。</w:t>
      </w:r>
    </w:p>
    <w:p w14:paraId="6EDDD37B">
      <w:pPr>
        <w:pStyle w:val="24"/>
        <w:autoSpaceDE w:val="0"/>
        <w:autoSpaceDN w:val="0"/>
        <w:spacing w:line="360" w:lineRule="auto"/>
        <w:contextualSpacing/>
        <w:rPr>
          <w:rFonts w:hint="eastAsia" w:ascii="宋体" w:cs="宋体"/>
          <w:b/>
          <w:kern w:val="0"/>
          <w:lang w:bidi="ar-SA"/>
        </w:rPr>
      </w:pPr>
      <w:r>
        <w:rPr>
          <w:rFonts w:hint="eastAsia" w:ascii="宋体" w:cs="宋体"/>
          <w:b/>
          <w:kern w:val="0"/>
          <w:lang w:bidi="ar-SA"/>
        </w:rPr>
        <w:t>2.  定义</w:t>
      </w:r>
    </w:p>
    <w:p w14:paraId="539540C2">
      <w:pPr>
        <w:pStyle w:val="24"/>
        <w:autoSpaceDE w:val="0"/>
        <w:autoSpaceDN w:val="0"/>
        <w:spacing w:line="360" w:lineRule="auto"/>
        <w:contextualSpacing/>
        <w:rPr>
          <w:rFonts w:hint="eastAsia" w:ascii="宋体" w:cs="宋体"/>
          <w:bCs/>
          <w:kern w:val="0"/>
          <w:lang w:bidi="ar-SA"/>
        </w:rPr>
      </w:pPr>
      <w:r>
        <w:rPr>
          <w:rFonts w:hint="eastAsia" w:ascii="宋体" w:cs="宋体"/>
          <w:bCs/>
          <w:kern w:val="0"/>
          <w:lang w:bidi="ar-SA"/>
        </w:rPr>
        <w:t>2.1  “招标项目”：“投标人须知前附表”中所述的招标项目。</w:t>
      </w:r>
    </w:p>
    <w:p w14:paraId="60B025A1">
      <w:pPr>
        <w:pStyle w:val="24"/>
        <w:autoSpaceDE w:val="0"/>
        <w:autoSpaceDN w:val="0"/>
        <w:spacing w:line="360" w:lineRule="auto"/>
        <w:contextualSpacing/>
        <w:rPr>
          <w:rFonts w:hint="eastAsia" w:ascii="宋体" w:cs="宋体"/>
          <w:bCs/>
          <w:kern w:val="0"/>
          <w:lang w:bidi="ar-SA"/>
        </w:rPr>
      </w:pPr>
      <w:r>
        <w:rPr>
          <w:rFonts w:hint="eastAsia" w:ascii="宋体" w:cs="宋体"/>
          <w:bCs/>
          <w:kern w:val="0"/>
          <w:lang w:bidi="ar-SA"/>
        </w:rPr>
        <w:t>2.2  “招标人”：“投标人须知前附表”中所述的组织本次招标的招标人。</w:t>
      </w:r>
    </w:p>
    <w:p w14:paraId="7A061EF5">
      <w:pPr>
        <w:pStyle w:val="24"/>
        <w:autoSpaceDE w:val="0"/>
        <w:autoSpaceDN w:val="0"/>
        <w:spacing w:line="360" w:lineRule="auto"/>
        <w:ind w:left="630" w:hanging="630" w:hangingChars="300"/>
        <w:contextualSpacing/>
        <w:jc w:val="left"/>
        <w:rPr>
          <w:rFonts w:hint="eastAsia" w:ascii="宋体" w:cs="宋体"/>
          <w:bCs/>
          <w:kern w:val="0"/>
          <w:lang w:bidi="ar-SA"/>
        </w:rPr>
      </w:pPr>
      <w:r>
        <w:rPr>
          <w:rFonts w:hint="eastAsia" w:ascii="宋体" w:cs="宋体"/>
          <w:bCs/>
          <w:kern w:val="0"/>
          <w:lang w:bidi="ar-SA"/>
        </w:rPr>
        <w:t>2.3  “招标人”：是指依法进行政府采购的国家机关、事业单位、团体组织。招标人名称、地址、电话、联系人见“投标人须知前附表”。</w:t>
      </w:r>
    </w:p>
    <w:p w14:paraId="25219D3F">
      <w:pPr>
        <w:pStyle w:val="24"/>
        <w:autoSpaceDE w:val="0"/>
        <w:autoSpaceDN w:val="0"/>
        <w:spacing w:line="360" w:lineRule="auto"/>
        <w:ind w:left="630" w:hanging="630" w:hangingChars="300"/>
        <w:contextualSpacing/>
        <w:jc w:val="left"/>
        <w:rPr>
          <w:rFonts w:hint="eastAsia" w:ascii="宋体" w:cs="宋体"/>
          <w:bCs/>
          <w:kern w:val="0"/>
          <w:lang w:bidi="ar-SA"/>
        </w:rPr>
      </w:pPr>
      <w:r>
        <w:rPr>
          <w:rFonts w:hint="eastAsia" w:ascii="宋体" w:cs="宋体"/>
          <w:bCs/>
          <w:kern w:val="0"/>
          <w:lang w:bidi="ar-SA"/>
        </w:rPr>
        <w:t>2.4  “代理机构”：接受招标人委托，代理招标项目的招标代理机构。代理机构名称、地址、电话、联系人见“投标人须知前附表”。</w:t>
      </w:r>
    </w:p>
    <w:p w14:paraId="28ACED0A">
      <w:pPr>
        <w:pStyle w:val="24"/>
        <w:autoSpaceDE w:val="0"/>
        <w:autoSpaceDN w:val="0"/>
        <w:spacing w:line="360" w:lineRule="auto"/>
        <w:ind w:left="718" w:leftChars="342" w:firstLine="0" w:firstLineChars="0"/>
        <w:contextualSpacing/>
        <w:jc w:val="left"/>
        <w:rPr>
          <w:rFonts w:hint="eastAsia" w:ascii="宋体" w:cs="宋体"/>
          <w:bCs/>
          <w:kern w:val="0"/>
          <w:lang w:bidi="ar-SA"/>
        </w:rPr>
      </w:pPr>
      <w:r>
        <w:rPr>
          <w:rFonts w:hint="eastAsia" w:ascii="宋体" w:cs="宋体"/>
          <w:bCs/>
          <w:kern w:val="0"/>
          <w:lang w:bidi="ar-SA"/>
        </w:rPr>
        <w:t>招标代理机构及其分支机构不得在所代理的招标项目中投标或者代理投标，不得为所代理的招标项目的投标人参加本项目提供投标咨询。</w:t>
      </w:r>
    </w:p>
    <w:p w14:paraId="3BB73DF6">
      <w:pPr>
        <w:pStyle w:val="24"/>
        <w:autoSpaceDE w:val="0"/>
        <w:autoSpaceDN w:val="0"/>
        <w:spacing w:line="360" w:lineRule="auto"/>
        <w:ind w:left="630" w:hanging="630" w:hangingChars="300"/>
        <w:contextualSpacing/>
        <w:jc w:val="left"/>
        <w:rPr>
          <w:rFonts w:hint="eastAsia" w:ascii="宋体" w:cs="宋体"/>
          <w:bCs/>
          <w:kern w:val="0"/>
          <w:lang w:bidi="ar-SA"/>
        </w:rPr>
      </w:pPr>
      <w:r>
        <w:rPr>
          <w:rFonts w:hint="eastAsia" w:ascii="宋体" w:cs="宋体"/>
          <w:bCs/>
          <w:kern w:val="0"/>
          <w:lang w:bidi="ar-SA"/>
        </w:rPr>
        <w:t>2.5  “潜在投标人”指符合《</w:t>
      </w:r>
      <w:r>
        <w:rPr>
          <w:rFonts w:hint="eastAsia" w:ascii="宋体" w:cs="宋体"/>
          <w:bCs/>
          <w:kern w:val="0"/>
          <w:lang w:eastAsia="zh-CN" w:bidi="ar-SA"/>
        </w:rPr>
        <w:t>中华人民共和国政府采购法</w:t>
      </w:r>
      <w:r>
        <w:rPr>
          <w:rFonts w:hint="eastAsia" w:ascii="宋体" w:cs="宋体"/>
          <w:bCs/>
          <w:kern w:val="0"/>
          <w:lang w:bidi="ar-SA"/>
        </w:rPr>
        <w:t>》及相关法律法规和本招标文件的各项规定，且按照本项目招标公告及招标文件规定的方式获取招标文件的法定代表人、其他组织或者自然人。</w:t>
      </w:r>
    </w:p>
    <w:p w14:paraId="020A02DD">
      <w:pPr>
        <w:pStyle w:val="24"/>
        <w:autoSpaceDE w:val="0"/>
        <w:autoSpaceDN w:val="0"/>
        <w:spacing w:line="360" w:lineRule="auto"/>
        <w:ind w:left="630" w:hanging="630" w:hangingChars="300"/>
        <w:contextualSpacing/>
        <w:jc w:val="left"/>
        <w:rPr>
          <w:rFonts w:hint="eastAsia" w:ascii="宋体" w:cs="宋体"/>
          <w:bCs/>
          <w:kern w:val="0"/>
          <w:lang w:bidi="ar-SA"/>
        </w:rPr>
      </w:pPr>
      <w:r>
        <w:rPr>
          <w:rFonts w:hint="eastAsia" w:ascii="宋体" w:cs="宋体"/>
          <w:bCs/>
          <w:kern w:val="0"/>
          <w:lang w:bidi="ar-SA"/>
        </w:rPr>
        <w:t>2.6  “投标人”：是指符合《</w:t>
      </w:r>
      <w:r>
        <w:rPr>
          <w:rFonts w:hint="eastAsia" w:ascii="宋体" w:cs="宋体"/>
          <w:bCs/>
          <w:kern w:val="0"/>
          <w:lang w:eastAsia="zh-CN" w:bidi="ar-SA"/>
        </w:rPr>
        <w:t>中华人民共和国政府采购法</w:t>
      </w:r>
      <w:r>
        <w:rPr>
          <w:rFonts w:hint="eastAsia" w:ascii="宋体" w:cs="宋体"/>
          <w:bCs/>
          <w:kern w:val="0"/>
          <w:lang w:bidi="ar-SA"/>
        </w:rPr>
        <w:t>》及相关法律法规和本招标文件的各项规定，响应招标、参加投标竞争，从招标人处按规定获取招标文件，并按照招标文件要求向招标人提交投标文件的法定代表人、其他组织或者自然人。</w:t>
      </w:r>
    </w:p>
    <w:p w14:paraId="35D0D27F">
      <w:pPr>
        <w:pStyle w:val="24"/>
        <w:autoSpaceDE w:val="0"/>
        <w:autoSpaceDN w:val="0"/>
        <w:spacing w:line="360" w:lineRule="auto"/>
        <w:ind w:left="630" w:hanging="630" w:hangingChars="300"/>
        <w:contextualSpacing/>
        <w:jc w:val="left"/>
        <w:rPr>
          <w:rFonts w:hint="eastAsia" w:ascii="宋体" w:cs="宋体"/>
          <w:bCs/>
          <w:kern w:val="0"/>
          <w:lang w:bidi="ar-SA"/>
        </w:rPr>
      </w:pPr>
      <w:r>
        <w:rPr>
          <w:rFonts w:hint="eastAsia" w:ascii="宋体" w:cs="宋体"/>
          <w:bCs/>
          <w:kern w:val="0"/>
          <w:lang w:bidi="ar-SA"/>
        </w:rPr>
        <w:t>2.7  “进口产品”：是指通过中国海关报关验放进入中国境内且产自关境外的产品，包括已经进入中国境内的进口产品。详见《政府采购进口产品管理办法》(财库[2007]119号)、《关于政府采购进口产品管理有关问题的通知》（财办库［2008］248 号）。</w:t>
      </w:r>
    </w:p>
    <w:p w14:paraId="47EA889A">
      <w:pPr>
        <w:pStyle w:val="24"/>
        <w:autoSpaceDE w:val="0"/>
        <w:autoSpaceDN w:val="0"/>
        <w:spacing w:line="360" w:lineRule="auto"/>
        <w:ind w:left="840" w:hanging="840" w:hangingChars="400"/>
        <w:contextualSpacing/>
        <w:jc w:val="left"/>
        <w:rPr>
          <w:rFonts w:hint="eastAsia" w:ascii="宋体" w:cs="宋体"/>
          <w:bCs/>
          <w:kern w:val="0"/>
          <w:lang w:bidi="ar-SA"/>
        </w:rPr>
      </w:pPr>
      <w:r>
        <w:rPr>
          <w:rFonts w:hint="eastAsia" w:ascii="宋体" w:cs="宋体"/>
          <w:bCs/>
          <w:kern w:val="0"/>
          <w:lang w:bidi="ar-SA"/>
        </w:rPr>
        <w:t>2.7.1   招标文件列明不允许或未列明允许进口产品参加投标的，均视为拒绝进口产品参加投标。</w:t>
      </w:r>
    </w:p>
    <w:p w14:paraId="43626715">
      <w:pPr>
        <w:pStyle w:val="24"/>
        <w:autoSpaceDE w:val="0"/>
        <w:autoSpaceDN w:val="0"/>
        <w:spacing w:line="360" w:lineRule="auto"/>
        <w:contextualSpacing/>
        <w:rPr>
          <w:rFonts w:hint="eastAsia" w:ascii="宋体" w:cs="宋体"/>
          <w:bCs/>
          <w:kern w:val="0"/>
          <w:lang w:bidi="ar-SA"/>
        </w:rPr>
      </w:pPr>
      <w:r>
        <w:rPr>
          <w:rFonts w:hint="eastAsia" w:ascii="宋体" w:cs="宋体"/>
          <w:bCs/>
          <w:kern w:val="0"/>
          <w:lang w:bidi="ar-SA"/>
        </w:rPr>
        <w:t>2.7.2 如招标文件中已说明，经财政部门审核同意，允许部分或全部产品招标进口                                                                                                                                                                     产品，投标人既可提供本国产品，也可以提供进口产品。</w:t>
      </w:r>
    </w:p>
    <w:p w14:paraId="572E2754">
      <w:pPr>
        <w:pStyle w:val="24"/>
        <w:autoSpaceDE w:val="0"/>
        <w:autoSpaceDN w:val="0"/>
        <w:spacing w:line="360" w:lineRule="auto"/>
        <w:contextualSpacing/>
        <w:rPr>
          <w:rFonts w:hint="eastAsia" w:ascii="宋体" w:cs="宋体"/>
          <w:bCs/>
          <w:kern w:val="0"/>
          <w:lang w:bidi="ar-SA"/>
        </w:rPr>
      </w:pPr>
      <w:r>
        <w:rPr>
          <w:rFonts w:hint="eastAsia" w:ascii="宋体" w:cs="宋体"/>
          <w:bCs/>
          <w:kern w:val="0"/>
          <w:lang w:bidi="ar-SA"/>
        </w:rPr>
        <w:t>2.8   招标文件中凡标有“</w:t>
      </w:r>
      <w:r>
        <w:rPr>
          <w:rFonts w:hint="eastAsia" w:ascii="宋体" w:hAnsi="宋体" w:eastAsia="宋体" w:cs="微软雅黑"/>
          <w:b/>
          <w:lang w:bidi="ar-SA"/>
        </w:rPr>
        <w:t>★</w:t>
      </w:r>
      <w:r>
        <w:rPr>
          <w:rFonts w:hint="eastAsia" w:ascii="宋体" w:cs="宋体"/>
          <w:bCs/>
          <w:kern w:val="0"/>
          <w:lang w:bidi="ar-SA"/>
        </w:rPr>
        <w:t>”的条款均系实质性要求条款。</w:t>
      </w:r>
    </w:p>
    <w:p w14:paraId="584653A5">
      <w:pPr>
        <w:pStyle w:val="24"/>
        <w:autoSpaceDE w:val="0"/>
        <w:autoSpaceDN w:val="0"/>
        <w:spacing w:line="360" w:lineRule="auto"/>
        <w:contextualSpacing/>
        <w:rPr>
          <w:rFonts w:hint="eastAsia" w:ascii="宋体" w:cs="宋体"/>
          <w:b/>
          <w:kern w:val="0"/>
          <w:lang w:bidi="ar-SA"/>
        </w:rPr>
      </w:pPr>
      <w:r>
        <w:rPr>
          <w:rFonts w:hint="eastAsia" w:ascii="宋体" w:cs="宋体"/>
          <w:b/>
          <w:kern w:val="0"/>
          <w:lang w:bidi="ar-SA"/>
        </w:rPr>
        <w:t>3、合格的投标人</w:t>
      </w:r>
    </w:p>
    <w:p w14:paraId="306ECECC">
      <w:pPr>
        <w:pStyle w:val="24"/>
        <w:autoSpaceDE w:val="0"/>
        <w:autoSpaceDN w:val="0"/>
        <w:spacing w:line="360" w:lineRule="auto"/>
        <w:ind w:firstLine="0" w:firstLineChars="0"/>
        <w:contextualSpacing/>
        <w:rPr>
          <w:rFonts w:hint="eastAsia" w:ascii="宋体" w:cs="宋体"/>
          <w:kern w:val="0"/>
          <w:lang w:bidi="ar-SA"/>
        </w:rPr>
      </w:pPr>
      <w:r>
        <w:rPr>
          <w:rFonts w:hint="eastAsia" w:ascii="宋体" w:cs="宋体"/>
          <w:kern w:val="0"/>
          <w:lang w:bidi="ar-SA"/>
        </w:rPr>
        <w:t>3.1  在中华人民共和国境内注册，具有本项目生产、制造、供应或实施能力符合、承认并承诺履行本招标文件各项规定的法定代表人、其他组织或者自然人。</w:t>
      </w:r>
    </w:p>
    <w:p w14:paraId="548A3E12">
      <w:pPr>
        <w:pStyle w:val="24"/>
        <w:autoSpaceDE w:val="0"/>
        <w:autoSpaceDN w:val="0"/>
        <w:spacing w:line="360" w:lineRule="auto"/>
        <w:ind w:left="420" w:hanging="420" w:hangingChars="200"/>
        <w:contextualSpacing/>
        <w:rPr>
          <w:rFonts w:hint="eastAsia" w:ascii="宋体" w:cs="宋体"/>
          <w:kern w:val="0"/>
          <w:lang w:bidi="ar-SA"/>
        </w:rPr>
      </w:pPr>
      <w:r>
        <w:rPr>
          <w:rFonts w:hint="eastAsia" w:ascii="宋体" w:cs="宋体"/>
          <w:kern w:val="0"/>
          <w:lang w:bidi="ar-SA"/>
        </w:rPr>
        <w:t>3.2  符合本项目“投标邀请”和“投标人须知前附表”中规定的合格投标人所必须具备的条件。</w:t>
      </w:r>
    </w:p>
    <w:p w14:paraId="02419DDD">
      <w:pPr>
        <w:pStyle w:val="24"/>
        <w:autoSpaceDE w:val="0"/>
        <w:autoSpaceDN w:val="0"/>
        <w:spacing w:line="360" w:lineRule="auto"/>
        <w:ind w:left="420" w:hanging="420" w:hangingChars="200"/>
        <w:contextualSpacing/>
        <w:rPr>
          <w:rFonts w:hint="eastAsia" w:ascii="宋体" w:cs="宋体"/>
          <w:kern w:val="0"/>
          <w:lang w:bidi="ar-SA"/>
        </w:rPr>
      </w:pPr>
      <w:r>
        <w:rPr>
          <w:rFonts w:hint="eastAsia" w:ascii="宋体" w:cs="宋体"/>
          <w:kern w:val="0"/>
          <w:lang w:bidi="ar-SA"/>
        </w:rPr>
        <w:t>3.3  按照财政部《关于在政府采购活动中查询及使用信用记录有关问题的通知》（财库〔2016〕125号）要求，政府采购活动中查询及使用投标人信用记录的</w:t>
      </w:r>
      <w:r>
        <w:rPr>
          <w:rFonts w:hint="eastAsia" w:ascii="宋体" w:cs="宋体"/>
          <w:kern w:val="0"/>
          <w:lang w:eastAsia="zh-CN" w:bidi="ar-SA"/>
        </w:rPr>
        <w:t>具体</w:t>
      </w:r>
      <w:r>
        <w:rPr>
          <w:rFonts w:hint="eastAsia" w:ascii="宋体" w:cs="宋体"/>
          <w:kern w:val="0"/>
          <w:lang w:bidi="ar-SA"/>
        </w:rPr>
        <w:t>要求为：投标人未被列入失信被执行人、税收违法黑名单、政府采购严重违法失信行为记录名单、严重违法失信社会组织名单</w:t>
      </w:r>
      <w:r>
        <w:rPr>
          <w:rFonts w:hint="eastAsia" w:ascii="宋体" w:cs="宋体"/>
          <w:kern w:val="0"/>
          <w:lang w:eastAsia="zh-CN" w:bidi="ar-SA"/>
        </w:rPr>
        <w:t>（以</w:t>
      </w:r>
      <w:r>
        <w:rPr>
          <w:rFonts w:hint="eastAsia" w:ascii="宋体" w:cs="宋体"/>
          <w:kern w:val="0"/>
          <w:lang w:bidi="ar-SA"/>
        </w:rPr>
        <w:t>联合体形式投标的，联合体成员存在不良信用记录，视同联合体存在不良信用记录）。</w:t>
      </w:r>
    </w:p>
    <w:p w14:paraId="14C1F748">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3.3.1  查询渠道：“信用中国”网站（www.creditchina.gov.cn）、“中国政府采购网”（ www.ccgp.gov.cn ） 、“ 中 国 社 会 组 织 政 务 服 务 平 台 ” 网 站（https://chinanpo.mca.gov.cn）；</w:t>
      </w:r>
    </w:p>
    <w:p w14:paraId="7F5B8875">
      <w:pPr>
        <w:pStyle w:val="24"/>
        <w:autoSpaceDE w:val="0"/>
        <w:autoSpaceDN w:val="0"/>
        <w:spacing w:line="360" w:lineRule="auto"/>
        <w:ind w:firstLine="0" w:firstLineChars="0"/>
        <w:contextualSpacing/>
        <w:rPr>
          <w:rFonts w:hint="eastAsia" w:ascii="宋体" w:cs="宋体"/>
          <w:kern w:val="0"/>
          <w:lang w:bidi="ar-SA"/>
        </w:rPr>
      </w:pPr>
      <w:r>
        <w:rPr>
          <w:rFonts w:hint="eastAsia" w:ascii="宋体" w:cs="宋体"/>
          <w:kern w:val="0"/>
          <w:lang w:bidi="ar-SA"/>
        </w:rPr>
        <w:t>3.3.2  截止时间：同投标截止时间；</w:t>
      </w:r>
    </w:p>
    <w:p w14:paraId="0D2AB2F1">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3.3.3  信用信息查询记录和证据留存具体方式：经招标人确认的查询结果网页截图作为查询记录和证据，与其他招标文件一并保存；</w:t>
      </w:r>
    </w:p>
    <w:p w14:paraId="6FF9A3E3">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3.3.4  信用信息的使用原则：经招标人认定的被列入失信被执行人、税收违法黑名单、政府采购严重违法失信行为记录名单的投标人、严重违法失信社会组织名单的社会组织，将拒绝其参与本次政府采购活动；</w:t>
      </w:r>
    </w:p>
    <w:p w14:paraId="36480BB3">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3.3.5  投标人无须提供信用记录查询结果网页截屏。投标人不良信用记录以招标人查询结果为准，招标人查询之后，网站信息发生的任何变更不再作为评审依据，投标人自行提供的与网站信息不一致的其他证明材料亦不作为评审依据。</w:t>
      </w:r>
    </w:p>
    <w:p w14:paraId="55EC3446">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3.4  单位负责人为同一人或者存在直接控股、管理关系的不同投标人，不得同时参加本项目投标。违反规定的，相关投标均无效。</w:t>
      </w:r>
    </w:p>
    <w:p w14:paraId="66467F78">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3.5  为招标项目提供整体设计、规范编制或者项目管理、监理、检测等服务的投标人，不得再参加该招标项目的其他采购活动。</w:t>
      </w:r>
    </w:p>
    <w:p w14:paraId="4347922A">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3.6  “投标邀请”和“投标人须知前附表”规定接受联合体投标的，除应符合本章第3.1项和3.2项要求外，还应遵守以下规定：</w:t>
      </w:r>
    </w:p>
    <w:p w14:paraId="4E132076">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3.6.1  在投标文件中向招标人提交联合体协议书，明确联合体各方承担的工作和义务；</w:t>
      </w:r>
    </w:p>
    <w:p w14:paraId="14BB90EE">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3.6.2  联合体中有同类资质的投标人按联合体分工承担相同工作的，应当按照资质等级较低的投标人确定资质等级；</w:t>
      </w:r>
    </w:p>
    <w:p w14:paraId="7E556144">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3.6.3  招标人根据招标项目的特殊要求规定投标人特定条件的，联合体各方中至少应当有一方符合招标规定的特定条件。</w:t>
      </w:r>
    </w:p>
    <w:p w14:paraId="696A785F">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3.6.4  联合体各方不得再单独参加或者与其他投标人另外组成联合体参加同一合同项下的政府采购活动。</w:t>
      </w:r>
    </w:p>
    <w:p w14:paraId="7F065407">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3.6.5  联合体各方应当共同与招标人签订招标合同，就招标合同约定的事项对招标人承担连带责任。</w:t>
      </w:r>
    </w:p>
    <w:p w14:paraId="7EBA3A4A">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 7  法律、行政法规规定的其他条件。</w:t>
      </w:r>
    </w:p>
    <w:p w14:paraId="174D1474">
      <w:pPr>
        <w:pStyle w:val="24"/>
        <w:autoSpaceDE w:val="0"/>
        <w:autoSpaceDN w:val="0"/>
        <w:spacing w:line="360" w:lineRule="auto"/>
        <w:contextualSpacing/>
        <w:rPr>
          <w:rFonts w:hint="eastAsia" w:ascii="宋体" w:cs="宋体"/>
          <w:b/>
          <w:kern w:val="0"/>
          <w:lang w:bidi="ar-SA"/>
        </w:rPr>
      </w:pPr>
      <w:r>
        <w:rPr>
          <w:rFonts w:hint="eastAsia" w:ascii="宋体" w:cs="宋体"/>
          <w:b/>
          <w:kern w:val="0"/>
          <w:lang w:bidi="ar-SA"/>
        </w:rPr>
        <w:t>4、合格的货物和服务</w:t>
      </w:r>
    </w:p>
    <w:p w14:paraId="1C8112D9">
      <w:pPr>
        <w:pStyle w:val="24"/>
        <w:autoSpaceDE w:val="0"/>
        <w:autoSpaceDN w:val="0"/>
        <w:spacing w:line="360" w:lineRule="auto"/>
        <w:ind w:left="420" w:hanging="420" w:hangingChars="200"/>
        <w:contextualSpacing/>
        <w:rPr>
          <w:rFonts w:hint="eastAsia" w:ascii="宋体" w:cs="宋体"/>
          <w:kern w:val="0"/>
          <w:lang w:bidi="ar-SA"/>
        </w:rPr>
      </w:pPr>
      <w:r>
        <w:rPr>
          <w:rFonts w:hint="eastAsia" w:ascii="宋体" w:cs="宋体"/>
          <w:kern w:val="0"/>
          <w:lang w:bidi="ar-SA"/>
        </w:rPr>
        <w:t>4.1  投标人提供的货物和服务应当符合招标文件的要求，并且其质量完全符合国家标准、行业标准或地方标准，均有标准的以高（严格）者为准。没有国家标准、行业标准和企业标准的，按照通常标准或者符合招标目的的特定标准确定。</w:t>
      </w:r>
    </w:p>
    <w:p w14:paraId="5A7934C2">
      <w:pPr>
        <w:pStyle w:val="24"/>
        <w:autoSpaceDE w:val="0"/>
        <w:autoSpaceDN w:val="0"/>
        <w:spacing w:line="360" w:lineRule="auto"/>
        <w:ind w:left="420" w:hanging="420" w:hangingChars="200"/>
        <w:contextualSpacing/>
        <w:rPr>
          <w:rFonts w:hint="eastAsia" w:ascii="宋体" w:cs="宋体"/>
          <w:kern w:val="0"/>
          <w:lang w:bidi="ar-SA"/>
        </w:rPr>
      </w:pPr>
      <w:r>
        <w:rPr>
          <w:rFonts w:hint="eastAsia" w:ascii="宋体" w:cs="宋体"/>
          <w:kern w:val="0"/>
          <w:lang w:bidi="ar-SA"/>
        </w:rPr>
        <w:t>4.2  投标人须承诺所提供的服务应当没有侵犯任何第三方的知识产权、技术秘密等合法权利。否则视为非实质性响应。</w:t>
      </w:r>
    </w:p>
    <w:p w14:paraId="77BA03F9">
      <w:pPr>
        <w:pStyle w:val="24"/>
        <w:autoSpaceDE w:val="0"/>
        <w:autoSpaceDN w:val="0"/>
        <w:spacing w:line="360" w:lineRule="auto"/>
        <w:ind w:left="420" w:hanging="420" w:hangingChars="200"/>
        <w:contextualSpacing/>
        <w:rPr>
          <w:rFonts w:hint="eastAsia" w:ascii="宋体" w:cs="宋体"/>
          <w:kern w:val="0"/>
          <w:lang w:bidi="ar-SA"/>
        </w:rPr>
      </w:pPr>
      <w:r>
        <w:rPr>
          <w:rFonts w:hint="eastAsia" w:ascii="宋体" w:cs="宋体"/>
          <w:kern w:val="0"/>
          <w:lang w:bidi="ar-SA"/>
        </w:rPr>
        <w:t>4.3  根据《财政部、发展改革委、生态环境部、市场监管总局关于调整优化节能产品、环境标志产品政府采购执行机制的通知》（财库〔2019〕9号）要求，采购属于政府强制采购产品的，该产品必须具有国家确定的认证机构出具的、处于有效期之内的节能产品认证证书，否则其投标将被拒绝。投标人不能提供超出此目录范畴外的替代品。</w:t>
      </w:r>
    </w:p>
    <w:p w14:paraId="54BEDB76">
      <w:pPr>
        <w:pStyle w:val="24"/>
        <w:autoSpaceDE w:val="0"/>
        <w:autoSpaceDN w:val="0"/>
        <w:spacing w:line="360" w:lineRule="auto"/>
        <w:ind w:left="420" w:hanging="420" w:hangingChars="200"/>
        <w:contextualSpacing/>
        <w:rPr>
          <w:rFonts w:hint="eastAsia" w:ascii="宋体" w:cs="宋体"/>
          <w:kern w:val="0"/>
          <w:lang w:bidi="ar-SA"/>
        </w:rPr>
      </w:pPr>
      <w:r>
        <w:rPr>
          <w:rFonts w:hint="eastAsia" w:ascii="宋体" w:cs="宋体"/>
          <w:kern w:val="0"/>
          <w:lang w:bidi="ar-SA"/>
        </w:rPr>
        <w:t>4.4  根据国家互联网信息办公室、工业和信息化部、公安部和国家认证认可监督管理委员会2023年第2号《关于调整&lt;网络关键设备和</w:t>
      </w:r>
      <w:bookmarkStart w:id="15" w:name="突出显示"/>
      <w:bookmarkStart w:id="16" w:name="突出显示"/>
      <w:r>
        <w:rPr>
          <w:rFonts w:hint="eastAsia" w:ascii="宋体" w:cs="宋体"/>
          <w:kern w:val="0"/>
          <w:lang w:bidi="ar-SA"/>
        </w:rPr>
        <w:t>网络安全</w:t>
      </w:r>
      <w:bookmarkEnd w:id="15"/>
      <w:bookmarkEnd w:id="16"/>
      <w:r>
        <w:rPr>
          <w:rFonts w:hint="eastAsia" w:ascii="宋体" w:cs="宋体"/>
          <w:kern w:val="0"/>
          <w:lang w:bidi="ar-SA"/>
        </w:rPr>
        <w:t>专用产品目录&gt;的公告》及国家互联网信息办公室、工业和信息化部、公安部、财政部和国家认证认可监督管理委员会2023 年第1号《关于调整</w:t>
      </w:r>
      <w:bookmarkStart w:id="17" w:name="突出显示"/>
      <w:bookmarkStart w:id="18" w:name="突出显示"/>
      <w:r>
        <w:rPr>
          <w:rFonts w:hint="eastAsia" w:ascii="宋体" w:cs="宋体"/>
          <w:kern w:val="0"/>
          <w:lang w:bidi="ar-SA"/>
        </w:rPr>
        <w:t>网络安全</w:t>
      </w:r>
      <w:bookmarkEnd w:id="17"/>
      <w:bookmarkEnd w:id="18"/>
      <w:r>
        <w:rPr>
          <w:rFonts w:hint="eastAsia" w:ascii="宋体" w:cs="宋体"/>
          <w:kern w:val="0"/>
          <w:lang w:bidi="ar-SA"/>
        </w:rPr>
        <w:t>专用产品安全管理有关事项的公告》等相关文件要求，项目中涉及网络关键设备或</w:t>
      </w:r>
      <w:bookmarkStart w:id="19" w:name="突出显示"/>
      <w:bookmarkStart w:id="20" w:name="突出显示"/>
      <w:r>
        <w:rPr>
          <w:rFonts w:hint="eastAsia" w:ascii="宋体" w:cs="宋体"/>
          <w:kern w:val="0"/>
          <w:lang w:bidi="ar-SA"/>
        </w:rPr>
        <w:t>网络安全</w:t>
      </w:r>
      <w:bookmarkEnd w:id="19"/>
      <w:bookmarkEnd w:id="20"/>
      <w:r>
        <w:rPr>
          <w:rFonts w:hint="eastAsia" w:ascii="宋体" w:cs="宋体"/>
          <w:kern w:val="0"/>
          <w:lang w:bidi="ar-SA"/>
        </w:rPr>
        <w:t>专用产品的，至少符合以下条件之一：一是由具备资格的机构安全认证合格或安全检测符合要求；二是已获得《计算机信息系统安全专用产品销售许可证》，且在有效期内。</w:t>
      </w:r>
    </w:p>
    <w:p w14:paraId="07039DD5">
      <w:pPr>
        <w:pStyle w:val="24"/>
        <w:autoSpaceDE w:val="0"/>
        <w:autoSpaceDN w:val="0"/>
        <w:spacing w:line="360" w:lineRule="auto"/>
        <w:contextualSpacing/>
        <w:rPr>
          <w:rFonts w:hint="eastAsia" w:ascii="宋体" w:cs="宋体"/>
          <w:b/>
          <w:kern w:val="0"/>
          <w:lang w:bidi="ar-SA"/>
        </w:rPr>
      </w:pPr>
      <w:r>
        <w:rPr>
          <w:rFonts w:hint="eastAsia" w:ascii="宋体" w:cs="宋体"/>
          <w:b/>
          <w:kern w:val="0"/>
          <w:lang w:bidi="ar-SA"/>
        </w:rPr>
        <w:t>5、投标费用</w:t>
      </w:r>
    </w:p>
    <w:p w14:paraId="6C9573F2">
      <w:pPr>
        <w:autoSpaceDE w:val="0"/>
        <w:autoSpaceDN w:val="0"/>
        <w:spacing w:line="360" w:lineRule="auto"/>
        <w:ind w:firstLine="315" w:firstLineChars="150"/>
        <w:contextualSpacing/>
        <w:rPr>
          <w:rFonts w:hint="eastAsia" w:ascii="宋体" w:cs="宋体"/>
          <w:kern w:val="0"/>
          <w:lang w:bidi="ar-SA"/>
        </w:rPr>
      </w:pPr>
      <w:r>
        <w:rPr>
          <w:rFonts w:hint="eastAsia" w:ascii="宋体" w:cs="宋体"/>
          <w:kern w:val="0"/>
          <w:lang w:bidi="ar-SA"/>
        </w:rPr>
        <w:t>不论招标的结果如何，投标人均应自行承担所有与招标有关的全部费用，招标人在任何情况下均无义务和责任承担这些费用。</w:t>
      </w:r>
    </w:p>
    <w:p w14:paraId="0D238EDD">
      <w:pPr>
        <w:pStyle w:val="24"/>
        <w:autoSpaceDE w:val="0"/>
        <w:autoSpaceDN w:val="0"/>
        <w:spacing w:line="360" w:lineRule="auto"/>
        <w:ind w:left="420" w:hanging="420" w:firstLineChars="0"/>
        <w:contextualSpacing/>
        <w:rPr>
          <w:rFonts w:hint="eastAsia" w:ascii="宋体" w:cs="宋体"/>
          <w:b/>
          <w:kern w:val="0"/>
          <w:lang w:bidi="ar-SA"/>
        </w:rPr>
      </w:pPr>
      <w:r>
        <w:rPr>
          <w:rFonts w:hint="eastAsia" w:ascii="宋体" w:cs="宋体"/>
          <w:b/>
          <w:kern w:val="0"/>
          <w:lang w:bidi="ar-SA"/>
        </w:rPr>
        <w:t>6、信息发布</w:t>
      </w:r>
    </w:p>
    <w:p w14:paraId="7F1F295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本招标项目需要公开的有关信息，包括招标公告、招标文件澄清或修改公告、中标公告以及延长投标文件提交截止时间等与采购活动有关的通知，招标人、招标代理机构均将通过在 《河南省政府采购网》和《全国公共资源交易平台（河南省·许昌市）》</w:t>
      </w:r>
      <w:r>
        <w:rPr>
          <w:rFonts w:hint="eastAsia" w:ascii="宋体" w:cs="宋体"/>
          <w:kern w:val="0"/>
          <w:lang w:eastAsia="zh-CN" w:bidi="ar-SA"/>
        </w:rPr>
        <w:t>《长葛市人民政府门户网站》</w:t>
      </w:r>
      <w:r>
        <w:rPr>
          <w:rFonts w:hint="eastAsia" w:ascii="宋体" w:cs="宋体"/>
          <w:kern w:val="0"/>
          <w:lang w:bidi="ar-SA"/>
        </w:rPr>
        <w:t>公开发布。投标人在参与本招标项目采购活动期间，请及时关注以上媒体上的相关信息，投标人因没有及时关注而未能如期获取相关信息，及因此所产生的一切后果和责任，由投标人自行承担，招标人在任何情况下均不对此承担任何责任。</w:t>
      </w:r>
    </w:p>
    <w:p w14:paraId="49DC95E3">
      <w:pPr>
        <w:pStyle w:val="24"/>
        <w:autoSpaceDE w:val="0"/>
        <w:autoSpaceDN w:val="0"/>
        <w:spacing w:line="360" w:lineRule="auto"/>
        <w:ind w:left="420" w:hanging="420" w:firstLineChars="0"/>
        <w:contextualSpacing/>
        <w:rPr>
          <w:rFonts w:hint="eastAsia" w:ascii="宋体" w:cs="宋体"/>
          <w:kern w:val="0"/>
          <w:lang w:bidi="ar-SA"/>
        </w:rPr>
      </w:pPr>
      <w:r>
        <w:rPr>
          <w:rFonts w:hint="eastAsia" w:ascii="宋体" w:cs="宋体"/>
          <w:kern w:val="0"/>
          <w:lang w:bidi="ar-SA"/>
        </w:rPr>
        <w:t>7</w:t>
      </w:r>
      <w:r>
        <w:rPr>
          <w:rFonts w:hint="eastAsia" w:ascii="宋体" w:cs="宋体"/>
          <w:b/>
          <w:kern w:val="0"/>
          <w:lang w:bidi="ar-SA"/>
        </w:rPr>
        <w:t>、代理费用</w:t>
      </w:r>
      <w:r>
        <w:rPr>
          <w:rFonts w:hint="eastAsia" w:ascii="宋体" w:cs="宋体"/>
          <w:kern w:val="0"/>
          <w:lang w:bidi="ar-SA"/>
        </w:rPr>
        <w:t>：</w:t>
      </w:r>
      <w:r>
        <w:rPr>
          <w:rFonts w:hint="eastAsia" w:ascii="宋体" w:cs="宋体"/>
          <w:b/>
          <w:bCs/>
          <w:kern w:val="0"/>
          <w:lang w:bidi="ar-SA"/>
        </w:rPr>
        <w:t>不收取。</w:t>
      </w:r>
    </w:p>
    <w:p w14:paraId="01FC8460">
      <w:pPr>
        <w:pStyle w:val="24"/>
        <w:autoSpaceDE w:val="0"/>
        <w:autoSpaceDN w:val="0"/>
        <w:spacing w:line="360" w:lineRule="auto"/>
        <w:ind w:left="420" w:hanging="420" w:firstLineChars="0"/>
        <w:contextualSpacing/>
        <w:rPr>
          <w:rFonts w:hint="eastAsia" w:ascii="宋体" w:cs="宋体"/>
          <w:b/>
          <w:kern w:val="0"/>
          <w:lang w:bidi="ar-SA"/>
        </w:rPr>
      </w:pPr>
      <w:r>
        <w:rPr>
          <w:rFonts w:hint="eastAsia" w:ascii="宋体" w:cs="宋体"/>
          <w:b/>
          <w:kern w:val="0"/>
          <w:lang w:bidi="ar-SA"/>
        </w:rPr>
        <w:t>8、其他</w:t>
      </w:r>
    </w:p>
    <w:p w14:paraId="4AC1D73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本“投标人须知”的条款如与“投标邀请”、“项目需求”、“投标人须知前附表”和“资格审查与评</w:t>
      </w:r>
      <w:r>
        <w:rPr>
          <w:rFonts w:hint="eastAsia" w:ascii="宋体" w:cs="宋体"/>
          <w:kern w:val="0"/>
          <w:lang w:eastAsia="zh-CN" w:bidi="ar-SA"/>
        </w:rPr>
        <w:t>标</w:t>
      </w:r>
      <w:r>
        <w:rPr>
          <w:rFonts w:hint="eastAsia" w:ascii="宋体" w:cs="宋体"/>
          <w:kern w:val="0"/>
          <w:lang w:bidi="ar-SA"/>
        </w:rPr>
        <w:t>”就同一内容的表述不一致的，以“投标邀请”、“ 项目需求”、 “投标人须知前附表”和“资格审查与评</w:t>
      </w:r>
      <w:r>
        <w:rPr>
          <w:rFonts w:hint="eastAsia" w:ascii="宋体" w:cs="宋体"/>
          <w:kern w:val="0"/>
          <w:lang w:eastAsia="zh-CN" w:bidi="ar-SA"/>
        </w:rPr>
        <w:t>标</w:t>
      </w:r>
      <w:r>
        <w:rPr>
          <w:rFonts w:hint="eastAsia" w:ascii="宋体" w:cs="宋体"/>
          <w:kern w:val="0"/>
          <w:lang w:bidi="ar-SA"/>
        </w:rPr>
        <w:t>”中规定的内容为准。</w:t>
      </w:r>
    </w:p>
    <w:p w14:paraId="07B39C24"/>
    <w:p w14:paraId="7F014C3E">
      <w:pPr>
        <w:pStyle w:val="5"/>
      </w:pPr>
    </w:p>
    <w:p w14:paraId="18CDBA8F">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二、招标文件说明</w:t>
      </w:r>
    </w:p>
    <w:p w14:paraId="751FE22F">
      <w:pPr>
        <w:pStyle w:val="24"/>
        <w:autoSpaceDE w:val="0"/>
        <w:autoSpaceDN w:val="0"/>
        <w:spacing w:line="360" w:lineRule="auto"/>
        <w:ind w:left="420" w:hanging="420" w:firstLineChars="0"/>
        <w:contextualSpacing/>
        <w:rPr>
          <w:rFonts w:hint="eastAsia" w:ascii="宋体" w:cs="宋体"/>
          <w:b/>
          <w:kern w:val="0"/>
          <w:lang w:bidi="ar-SA"/>
        </w:rPr>
      </w:pPr>
      <w:r>
        <w:rPr>
          <w:rFonts w:hint="eastAsia" w:ascii="宋体" w:cs="宋体"/>
          <w:b/>
          <w:kern w:val="0"/>
          <w:lang w:bidi="ar-SA"/>
        </w:rPr>
        <w:t>9、招标文件构成</w:t>
      </w:r>
    </w:p>
    <w:p w14:paraId="63B56011">
      <w:pPr>
        <w:pStyle w:val="24"/>
        <w:numPr>
          <w:ilvl w:val="0"/>
          <w:numId w:val="17"/>
        </w:numPr>
        <w:autoSpaceDE w:val="0"/>
        <w:autoSpaceDN w:val="0"/>
        <w:spacing w:line="360" w:lineRule="auto"/>
        <w:ind w:firstLineChars="0"/>
        <w:contextualSpacing/>
        <w:rPr>
          <w:rFonts w:hint="eastAsia" w:ascii="宋体" w:cs="宋体"/>
          <w:kern w:val="0"/>
          <w:lang w:bidi="ar-SA"/>
        </w:rPr>
      </w:pPr>
      <w:r>
        <w:rPr>
          <w:rFonts w:hint="eastAsia" w:ascii="宋体" w:cs="宋体"/>
          <w:kern w:val="0"/>
          <w:lang w:bidi="ar-SA"/>
        </w:rPr>
        <w:t>招标文件由以下部分组成：</w:t>
      </w:r>
    </w:p>
    <w:p w14:paraId="4F955A43">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第一章 投标邀请</w:t>
      </w:r>
    </w:p>
    <w:p w14:paraId="18A570FE">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第二章 项目需求</w:t>
      </w:r>
    </w:p>
    <w:p w14:paraId="1163C7C1">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第三章 投标人须知前附表</w:t>
      </w:r>
    </w:p>
    <w:p w14:paraId="08062C09">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第四章 投标人须知</w:t>
      </w:r>
    </w:p>
    <w:p w14:paraId="1A2662AB">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第五章 政府采购政策功能</w:t>
      </w:r>
    </w:p>
    <w:p w14:paraId="0522D315">
      <w:pPr>
        <w:autoSpaceDE w:val="0"/>
        <w:autoSpaceDN w:val="0"/>
        <w:spacing w:line="360" w:lineRule="auto"/>
        <w:ind w:left="964"/>
        <w:contextualSpacing/>
        <w:rPr>
          <w:rFonts w:hint="eastAsia" w:ascii="宋体" w:eastAsia="宋体" w:cs="宋体"/>
          <w:kern w:val="0"/>
          <w:lang w:eastAsia="zh-CN" w:bidi="ar-SA"/>
        </w:rPr>
      </w:pPr>
      <w:r>
        <w:rPr>
          <w:rFonts w:hint="eastAsia" w:ascii="宋体" w:cs="宋体"/>
          <w:kern w:val="0"/>
          <w:lang w:bidi="ar-SA"/>
        </w:rPr>
        <w:t>第六章 资格审查与评</w:t>
      </w:r>
      <w:r>
        <w:rPr>
          <w:rFonts w:hint="eastAsia" w:ascii="宋体" w:cs="宋体"/>
          <w:kern w:val="0"/>
          <w:lang w:eastAsia="zh-CN" w:bidi="ar-SA"/>
        </w:rPr>
        <w:t>标</w:t>
      </w:r>
    </w:p>
    <w:p w14:paraId="58B17527">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第七章 拟签订的合同文本</w:t>
      </w:r>
    </w:p>
    <w:p w14:paraId="4156A419">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第八章 投标文件有关格式</w:t>
      </w:r>
    </w:p>
    <w:p w14:paraId="42F419EA">
      <w:pPr>
        <w:pStyle w:val="24"/>
        <w:autoSpaceDE w:val="0"/>
        <w:autoSpaceDN w:val="0"/>
        <w:spacing w:line="360" w:lineRule="auto"/>
        <w:contextualSpacing/>
        <w:rPr>
          <w:rFonts w:hint="eastAsia" w:ascii="宋体" w:cs="宋体"/>
          <w:kern w:val="0"/>
          <w:lang w:bidi="ar-SA"/>
        </w:rPr>
      </w:pPr>
      <w:r>
        <w:rPr>
          <w:rFonts w:hint="eastAsia" w:ascii="宋体" w:cs="宋体"/>
          <w:kern w:val="0"/>
          <w:lang w:bidi="ar-SA"/>
        </w:rPr>
        <w:t>9.2  投标人应认真阅读、并充分理解招标文件的全部内容（包括所有的补充、修改内容、重要事项、格式、条款和技术规范、参数及要求等），按招标文件要求和规定编制投标文件，并保证所提供的全部资料的真实性，否则有可能导致响应被拒绝，其风险由投标人自行承担。</w:t>
      </w:r>
    </w:p>
    <w:p w14:paraId="4F5E61B5">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9.3  投标人应认真了解本次招标的具体工作要求、工作范围以及职责，了解一切可能影响响应报价的资料。一经成交，不得以不完全了解项目要求、项目情况等为借口而提出额外补偿等要求，否则，由此引起的一切后果由成交投标人负责。</w:t>
      </w:r>
    </w:p>
    <w:p w14:paraId="20A0FE2D">
      <w:pPr>
        <w:autoSpaceDE w:val="0"/>
        <w:autoSpaceDN w:val="0"/>
        <w:spacing w:line="360" w:lineRule="auto"/>
        <w:ind w:left="420" w:hanging="420"/>
        <w:contextualSpacing/>
        <w:rPr>
          <w:rFonts w:hint="eastAsia" w:ascii="宋体" w:cs="宋体"/>
          <w:b/>
          <w:kern w:val="0"/>
          <w:lang w:bidi="ar-SA"/>
        </w:rPr>
      </w:pPr>
      <w:r>
        <w:rPr>
          <w:rFonts w:hint="eastAsia" w:ascii="宋体" w:cs="宋体"/>
          <w:b/>
          <w:kern w:val="0"/>
          <w:lang w:bidi="ar-SA"/>
        </w:rPr>
        <w:t>10、现场考察、开标前答疑会</w:t>
      </w:r>
    </w:p>
    <w:p w14:paraId="40F45F5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10.1 招标人根据招标项目的具体情况，可以在招标文件公告期满后，组织已获取招标文件的潜在投标人现场考察或者召开开标前答疑会。</w:t>
      </w:r>
    </w:p>
    <w:p w14:paraId="14C9275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招标人组织现场考察或者召开开标前答疑会的，所有投标人应按“投标人须知前附表”规定的时间、地点前往参加现场考察或者开标前答疑会。投标人如不参加，其风险由投标人自行承担，招标人不承担任何责任。</w:t>
      </w:r>
    </w:p>
    <w:p w14:paraId="533B563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10.2 招标人组织现场考察或者召开答疑会的，应当在招标文件中载明，或者在招标文件公告期满后在财政部门指定的政府采购信息发布媒体和《全国公共资源交易平台（河南省·许昌市）》发布更正公告。</w:t>
      </w:r>
    </w:p>
    <w:p w14:paraId="0CF1204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10.3 招标人在考察现场和开标前答疑会口头介绍的情况，除招标人事后形成书面记录、并以澄清或修改公告的形式发布、构成招标文件的组成部分以外，其他内容仅供投标人在编制投标文件时参考，招标人不对投标人据此作出的判断和决策负责。</w:t>
      </w:r>
    </w:p>
    <w:p w14:paraId="47065FF0">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10.4 现场考察及参加开标前答疑会所发生的费用及一切责任由投标人自行承担。</w:t>
      </w:r>
    </w:p>
    <w:p w14:paraId="1D8D65D1">
      <w:pPr>
        <w:pStyle w:val="24"/>
        <w:autoSpaceDE w:val="0"/>
        <w:autoSpaceDN w:val="0"/>
        <w:spacing w:line="360" w:lineRule="auto"/>
        <w:ind w:left="420" w:hanging="420" w:firstLineChars="0"/>
        <w:contextualSpacing/>
        <w:rPr>
          <w:rFonts w:hint="eastAsia" w:ascii="宋体" w:cs="宋体"/>
          <w:b/>
          <w:kern w:val="0"/>
          <w:lang w:bidi="ar-SA"/>
        </w:rPr>
      </w:pPr>
      <w:r>
        <w:rPr>
          <w:rFonts w:hint="eastAsia" w:ascii="宋体" w:cs="宋体"/>
          <w:b/>
          <w:kern w:val="0"/>
          <w:lang w:bidi="ar-SA"/>
        </w:rPr>
        <w:t>11、招标文件的澄清或修改</w:t>
      </w:r>
    </w:p>
    <w:p w14:paraId="6544F390">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11.1  在投标截止期前，无论出于何种原因，招标人可主动地或在解答投标人提出的澄清问题时对招标文件进行修改。</w:t>
      </w:r>
    </w:p>
    <w:p w14:paraId="68990C8C">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11.2  招标人可以对已发出的招标文件进行必要的澄清或者修改。澄清或者修改的内容可能影响投标文件编制的，招标人将在投标文件提交截止之日15日前，在财政部门指定的政府采购信息发布媒体和《全国公共资源交易平台（河南省·许昌市）》发布更正公告。</w:t>
      </w:r>
    </w:p>
    <w:p w14:paraId="246ADB8E">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11.3  澄清或修改公告的内容为招标文件的组成部分，并对投标人具有约束力。当招标文件与澄清或修改公告就同一内容的表述不一致时，以最后发出的文件内容为准。</w:t>
      </w:r>
    </w:p>
    <w:p w14:paraId="604A5A3A">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11.4  如果澄清或者修改发出的时间距规定的投标截止时间不足15日的，招标人将顺延提交投标文件的截止时间。</w:t>
      </w:r>
    </w:p>
    <w:p w14:paraId="10C47656"/>
    <w:p w14:paraId="34D37F16">
      <w:pPr>
        <w:rPr>
          <w:rFonts w:hint="eastAsia" w:ascii="宋体" w:cs="宋体"/>
          <w:kern w:val="0"/>
          <w:lang w:bidi="ar-SA"/>
        </w:rPr>
      </w:pPr>
    </w:p>
    <w:p w14:paraId="16222002">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三、投标文件的编制</w:t>
      </w:r>
    </w:p>
    <w:p w14:paraId="3E902B02">
      <w:pPr>
        <w:pStyle w:val="24"/>
        <w:autoSpaceDE w:val="0"/>
        <w:autoSpaceDN w:val="0"/>
        <w:spacing w:line="360" w:lineRule="auto"/>
        <w:ind w:left="420" w:hanging="420" w:firstLineChars="0"/>
        <w:contextualSpacing/>
        <w:rPr>
          <w:rFonts w:hint="eastAsia" w:ascii="宋体" w:cs="宋体"/>
          <w:b/>
          <w:kern w:val="0"/>
          <w:lang w:bidi="ar-SA"/>
        </w:rPr>
      </w:pPr>
      <w:r>
        <w:rPr>
          <w:rFonts w:hint="eastAsia" w:ascii="宋体" w:cs="宋体"/>
          <w:b/>
          <w:kern w:val="0"/>
          <w:lang w:bidi="ar-SA"/>
        </w:rPr>
        <w:t>12、投标文件的语言及计量单位</w:t>
      </w:r>
    </w:p>
    <w:p w14:paraId="4489525A">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12.1  投标人提交的投标文件以及投标人与招标人就有关招标事宜的所有来往书面文件均应使用中文。除签名、盖章、专用名称等特殊情形外，以中文以外的文字表述的投标文件视同未提供。</w:t>
      </w:r>
    </w:p>
    <w:p w14:paraId="3A88482E">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12.2  投标文件计量单位，招标文件已有明确规定的，使用招标文件规定的计量单位；招标文件没有规定的，一律采用中华人民共和国法定计量单位。</w:t>
      </w:r>
    </w:p>
    <w:p w14:paraId="0DD6133B">
      <w:pPr>
        <w:pStyle w:val="24"/>
        <w:autoSpaceDE w:val="0"/>
        <w:autoSpaceDN w:val="0"/>
        <w:spacing w:line="360" w:lineRule="auto"/>
        <w:ind w:left="420" w:hanging="420" w:firstLineChars="0"/>
        <w:contextualSpacing/>
        <w:rPr>
          <w:rFonts w:hint="eastAsia" w:ascii="宋体" w:cs="宋体"/>
          <w:b/>
          <w:kern w:val="0"/>
          <w:lang w:bidi="ar-SA"/>
        </w:rPr>
      </w:pPr>
      <w:r>
        <w:rPr>
          <w:rFonts w:hint="eastAsia" w:ascii="宋体" w:cs="宋体"/>
          <w:b/>
          <w:kern w:val="0"/>
          <w:lang w:bidi="ar-SA"/>
        </w:rPr>
        <w:t>13、报价</w:t>
      </w:r>
    </w:p>
    <w:p w14:paraId="00C308EF">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13.1  本次招标项目的报价均以人民币为计算单位。</w:t>
      </w:r>
    </w:p>
    <w:p w14:paraId="6F7C8F69">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13.2  招标人不得向投标人索要或者接受其给予的赠品、回扣或者与招标无关的其他商品、服务。</w:t>
      </w:r>
    </w:p>
    <w:p w14:paraId="6C8DC4DE">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13.3  投标人应对项目要求的全部内容进行报价，少报漏报将导致其投标为非实质性响应予以拒绝。</w:t>
      </w:r>
    </w:p>
    <w:p w14:paraId="1A69E1F9">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13.4  投标人应当按照国家相关规定，结合自身服务水平和承受能力进行报价。响应报价应是履行合同的最终价格，除“招标需求”中另有说明外，响应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14:paraId="67A35871">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13.5  本项目所涉及的运输、施工、安装、集成、调试、验收、备品和工具等费用均包含在响应报价中。</w:t>
      </w:r>
      <w:r>
        <w:rPr>
          <w:rFonts w:hint="eastAsia" w:ascii="宋体" w:cs="宋体"/>
          <w:lang w:bidi="ar-SA"/>
        </w:rPr>
        <w:t>中标人提供的设备经招标人</w:t>
      </w:r>
      <w:r>
        <w:rPr>
          <w:rFonts w:hint="eastAsia" w:ascii="宋体" w:cs="宋体"/>
          <w:lang w:eastAsia="zh-CN" w:bidi="ar-SA"/>
        </w:rPr>
        <w:t>验收</w:t>
      </w:r>
      <w:r>
        <w:rPr>
          <w:rFonts w:hint="eastAsia" w:ascii="宋体" w:cs="宋体"/>
          <w:lang w:bidi="ar-SA"/>
        </w:rPr>
        <w:t>，无质量问题后方可施工，承诺不因资金问题影响项目进度，否则为无效投标。</w:t>
      </w:r>
    </w:p>
    <w:p w14:paraId="5CE6E8B2">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13.6  本次招标不接受可选择或可调整的投标方案和报价，任何有选择的或可调整的投标方案和报价将被视为非实质性响应投标而作无效投标处理。</w:t>
      </w:r>
    </w:p>
    <w:p w14:paraId="2F91C085">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13.7  报价不得高于本项目预算金额，且不低于成本价。投标人的响应报价高于预算金额（项目控制金额上限）的，该投标人的投标文件将被视为非实质性响应予以拒绝。</w:t>
      </w:r>
    </w:p>
    <w:p w14:paraId="2E2E8ACD">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13.8  最低报价不能</w:t>
      </w:r>
      <w:r>
        <w:rPr>
          <w:rFonts w:hint="eastAsia" w:ascii="宋体" w:cs="宋体"/>
          <w:kern w:val="0"/>
          <w:lang w:eastAsia="zh-CN" w:bidi="ar-SA"/>
        </w:rPr>
        <w:t>作为</w:t>
      </w:r>
      <w:r>
        <w:rPr>
          <w:rFonts w:hint="eastAsia" w:ascii="宋体" w:cs="宋体"/>
          <w:kern w:val="0"/>
          <w:lang w:bidi="ar-SA"/>
        </w:rPr>
        <w:t>中标的保证。</w:t>
      </w:r>
    </w:p>
    <w:p w14:paraId="269F248D">
      <w:pPr>
        <w:pStyle w:val="24"/>
        <w:autoSpaceDE w:val="0"/>
        <w:autoSpaceDN w:val="0"/>
        <w:spacing w:line="360" w:lineRule="auto"/>
        <w:ind w:left="420" w:hanging="420" w:firstLineChars="0"/>
        <w:contextualSpacing/>
        <w:rPr>
          <w:rFonts w:hint="eastAsia" w:ascii="宋体" w:cs="宋体"/>
          <w:b/>
          <w:kern w:val="0"/>
          <w:lang w:bidi="ar-SA"/>
        </w:rPr>
      </w:pPr>
      <w:r>
        <w:rPr>
          <w:rFonts w:hint="eastAsia" w:ascii="宋体" w:cs="宋体"/>
          <w:b/>
          <w:kern w:val="0"/>
          <w:lang w:bidi="ar-SA"/>
        </w:rPr>
        <w:t>14、投标文件有效期</w:t>
      </w:r>
    </w:p>
    <w:p w14:paraId="62AEA653">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14.1  投标文件有效期从提交投标文件的截止之日起算。本项目投标文件有效期详见投标人须知前附表。投标文件中承诺的有效期应当不少于“投标人须知前附表”载明的投标文件有效期。投标文件有效期比招标文件规定短的属于非实质性响应，将被认定为无效投标。</w:t>
      </w:r>
    </w:p>
    <w:p w14:paraId="5133C768">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14.2  投标有效期内投标人撤销投标文件的，投标人将承担违背投标承诺函的责任追究。</w:t>
      </w:r>
    </w:p>
    <w:p w14:paraId="4444C48D">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14.3  特殊情况下，在原投标有效期截止之前，招标人可要求投标人延长投标有效期。这种要求与答复均应以书面形式提交。投标人可拒绝招标人的这种要求，但其投标在原投标有效期期满后将不再有效。同意延长投标有效期的投标人将不会被要求和允许修正其投标，而只会被要求相应地延长其投标承诺函的有效期。在这种情况下，有关投标人违背投标承诺的责任追究措施将在延长的有效期内继续有效。同意延期的投标人在原投标有效期内应享之权利及应负之责任也相应延续。</w:t>
      </w:r>
    </w:p>
    <w:p w14:paraId="1137B495">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14.4  中标投标人的投标文件作为项目合同的附件，其有效期至成交投标人全部合同义务履行完毕为止。</w:t>
      </w:r>
    </w:p>
    <w:p w14:paraId="17F9876E">
      <w:pPr>
        <w:pStyle w:val="24"/>
        <w:autoSpaceDE w:val="0"/>
        <w:autoSpaceDN w:val="0"/>
        <w:spacing w:line="360" w:lineRule="auto"/>
        <w:ind w:left="420" w:hanging="420" w:firstLineChars="0"/>
        <w:contextualSpacing/>
        <w:rPr>
          <w:rFonts w:hint="eastAsia" w:ascii="宋体" w:cs="宋体"/>
          <w:b/>
          <w:kern w:val="0"/>
          <w:lang w:bidi="ar-SA"/>
        </w:rPr>
      </w:pPr>
      <w:r>
        <w:rPr>
          <w:rFonts w:hint="eastAsia" w:ascii="宋体" w:cs="宋体"/>
          <w:b/>
          <w:kern w:val="0"/>
          <w:lang w:bidi="ar-SA"/>
        </w:rPr>
        <w:t>15、投标文件构成</w:t>
      </w:r>
    </w:p>
    <w:p w14:paraId="15DE0EA1">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15.1  投标文件的构成应符合法律法规及招标文件的要求。</w:t>
      </w:r>
    </w:p>
    <w:p w14:paraId="4D507827">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15.2  投标人应当按照招标文件的要求编制投标文件。投标文件应当对招标文件提出的要求和条件作出明确响应。</w:t>
      </w:r>
    </w:p>
    <w:p w14:paraId="2D58E786">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15.3  投标文件由资格证明材料、符合性证明材料、其它材料等组成。</w:t>
      </w:r>
    </w:p>
    <w:p w14:paraId="4877C478">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15.4  投标人根据招标文件的规定和招标项目的实际情况，拟在成交后将成交项目的非主体、非关键性工作分包的，应当在投标文件中载明分包承担主体，分包承担主体应当具备相应资质条件且不得再次分包。</w:t>
      </w:r>
    </w:p>
    <w:p w14:paraId="7261887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15.5  投标人登录《全国公共资源交易平台（河南省·许昌市）》（http://117.159.53.11:60632/）下载“新点投标文件制作软件（河南省版）”（在“投标人”登录页面右下方“投标文件制作工具下载”）制作电子投标文件，按所投标段招标文件的要求制作电子投标文件。一个标段对应生成2份电子投标文件（后缀格式为.XCSTF和.nXCSTF）,其中后缀格式为“.XCSTF”的加密电子投标文件用于上传至交易系统中投标，后缀格式为“.nXCSTF”的不加密电子投标文件用于查看投标文件内容或导出PDF格式投标文件。</w:t>
      </w:r>
    </w:p>
    <w:p w14:paraId="651683D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15.6  电子投标文件制作技术咨询：0374-2961598。</w:t>
      </w:r>
    </w:p>
    <w:p w14:paraId="4F34DDB9">
      <w:pPr>
        <w:pStyle w:val="24"/>
        <w:autoSpaceDE w:val="0"/>
        <w:autoSpaceDN w:val="0"/>
        <w:spacing w:line="360" w:lineRule="auto"/>
        <w:ind w:left="420" w:hanging="420" w:firstLineChars="0"/>
        <w:contextualSpacing/>
        <w:rPr>
          <w:rFonts w:hint="eastAsia" w:ascii="宋体" w:cs="宋体"/>
          <w:b/>
          <w:kern w:val="0"/>
          <w:lang w:bidi="ar-SA"/>
        </w:rPr>
      </w:pPr>
      <w:r>
        <w:rPr>
          <w:rFonts w:hint="eastAsia" w:ascii="宋体" w:cs="宋体"/>
          <w:b/>
          <w:kern w:val="0"/>
          <w:lang w:bidi="ar-SA"/>
        </w:rPr>
        <w:t>16、投标文件格式</w:t>
      </w:r>
    </w:p>
    <w:p w14:paraId="228D8E40">
      <w:pPr>
        <w:pStyle w:val="24"/>
        <w:autoSpaceDE w:val="0"/>
        <w:autoSpaceDN w:val="0"/>
        <w:spacing w:line="360" w:lineRule="auto"/>
        <w:contextualSpacing/>
        <w:rPr>
          <w:rFonts w:hint="eastAsia" w:ascii="宋体" w:cs="宋体"/>
          <w:kern w:val="0"/>
          <w:lang w:bidi="ar-SA"/>
        </w:rPr>
      </w:pPr>
      <w:r>
        <w:rPr>
          <w:rFonts w:hint="eastAsia" w:ascii="宋体" w:cs="宋体"/>
          <w:kern w:val="0"/>
          <w:lang w:bidi="ar-SA"/>
        </w:rPr>
        <w:t>16.1  为便于评审及规范统一，建议投标文件参照招标文件第八部分（投标文件有关格式）的内容要求、编排顺序和格式要求，以A4幅面编上的连贯页码，并在投标文件封面上注明：所投项目名称、项目编号、投标人名称、日期等字样。</w:t>
      </w:r>
    </w:p>
    <w:p w14:paraId="60656F21">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16.2  招标文件未提供标准格式的投标人可自行拟定。</w:t>
      </w:r>
    </w:p>
    <w:p w14:paraId="66064355">
      <w:pPr>
        <w:pStyle w:val="24"/>
        <w:autoSpaceDE w:val="0"/>
        <w:autoSpaceDN w:val="0"/>
        <w:spacing w:line="360" w:lineRule="auto"/>
        <w:ind w:left="420" w:hanging="420" w:firstLineChars="0"/>
        <w:contextualSpacing/>
        <w:rPr>
          <w:rFonts w:hint="eastAsia" w:ascii="宋体" w:cs="宋体"/>
          <w:b/>
          <w:kern w:val="0"/>
          <w:lang w:bidi="ar-SA"/>
        </w:rPr>
      </w:pPr>
      <w:r>
        <w:rPr>
          <w:rFonts w:hint="eastAsia" w:ascii="宋体" w:cs="宋体"/>
          <w:b/>
          <w:kern w:val="0"/>
          <w:lang w:bidi="ar-SA"/>
        </w:rPr>
        <w:t>17、投标保证金</w:t>
      </w:r>
    </w:p>
    <w:p w14:paraId="14A37E76">
      <w:pPr>
        <w:pStyle w:val="24"/>
        <w:autoSpaceDE w:val="0"/>
        <w:autoSpaceDN w:val="0"/>
        <w:spacing w:line="360" w:lineRule="auto"/>
        <w:ind w:left="426" w:leftChars="203" w:firstLine="0" w:firstLineChars="0"/>
        <w:contextualSpacing/>
        <w:rPr>
          <w:rFonts w:hint="eastAsia" w:ascii="宋体" w:cs="宋体"/>
          <w:bCs/>
          <w:kern w:val="0"/>
          <w:lang w:bidi="ar-SA"/>
        </w:rPr>
      </w:pPr>
      <w:r>
        <w:rPr>
          <w:rFonts w:hint="eastAsia" w:ascii="宋体" w:cs="宋体"/>
          <w:bCs/>
          <w:kern w:val="0"/>
          <w:lang w:bidi="ar-SA"/>
        </w:rPr>
        <w:t>17.1  本项目不收取投标保证金。</w:t>
      </w:r>
    </w:p>
    <w:p w14:paraId="230DB889">
      <w:pPr>
        <w:pStyle w:val="24"/>
        <w:autoSpaceDE w:val="0"/>
        <w:autoSpaceDN w:val="0"/>
        <w:spacing w:line="360" w:lineRule="auto"/>
        <w:ind w:left="426" w:leftChars="203" w:firstLine="0" w:firstLineChars="0"/>
        <w:contextualSpacing/>
        <w:rPr>
          <w:rFonts w:hint="eastAsia" w:ascii="宋体" w:cs="宋体"/>
          <w:bCs/>
          <w:kern w:val="0"/>
          <w:lang w:bidi="ar-SA"/>
        </w:rPr>
      </w:pPr>
      <w:r>
        <w:rPr>
          <w:rFonts w:hint="eastAsia" w:ascii="宋体" w:cs="宋体"/>
          <w:bCs/>
          <w:kern w:val="0"/>
          <w:lang w:bidi="ar-SA"/>
        </w:rPr>
        <w:t>17.2  投标人应提供投标承诺函。</w:t>
      </w:r>
    </w:p>
    <w:p w14:paraId="17B22D2A">
      <w:pPr>
        <w:pStyle w:val="24"/>
        <w:autoSpaceDE w:val="0"/>
        <w:autoSpaceDN w:val="0"/>
        <w:spacing w:line="360" w:lineRule="auto"/>
        <w:ind w:left="420" w:hanging="420" w:firstLineChars="0"/>
        <w:contextualSpacing/>
        <w:rPr>
          <w:rFonts w:hint="eastAsia" w:ascii="宋体" w:cs="宋体"/>
          <w:b/>
          <w:kern w:val="0"/>
          <w:lang w:bidi="ar-SA"/>
        </w:rPr>
      </w:pPr>
      <w:r>
        <w:rPr>
          <w:rFonts w:hint="eastAsia" w:ascii="宋体" w:cs="宋体"/>
          <w:b/>
          <w:kern w:val="0"/>
          <w:lang w:bidi="ar-SA"/>
        </w:rPr>
        <w:t>18、招标文件的数量和签署盖章</w:t>
      </w:r>
    </w:p>
    <w:p w14:paraId="0C8D87CD">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18.1投标人应提交投标文件份数见“投标人须知前附表”。</w:t>
      </w:r>
    </w:p>
    <w:p w14:paraId="70742BC7">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18.2在招标文件中已明示需盖章及签名之处，电子投标文件应按招标文件要求加盖投标人电子印章和法人电子印章或授权代表电子印章。</w:t>
      </w:r>
    </w:p>
    <w:p w14:paraId="1E7F8EC8">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四、投标文件的提交</w:t>
      </w:r>
    </w:p>
    <w:p w14:paraId="76D48902">
      <w:pPr>
        <w:autoSpaceDE w:val="0"/>
        <w:autoSpaceDN w:val="0"/>
        <w:spacing w:line="360" w:lineRule="auto"/>
        <w:contextualSpacing/>
        <w:rPr>
          <w:rFonts w:hint="eastAsia" w:ascii="宋体" w:cs="宋体"/>
          <w:b/>
          <w:kern w:val="0"/>
          <w:lang w:bidi="ar-SA"/>
        </w:rPr>
      </w:pPr>
      <w:r>
        <w:rPr>
          <w:rFonts w:hint="eastAsia" w:ascii="宋体" w:cs="宋体"/>
          <w:b/>
          <w:kern w:val="0"/>
          <w:lang w:bidi="ar-SA"/>
        </w:rPr>
        <w:t>19、投标截止时间</w:t>
      </w:r>
    </w:p>
    <w:p w14:paraId="3A43AA0A">
      <w:pPr>
        <w:autoSpaceDE w:val="0"/>
        <w:autoSpaceDN w:val="0"/>
        <w:spacing w:line="360" w:lineRule="auto"/>
        <w:contextualSpacing/>
        <w:rPr>
          <w:rFonts w:hint="eastAsia" w:ascii="宋体" w:cs="宋体"/>
          <w:kern w:val="0"/>
          <w:lang w:bidi="ar-SA"/>
        </w:rPr>
      </w:pPr>
      <w:r>
        <w:rPr>
          <w:rFonts w:hint="eastAsia" w:ascii="宋体" w:cs="宋体"/>
          <w:kern w:val="0"/>
          <w:lang w:bidi="ar-SA"/>
        </w:rPr>
        <w:t>19.1  投标人必须在“投标邀请”和“投标人须知前附表”中规定的投标截止时间前，将加密电子投标文件（后缀格式为.XCSTF）通过《全国公共资源交易平台（河南省·许昌市）》（http://117.159.53.11:60632/）许昌市公共资源电子交易系统成功上传。</w:t>
      </w:r>
    </w:p>
    <w:p w14:paraId="1E4522B3">
      <w:pPr>
        <w:autoSpaceDE w:val="0"/>
        <w:autoSpaceDN w:val="0"/>
        <w:spacing w:line="360" w:lineRule="auto"/>
        <w:contextualSpacing/>
        <w:rPr>
          <w:rFonts w:hint="eastAsia" w:ascii="宋体" w:cs="宋体"/>
          <w:kern w:val="0"/>
          <w:lang w:bidi="ar-SA"/>
        </w:rPr>
      </w:pPr>
      <w:r>
        <w:rPr>
          <w:rFonts w:hint="eastAsia" w:ascii="宋体" w:cs="宋体"/>
          <w:kern w:val="0"/>
          <w:lang w:bidi="ar-SA"/>
        </w:rPr>
        <w:t>19.2  招标人可以按本须知第14条规定，通过修改招标文件自行决定酌情延长投标截止期。在此情况下，招标人和投标人受投标截止期制约的所有权利和义务均应延长至新的截止日期和时间。投标人按招标人修改通知规定的时间提交投标文件。</w:t>
      </w:r>
    </w:p>
    <w:p w14:paraId="2F7C093C">
      <w:pPr>
        <w:autoSpaceDE w:val="0"/>
        <w:autoSpaceDN w:val="0"/>
        <w:spacing w:line="360" w:lineRule="auto"/>
        <w:contextualSpacing/>
        <w:rPr>
          <w:rFonts w:hint="eastAsia" w:ascii="宋体" w:cs="宋体"/>
          <w:b/>
          <w:kern w:val="0"/>
          <w:lang w:bidi="ar-SA"/>
        </w:rPr>
      </w:pPr>
      <w:r>
        <w:rPr>
          <w:rFonts w:hint="eastAsia" w:ascii="宋体" w:cs="宋体"/>
          <w:b/>
          <w:kern w:val="0"/>
          <w:lang w:bidi="ar-SA"/>
        </w:rPr>
        <w:t>20、迟交的投标文件</w:t>
      </w:r>
    </w:p>
    <w:p w14:paraId="79915F62">
      <w:pPr>
        <w:autoSpaceDE w:val="0"/>
        <w:autoSpaceDN w:val="0"/>
        <w:spacing w:line="360" w:lineRule="auto"/>
        <w:ind w:firstLine="315" w:firstLineChars="150"/>
        <w:contextualSpacing/>
        <w:rPr>
          <w:rFonts w:hint="eastAsia" w:ascii="宋体" w:cs="宋体"/>
          <w:kern w:val="0"/>
          <w:lang w:bidi="ar-SA"/>
        </w:rPr>
      </w:pPr>
      <w:r>
        <w:rPr>
          <w:rFonts w:hint="eastAsia" w:ascii="宋体" w:cs="宋体"/>
          <w:kern w:val="0"/>
          <w:lang w:bidi="ar-SA"/>
        </w:rPr>
        <w:t>投标截止时间之后上传的投标文件，招标人将拒绝接收。</w:t>
      </w:r>
    </w:p>
    <w:p w14:paraId="62DB0375">
      <w:pPr>
        <w:autoSpaceDE w:val="0"/>
        <w:autoSpaceDN w:val="0"/>
        <w:spacing w:line="360" w:lineRule="auto"/>
        <w:contextualSpacing/>
        <w:rPr>
          <w:rFonts w:hint="eastAsia" w:ascii="宋体" w:cs="宋体"/>
          <w:b/>
          <w:kern w:val="0"/>
          <w:lang w:bidi="ar-SA"/>
        </w:rPr>
      </w:pPr>
      <w:r>
        <w:rPr>
          <w:rFonts w:hint="eastAsia" w:ascii="宋体" w:cs="宋体"/>
          <w:b/>
          <w:kern w:val="0"/>
          <w:lang w:bidi="ar-SA"/>
        </w:rPr>
        <w:t>21、投标文件的修改和撤回</w:t>
      </w:r>
    </w:p>
    <w:p w14:paraId="3A92661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21.1 投标人在投标截止时间前，对投标文件进行补充、修改或者撤回的，须书面通知招标人。投标人应当在投标截止时间前完成电子投标文件的提交，可以补充、修改或撤回。投标截止时间前未完成电子投标文件提交的，视为撤回投标文件。</w:t>
      </w:r>
    </w:p>
    <w:p w14:paraId="6BB37EF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21.2 投标人补充、修改的内容并作为投标文件的组成部分。补充或修改应当按招标文件要求签署、盖章、提交，并应注明“修改”或“补充”字样。</w:t>
      </w:r>
    </w:p>
    <w:p w14:paraId="28F4C4A0">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21.3 投标人在提交投标文件后，可以撤回其投标，但投标人必须在规定的投标截止时间前以书面形式告知招标人。</w:t>
      </w:r>
    </w:p>
    <w:p w14:paraId="17ACE522">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21.4 投标人不得在投标有效期内撤销投标文件，否则投标人将承担违背投标承诺函的责任追究。</w:t>
      </w:r>
    </w:p>
    <w:p w14:paraId="6F27487B">
      <w:pPr>
        <w:autoSpaceDE w:val="0"/>
        <w:autoSpaceDN w:val="0"/>
        <w:spacing w:line="360" w:lineRule="auto"/>
        <w:contextualSpacing/>
      </w:pPr>
      <w:r>
        <w:rPr>
          <w:rFonts w:hint="eastAsia" w:ascii="宋体" w:cs="宋体"/>
          <w:b/>
          <w:kern w:val="0"/>
          <w:lang w:bidi="ar-SA"/>
        </w:rPr>
        <w:t>22、除投标人须知前附表另有规定外，投标人所提交的电子投标文件不予退还。</w:t>
      </w:r>
    </w:p>
    <w:p w14:paraId="52F7E27C">
      <w:pPr>
        <w:tabs>
          <w:tab w:val="left" w:pos="1260"/>
        </w:tabs>
        <w:autoSpaceDE w:val="0"/>
        <w:autoSpaceDN w:val="0"/>
        <w:spacing w:line="360" w:lineRule="auto"/>
        <w:jc w:val="center"/>
        <w:rPr>
          <w:rFonts w:hint="eastAsia" w:ascii="宋体" w:cs="宋体"/>
          <w:b/>
          <w:kern w:val="0"/>
          <w:lang w:bidi="ar-SA"/>
        </w:rPr>
      </w:pPr>
    </w:p>
    <w:p w14:paraId="29AF1CAA">
      <w:pPr>
        <w:tabs>
          <w:tab w:val="left" w:pos="1260"/>
        </w:tabs>
        <w:autoSpaceDE w:val="0"/>
        <w:autoSpaceDN w:val="0"/>
        <w:adjustRightInd w:val="0"/>
        <w:spacing w:line="360" w:lineRule="auto"/>
        <w:contextualSpacing/>
        <w:jc w:val="center"/>
        <w:rPr>
          <w:rFonts w:hint="eastAsia" w:ascii="宋体" w:cs="宋体"/>
          <w:b w:val="0"/>
          <w:bCs/>
          <w:kern w:val="0"/>
          <w:lang w:bidi="ar-SA"/>
        </w:rPr>
      </w:pPr>
      <w:r>
        <w:rPr>
          <w:rFonts w:hint="eastAsia" w:ascii="宋体" w:cs="宋体"/>
          <w:b w:val="0"/>
          <w:bCs/>
          <w:kern w:val="0"/>
          <w:lang w:bidi="ar-SA"/>
        </w:rPr>
        <w:t>五、开标和评标</w:t>
      </w:r>
    </w:p>
    <w:p w14:paraId="3549B71E">
      <w:pPr>
        <w:autoSpaceDE w:val="0"/>
        <w:autoSpaceDN w:val="0"/>
        <w:spacing w:line="360" w:lineRule="auto"/>
        <w:contextualSpacing/>
        <w:rPr>
          <w:rFonts w:hint="eastAsia" w:ascii="宋体" w:cs="宋体"/>
          <w:b/>
          <w:kern w:val="0"/>
          <w:lang w:bidi="ar-SA"/>
        </w:rPr>
      </w:pPr>
      <w:r>
        <w:rPr>
          <w:rFonts w:hint="eastAsia" w:ascii="宋体" w:cs="宋体"/>
          <w:b/>
          <w:kern w:val="0"/>
          <w:lang w:bidi="ar-SA"/>
        </w:rPr>
        <w:t>23、开标</w:t>
      </w:r>
    </w:p>
    <w:p w14:paraId="410D0CE5">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23.1</w:t>
      </w:r>
      <w:r>
        <w:rPr>
          <w:rStyle w:val="25"/>
          <w:rFonts w:hint="eastAsia" w:ascii="宋体"/>
        </w:rPr>
        <w:t xml:space="preserve"> </w:t>
      </w:r>
      <w:r>
        <w:rPr>
          <w:rStyle w:val="25"/>
          <w:rFonts w:hint="eastAsia" w:ascii="宋体"/>
          <w:lang w:val="zh-CN" w:eastAsia="zh-CN"/>
        </w:rPr>
        <w:t>招标人将按招标文件规定的时间和地点组织远程不见面开标。开标由代理机构主持，投标人无需到现场。评标委员会成员不得参加开标活动。</w:t>
      </w:r>
    </w:p>
    <w:p w14:paraId="76BE706C">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23.2</w:t>
      </w:r>
      <w:r>
        <w:rPr>
          <w:rStyle w:val="25"/>
          <w:rFonts w:hint="eastAsia" w:ascii="宋体"/>
        </w:rPr>
        <w:t xml:space="preserve"> </w:t>
      </w:r>
      <w:r>
        <w:rPr>
          <w:rStyle w:val="25"/>
          <w:rFonts w:hint="eastAsia" w:ascii="宋体"/>
          <w:lang w:val="zh-CN" w:eastAsia="zh-CN"/>
        </w:rPr>
        <w:t>招标人应当对开标、评标现场活动进行全程录音录像。录音录像应当清晰可辨，音像资料作为采购文件一并存档。</w:t>
      </w:r>
    </w:p>
    <w:p w14:paraId="331283D8">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23.3</w:t>
      </w:r>
      <w:r>
        <w:rPr>
          <w:rStyle w:val="25"/>
          <w:rFonts w:hint="eastAsia" w:ascii="宋体"/>
        </w:rPr>
        <w:t xml:space="preserve"> </w:t>
      </w:r>
      <w:r>
        <w:rPr>
          <w:rStyle w:val="25"/>
          <w:rFonts w:hint="eastAsia" w:ascii="宋体"/>
          <w:lang w:val="zh-CN" w:eastAsia="zh-CN"/>
        </w:rPr>
        <w:t>开标时，由代理机构开通网上开标大厅及开启“群聊”等功能；投标人进行电子投标文件的解密。</w:t>
      </w:r>
    </w:p>
    <w:p w14:paraId="333E3773">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23.3.1</w:t>
      </w:r>
      <w:r>
        <w:rPr>
          <w:rStyle w:val="25"/>
          <w:rFonts w:hint="eastAsia" w:ascii="宋体"/>
        </w:rPr>
        <w:t xml:space="preserve"> </w:t>
      </w:r>
      <w:r>
        <w:rPr>
          <w:rStyle w:val="25"/>
          <w:rFonts w:hint="eastAsia" w:ascii="宋体"/>
          <w:lang w:val="zh-CN" w:eastAsia="zh-CN"/>
        </w:rPr>
        <w:t>电子投标文件的解密：全流程电子化交易项目电子投标文件采用投标人一层加密。解密时由投标人进行一次解密即可。</w:t>
      </w:r>
    </w:p>
    <w:p w14:paraId="658FEF8F">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23.3.1.1</w:t>
      </w:r>
      <w:r>
        <w:rPr>
          <w:rStyle w:val="25"/>
          <w:rFonts w:hint="eastAsia" w:ascii="宋体"/>
        </w:rPr>
        <w:t xml:space="preserve"> </w:t>
      </w:r>
      <w:r>
        <w:rPr>
          <w:rStyle w:val="25"/>
          <w:rFonts w:hint="eastAsia" w:ascii="宋体"/>
          <w:lang w:val="zh-CN" w:eastAsia="zh-CN"/>
        </w:rPr>
        <w:t>投标人解密：投标人使用本单位CA数字证书远程进行解密。</w:t>
      </w:r>
    </w:p>
    <w:p w14:paraId="4FBBF163">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23.3.1.2</w:t>
      </w:r>
      <w:r>
        <w:rPr>
          <w:rStyle w:val="25"/>
          <w:rFonts w:hint="eastAsia" w:ascii="宋体"/>
        </w:rPr>
        <w:t xml:space="preserve"> </w:t>
      </w:r>
      <w:r>
        <w:rPr>
          <w:rStyle w:val="25"/>
          <w:rFonts w:hint="eastAsia" w:ascii="宋体"/>
          <w:lang w:val="zh-CN" w:eastAsia="zh-CN"/>
        </w:rPr>
        <w:t>因投标人原因电子投标文件解密失败的，其投标将被拒绝。</w:t>
      </w:r>
    </w:p>
    <w:p w14:paraId="74577905">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23.3.2</w:t>
      </w:r>
      <w:r>
        <w:rPr>
          <w:rStyle w:val="25"/>
          <w:rFonts w:hint="eastAsia" w:ascii="宋体"/>
        </w:rPr>
        <w:t xml:space="preserve"> </w:t>
      </w:r>
      <w:r>
        <w:rPr>
          <w:rStyle w:val="25"/>
          <w:rFonts w:hint="eastAsia" w:ascii="宋体"/>
          <w:lang w:val="zh-CN" w:eastAsia="zh-CN"/>
        </w:rPr>
        <w:t>投标人不足3家的，不得开标。</w:t>
      </w:r>
    </w:p>
    <w:p w14:paraId="3067DCFE">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23.3.3</w:t>
      </w:r>
      <w:r>
        <w:rPr>
          <w:rStyle w:val="25"/>
          <w:rFonts w:hint="eastAsia" w:ascii="宋体"/>
        </w:rPr>
        <w:t xml:space="preserve"> </w:t>
      </w:r>
      <w:r>
        <w:rPr>
          <w:rStyle w:val="25"/>
          <w:rFonts w:hint="eastAsia" w:ascii="宋体"/>
          <w:lang w:val="zh-CN" w:eastAsia="zh-CN"/>
        </w:rPr>
        <w:t>开标过程由采购代理机构负责记录，《开标情况记录表》经投标人进行电子签章后随采购文件一并存档。投标人未电子签章的，视同认可开标结果。</w:t>
      </w:r>
    </w:p>
    <w:p w14:paraId="3ABA14BB">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23.3.4</w:t>
      </w:r>
      <w:r>
        <w:rPr>
          <w:rStyle w:val="25"/>
          <w:rFonts w:hint="eastAsia" w:ascii="宋体"/>
        </w:rPr>
        <w:t xml:space="preserve"> </w:t>
      </w:r>
      <w:r>
        <w:rPr>
          <w:rStyle w:val="25"/>
          <w:rFonts w:hint="eastAsia" w:ascii="宋体"/>
          <w:lang w:val="zh-CN" w:eastAsia="zh-CN"/>
        </w:rPr>
        <w:t>投标人对开标过程和开标记录如有疑义，以及认为招标人、采购代理机构相关工作人员有需要回避的情形的，应通过网上开标大厅的“发起异议”功能在线提出</w:t>
      </w:r>
    </w:p>
    <w:p w14:paraId="6E7C0626">
      <w:pPr>
        <w:autoSpaceDE w:val="0"/>
        <w:autoSpaceDN w:val="0"/>
        <w:spacing w:line="360" w:lineRule="auto"/>
        <w:contextualSpacing/>
        <w:rPr>
          <w:rStyle w:val="25"/>
          <w:rFonts w:hint="eastAsia" w:ascii="宋体"/>
          <w:lang w:val="zh-CN" w:eastAsia="zh-CN"/>
        </w:rPr>
      </w:pPr>
      <w:r>
        <w:rPr>
          <w:rStyle w:val="25"/>
          <w:rFonts w:hint="eastAsia" w:ascii="宋体"/>
          <w:lang w:val="zh-CN" w:eastAsia="zh-CN"/>
        </w:rPr>
        <w:t>询问或者回避申请。招标人、采购代理机构对投标人代表提出的询问或者回避申请应当及时处理。</w:t>
      </w:r>
    </w:p>
    <w:p w14:paraId="04362210">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23.3.5</w:t>
      </w:r>
      <w:r>
        <w:rPr>
          <w:rStyle w:val="25"/>
          <w:rFonts w:hint="eastAsia" w:ascii="宋体"/>
        </w:rPr>
        <w:t xml:space="preserve"> </w:t>
      </w:r>
      <w:r>
        <w:rPr>
          <w:rStyle w:val="25"/>
          <w:rFonts w:hint="eastAsia" w:ascii="宋体"/>
          <w:lang w:val="zh-CN" w:eastAsia="zh-CN"/>
        </w:rPr>
        <w:t>项目远程不见面开标活动结束时，投标人应在《开标情况记录表》上进行电子签章。投标人未签章的，视同认可开标结果。</w:t>
      </w:r>
    </w:p>
    <w:p w14:paraId="145926D5">
      <w:pPr>
        <w:autoSpaceDE w:val="0"/>
        <w:autoSpaceDN w:val="0"/>
        <w:spacing w:line="360" w:lineRule="auto"/>
        <w:contextualSpacing/>
        <w:rPr>
          <w:rStyle w:val="25"/>
          <w:rFonts w:hint="eastAsia" w:ascii="宋体"/>
          <w:b/>
          <w:bCs/>
          <w:lang w:val="zh-CN" w:eastAsia="zh-CN"/>
        </w:rPr>
      </w:pPr>
      <w:r>
        <w:rPr>
          <w:rStyle w:val="25"/>
          <w:rFonts w:hint="eastAsia" w:ascii="宋体"/>
          <w:b/>
          <w:bCs/>
          <w:lang w:val="zh-CN" w:eastAsia="zh-CN"/>
        </w:rPr>
        <w:t>24. 资格审查</w:t>
      </w:r>
    </w:p>
    <w:p w14:paraId="67DED7E8">
      <w:pPr>
        <w:autoSpaceDE w:val="0"/>
        <w:autoSpaceDN w:val="0"/>
        <w:spacing w:line="360" w:lineRule="auto"/>
        <w:ind w:left="-420" w:leftChars="-200" w:right="-395" w:rightChars="-188" w:firstLine="840" w:firstLineChars="400"/>
        <w:contextualSpacing/>
        <w:rPr>
          <w:rStyle w:val="25"/>
          <w:rFonts w:hint="eastAsia" w:ascii="宋体"/>
          <w:lang w:val="zh-CN" w:eastAsia="zh-CN"/>
        </w:rPr>
      </w:pPr>
      <w:r>
        <w:rPr>
          <w:rStyle w:val="25"/>
          <w:rFonts w:hint="eastAsia" w:ascii="宋体"/>
          <w:lang w:val="zh-CN" w:eastAsia="zh-CN"/>
        </w:rPr>
        <w:t>开标结束后，采购人依法对投标人的资格进行审查。合格投标人不足3家的，不得评标。</w:t>
      </w:r>
    </w:p>
    <w:p w14:paraId="46901660">
      <w:pPr>
        <w:autoSpaceDE w:val="0"/>
        <w:autoSpaceDN w:val="0"/>
        <w:spacing w:line="360" w:lineRule="auto"/>
        <w:contextualSpacing/>
        <w:rPr>
          <w:rFonts w:hint="eastAsia" w:ascii="宋体" w:cs="宋体"/>
          <w:b/>
          <w:kern w:val="0"/>
          <w:lang w:bidi="ar-SA"/>
        </w:rPr>
      </w:pPr>
      <w:r>
        <w:rPr>
          <w:rFonts w:hint="eastAsia" w:ascii="宋体" w:cs="宋体"/>
          <w:b/>
          <w:kern w:val="0"/>
          <w:lang w:bidi="ar-SA"/>
        </w:rPr>
        <w:t>25、评标委员会的组成</w:t>
      </w:r>
    </w:p>
    <w:p w14:paraId="61CE14B2">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  招标人将依法组建评标委员会，评标委员会由招标人代表</w:t>
      </w:r>
      <w:r>
        <w:rPr>
          <w:rFonts w:hint="eastAsia" w:ascii="宋体" w:cs="宋体"/>
          <w:kern w:val="0"/>
          <w:lang w:val="en-US" w:eastAsia="zh-CN" w:bidi="ar-SA"/>
        </w:rPr>
        <w:t>1人</w:t>
      </w:r>
      <w:r>
        <w:rPr>
          <w:rFonts w:hint="eastAsia" w:ascii="宋体" w:cs="宋体"/>
          <w:kern w:val="0"/>
          <w:lang w:bidi="ar-SA"/>
        </w:rPr>
        <w:t>和评审专家</w:t>
      </w:r>
      <w:r>
        <w:rPr>
          <w:rFonts w:hint="eastAsia" w:ascii="宋体" w:cs="宋体"/>
          <w:kern w:val="0"/>
          <w:lang w:val="en-US" w:eastAsia="zh-CN" w:bidi="ar-SA"/>
        </w:rPr>
        <w:t>4人</w:t>
      </w:r>
      <w:r>
        <w:rPr>
          <w:rFonts w:hint="eastAsia" w:ascii="宋体" w:cs="宋体"/>
          <w:kern w:val="0"/>
          <w:lang w:bidi="ar-SA"/>
        </w:rPr>
        <w:t>组成，其中评审专家的人数不少于评标委员会成员总数的三分之二。评审专家依法从政府采购评审专家库中随机抽取。</w:t>
      </w:r>
    </w:p>
    <w:p w14:paraId="2100AFE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25.1.1  招标人将依法组建评标委员会，评标委员会由评审专家组成，成员人数应当为5人以上单数。评审专家依法从政府采购评审专家库中随机抽取。</w:t>
      </w:r>
    </w:p>
    <w:p w14:paraId="7A7D118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25.1.2  招标项目符合下列情形之一的，评标委员会成员人数应当为7人以上单数：</w:t>
      </w:r>
    </w:p>
    <w:p w14:paraId="4A01C1D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（1）招标预算金额在1000万元以上；</w:t>
      </w:r>
    </w:p>
    <w:p w14:paraId="77D4ACD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（2）技术复杂；</w:t>
      </w:r>
    </w:p>
    <w:p w14:paraId="1FAD9654">
      <w:pPr>
        <w:autoSpaceDE w:val="0"/>
        <w:autoSpaceDN w:val="0"/>
        <w:spacing w:line="360" w:lineRule="auto"/>
        <w:ind w:left="420" w:leftChars="200"/>
        <w:contextualSpacing/>
        <w:rPr>
          <w:rFonts w:hint="eastAsia" w:ascii="宋体" w:cs="宋体"/>
          <w:kern w:val="0"/>
          <w:lang w:bidi="ar-SA"/>
        </w:rPr>
      </w:pPr>
      <w:r>
        <w:rPr>
          <w:rFonts w:hint="eastAsia" w:ascii="宋体" w:cs="宋体"/>
          <w:kern w:val="0"/>
          <w:lang w:bidi="ar-SA"/>
        </w:rPr>
        <w:t>（3）社会影响较大。</w:t>
      </w:r>
    </w:p>
    <w:p w14:paraId="70531C0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25.1.3  评审专家对本单位的招标项目只能作为招标人代表参与评标。招标代理机构工作人员不得参加由本机构代理的政府采购项目的评标。</w:t>
      </w:r>
    </w:p>
    <w:p w14:paraId="4AEBB6E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25.1.4  评审专家与投标人存在下列利害关系之一的,应当回避:</w:t>
      </w:r>
    </w:p>
    <w:p w14:paraId="10A83FC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（1）参加采购活动前三年内,与投标人存在劳动关系,或者担任过投标人的董事、监事,或者是投标人的控股股东或实际控制人；</w:t>
      </w:r>
    </w:p>
    <w:p w14:paraId="5554BFC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（2）与投标人的法定代表人或者负责人有夫妻、直系血亲、三代以内旁系血亲或者近姻亲关系；</w:t>
      </w:r>
    </w:p>
    <w:p w14:paraId="7D169F30">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（3）与投标人有其他可能影响政府采购活动公平、公正进行的关系。</w:t>
      </w:r>
    </w:p>
    <w:p w14:paraId="21ADE17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25.1.5  评审专家发现本人与参加采购活动的投标人有利害关系的,应当主动提出回避。招标人或者代理机构发现评审专家与参加采购活动的投标人有利害关系的,应当要求其回避。</w:t>
      </w:r>
    </w:p>
    <w:p w14:paraId="121B4DC7">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25.1.6  招标人不得担任评标小组长。</w:t>
      </w:r>
    </w:p>
    <w:p w14:paraId="34B72D1F">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25.1.7  招标人可以在评标前说明项目背景和招标需求，说明内容不得含有歧视性、倾向性意见，不得超出招标文件所述范围。说明应当提交书面材料，并随招标文件一并存档。</w:t>
      </w:r>
    </w:p>
    <w:p w14:paraId="3B4EC301">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25.2  评标委员会成员名单在评标结果公告前应当保密。</w:t>
      </w:r>
    </w:p>
    <w:p w14:paraId="3F318B3F">
      <w:pPr>
        <w:autoSpaceDE w:val="0"/>
        <w:autoSpaceDN w:val="0"/>
        <w:spacing w:line="360" w:lineRule="auto"/>
        <w:contextualSpacing/>
        <w:rPr>
          <w:rFonts w:hint="eastAsia" w:ascii="宋体" w:cs="宋体"/>
          <w:b/>
          <w:kern w:val="0"/>
          <w:lang w:bidi="ar-SA"/>
        </w:rPr>
      </w:pPr>
      <w:r>
        <w:rPr>
          <w:rFonts w:hint="eastAsia" w:ascii="宋体" w:cs="宋体"/>
          <w:b/>
          <w:kern w:val="0"/>
          <w:lang w:bidi="ar-SA"/>
        </w:rPr>
        <w:t>26、符合性审查</w:t>
      </w:r>
    </w:p>
    <w:p w14:paraId="754854E3">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26.1  评标委员会依据有关法律法规和招标文件的规定，对符合资格的投标人的投标文件进行符合性审查，以确定其是否满足招标文件的实质性要求。</w:t>
      </w:r>
    </w:p>
    <w:p w14:paraId="48C6DC40">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26.2  审查、评价投标文件是否符合招标文件的商务、技术等实质性要求。</w:t>
      </w:r>
    </w:p>
    <w:p w14:paraId="180C8A1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26.3  可要求投标人对投标文件有关事项作出澄清或者说明。</w:t>
      </w:r>
    </w:p>
    <w:p w14:paraId="169F99A7">
      <w:pPr>
        <w:autoSpaceDE w:val="0"/>
        <w:autoSpaceDN w:val="0"/>
        <w:spacing w:line="360" w:lineRule="auto"/>
        <w:contextualSpacing/>
        <w:rPr>
          <w:rFonts w:hint="eastAsia" w:ascii="宋体" w:cs="宋体"/>
          <w:b/>
          <w:kern w:val="0"/>
          <w:lang w:bidi="ar-SA"/>
        </w:rPr>
      </w:pPr>
      <w:r>
        <w:rPr>
          <w:rFonts w:hint="eastAsia" w:ascii="宋体" w:cs="宋体"/>
          <w:b/>
          <w:kern w:val="0"/>
          <w:lang w:bidi="ar-SA"/>
        </w:rPr>
        <w:t>27、投标文件的澄清</w:t>
      </w:r>
    </w:p>
    <w:p w14:paraId="0F938FA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27.1  对于投标文件中含义不明确、同类问题表述不一致或者有明显文字和计算错误的内容，评标委员会应当以书面形式要求投标人作出必要的澄清、说明或者补正。</w:t>
      </w:r>
    </w:p>
    <w:p w14:paraId="677B782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27.2  投标人的澄清、说明或者补正应当采用书面形式，并加盖公章，或者由法定代表人或其授权的代表签字。投标人的澄清、说明或者补正不得超出投标文件的范围或者改变投标文件的实质性内容。</w:t>
      </w:r>
    </w:p>
    <w:p w14:paraId="4B23DA02">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27.3  投标人的澄清文件是其投标文件的组成部分。</w:t>
      </w:r>
    </w:p>
    <w:p w14:paraId="7C84A32F">
      <w:pPr>
        <w:autoSpaceDE w:val="0"/>
        <w:autoSpaceDN w:val="0"/>
        <w:spacing w:line="360" w:lineRule="auto"/>
        <w:contextualSpacing/>
        <w:rPr>
          <w:rFonts w:hint="eastAsia" w:ascii="宋体" w:cs="宋体"/>
          <w:b/>
          <w:kern w:val="0"/>
          <w:lang w:bidi="ar-SA"/>
        </w:rPr>
      </w:pPr>
      <w:r>
        <w:rPr>
          <w:rFonts w:hint="eastAsia" w:ascii="宋体" w:cs="宋体"/>
          <w:b/>
          <w:kern w:val="0"/>
          <w:lang w:bidi="ar-SA"/>
        </w:rPr>
        <w:t>28、投标文件报价出现前后不一致的修正</w:t>
      </w:r>
    </w:p>
    <w:p w14:paraId="157C0E1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（1）投标文件中开标一览表(报价表)内容与投标文件中相应内容不一致的，以开标一览表(报价表)为准；</w:t>
      </w:r>
    </w:p>
    <w:p w14:paraId="578045C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（2）大写金额和小写金额不一致的，以大写金额为准；</w:t>
      </w:r>
    </w:p>
    <w:p w14:paraId="3F9554C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 单价金额小数点或者百分比有明显错位的，以开标一览表的总价为准，并修改单价；</w:t>
      </w:r>
    </w:p>
    <w:p w14:paraId="65DC376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（4） 总价金额与按单价汇总金额不一致的，以单价金额计算结果为准。同时出现两种以上不一致的，按照前款规定的顺序修正。修正后的报价按照“投标人须知”27.2规定经投标人确认后产生约束力，投标人不确认的，其投标无效。</w:t>
      </w:r>
    </w:p>
    <w:p w14:paraId="4BBEC399">
      <w:pPr>
        <w:autoSpaceDE w:val="0"/>
        <w:autoSpaceDN w:val="0"/>
        <w:spacing w:line="360" w:lineRule="auto"/>
        <w:contextualSpacing/>
        <w:rPr>
          <w:rFonts w:hint="eastAsia" w:ascii="宋体" w:cs="宋体"/>
          <w:b/>
          <w:kern w:val="0"/>
          <w:lang w:bidi="ar-SA"/>
        </w:rPr>
      </w:pPr>
      <w:r>
        <w:rPr>
          <w:rFonts w:hint="eastAsia" w:ascii="宋体" w:cs="宋体"/>
          <w:b/>
          <w:kern w:val="0"/>
          <w:lang w:bidi="ar-SA"/>
        </w:rPr>
        <w:t>29、投标无效情形</w:t>
      </w:r>
    </w:p>
    <w:p w14:paraId="1BE3896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 投标文件属下列情况之一的，按照无效投标处理：</w:t>
      </w:r>
    </w:p>
    <w:p w14:paraId="12BBB1F0">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29.1.1 未按照招标文件的规定提交《长葛市政府采购供应商信用承诺函》的；</w:t>
      </w:r>
    </w:p>
    <w:p w14:paraId="7184A62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29.1.2 未按照招标文件的规定提交投标承诺函的；</w:t>
      </w:r>
    </w:p>
    <w:p w14:paraId="7197423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29.1.3 投标文件未按招标文件要求签署、盖章的；</w:t>
      </w:r>
    </w:p>
    <w:p w14:paraId="6180B6C3">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29.1.4 报价超过招标文件中规定的预算金额或者最高限价的；</w:t>
      </w:r>
    </w:p>
    <w:p w14:paraId="41FEF47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29.1.5 投标文件含有采购人不能接受的附加条件的。</w:t>
      </w:r>
    </w:p>
    <w:p w14:paraId="35075834">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 根据《河南省财政厅关于防范供应商串通投标促进政府采购公平竞争的通知》（豫财购﹝2021﹞6号）要求，参与同一个标段的供应商存在下列情形之一的，其投标文件无效：</w:t>
      </w:r>
    </w:p>
    <w:p w14:paraId="234EC50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29.2.1 不同供应商的电子投标文件上传计算机的网卡MAC地址、CPU序列号和硬盘序列号等硬件信息相同的；</w:t>
      </w:r>
    </w:p>
    <w:p w14:paraId="5F93620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29.2.2 不同供应商的投标文件由同一电子设备编制、打印加密或者上传；</w:t>
      </w:r>
    </w:p>
    <w:p w14:paraId="5004374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29.2.3 不同供应商的投标文件由同一电子设备打印、复印；</w:t>
      </w:r>
    </w:p>
    <w:p w14:paraId="652C5562">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29.2.4 不同供应商的投标文件由同一人送达或者分发，或者不同供应商联系人为同一人或不同联系人的联系电话一致的；</w:t>
      </w:r>
    </w:p>
    <w:p w14:paraId="108323B3">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29.2.5 不同供应商的投标文件的内容存在两处以上细节错误一致；</w:t>
      </w:r>
    </w:p>
    <w:p w14:paraId="7956EBA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29.2.6 不同供应商的法定代表人、委托代理人、项目经理、项目负责人等由同一个单位缴纳社会保险或者领取报酬的；</w:t>
      </w:r>
    </w:p>
    <w:p w14:paraId="2EFA98D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29.2.7 不同供应商投标文件中法定代表人或者负责人签字出自同一人之手；</w:t>
      </w:r>
    </w:p>
    <w:p w14:paraId="1E96D13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29.2.8 其它涉嫌串通的情形。</w:t>
      </w:r>
    </w:p>
    <w:p w14:paraId="56677E8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  有下列情形之一的，视为投标人串通投标，其投标无效：</w:t>
      </w:r>
    </w:p>
    <w:p w14:paraId="780B48A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29.3.1 不同投标人的投标文件由同一单位或者个人编制；</w:t>
      </w:r>
    </w:p>
    <w:p w14:paraId="15F1E51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29.3.2 不同投标人委托同一单位或者个人办理投标事宜；</w:t>
      </w:r>
    </w:p>
    <w:p w14:paraId="7D8C6574">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29.3.3 不同投标人的投标文件载明的项目管理成员或者联系人员为同一人；</w:t>
      </w:r>
    </w:p>
    <w:p w14:paraId="6BCB6094">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29.3.4 不同投标人的投标文件异常一致或者投标报价呈规律性差异；</w:t>
      </w:r>
    </w:p>
    <w:p w14:paraId="15949AF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29.3.5 不同投标人的投标文件相互混装。</w:t>
      </w:r>
    </w:p>
    <w:p w14:paraId="70AA134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29.4 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14:paraId="1BC997D0">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29.5 评标委员会认为投标人的报价明显低于其他通过符合性审查投标人的报价，有可能影响产品质量或者不能诚信履约的，应当要求其在评标期间合理的时间内提供书面说明，必要时提交相关证明材料；投标人不能证明其报价合理性的，评标委员会应当将其作为无效投标处理。</w:t>
      </w:r>
    </w:p>
    <w:p w14:paraId="7D480C5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29.6 按照《关于推进全流程电子化交易和在线监管工作有关问题的通知》（许公管办[2019]3号）规定，不同投标人电子投标文件的文件制作机器码(即许公管办[2019]3号文中的投标文件制作“硬件特征码”，其由网卡MAC地址、CPU序列号、硬盘序列号等组成，以下均称为“文件制作机器码”)均一致时，视为‘不同投标人的投标文件由同一单位或者个人编制’或‘不同投标人委托同一单位或者个人办理投标事宜’，其投标无效。</w:t>
      </w:r>
    </w:p>
    <w:p w14:paraId="029E26A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29.7 法律、法规和招标文件规定的其他无效情形。</w:t>
      </w:r>
    </w:p>
    <w:p w14:paraId="658B749D">
      <w:pPr>
        <w:autoSpaceDE w:val="0"/>
        <w:autoSpaceDN w:val="0"/>
        <w:spacing w:line="360" w:lineRule="auto"/>
        <w:contextualSpacing/>
        <w:rPr>
          <w:rFonts w:hint="eastAsia" w:ascii="宋体" w:cs="宋体"/>
          <w:b/>
          <w:kern w:val="0"/>
          <w:lang w:bidi="ar-SA"/>
        </w:rPr>
      </w:pPr>
      <w:r>
        <w:rPr>
          <w:rFonts w:hint="eastAsia" w:ascii="宋体" w:cs="宋体"/>
          <w:b/>
          <w:kern w:val="0"/>
          <w:lang w:bidi="ar-SA"/>
        </w:rPr>
        <w:t>30、相同品牌投标人的认定</w:t>
      </w:r>
      <w:r>
        <w:rPr>
          <w:rFonts w:hint="eastAsia" w:ascii="宋体" w:cs="仿宋_GB2312"/>
          <w:b/>
          <w:bCs/>
          <w:lang w:val="zh-CN" w:eastAsia="zh-CN" w:bidi="ar-SA"/>
        </w:rPr>
        <w:t>（服务类项目不适用本条款规定）</w:t>
      </w:r>
    </w:p>
    <w:p w14:paraId="56DED9A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30.1 采用最低评标价法的招标项目，提供相同品牌产品的不同投标人参加同一合同项下投标的，以其中通过资格审查、符合性审查且报价最低的参加评标；报价相同的，由招标人或者招标人委托评标委员会按照招标文件规定的方式确定一个参加评标的投标人，招标文件未规定的采取随机抽取方式确定，其他投标无效。</w:t>
      </w:r>
    </w:p>
    <w:p w14:paraId="388EF4B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30.2 使用综合评分法的招标项目，提供相同品牌产品且通过资格审查、符合性审查的不同投标人参加同一合同项下投标的，按一家投标人计算，评审后得分最高的同品牌投标人获得中标人推荐资格;评审得分相同的，由招标人或者招标人委托评标委员会按照招标文件规定的方式确定一个投标人获得中标人推荐资格，招标文件未规定的采取随机抽取方式确定，其他同品牌投标人不作为中标候选人。</w:t>
      </w:r>
    </w:p>
    <w:p w14:paraId="2FB023F8">
      <w:pPr>
        <w:autoSpaceDE w:val="0"/>
        <w:autoSpaceDN w:val="0"/>
        <w:spacing w:line="360" w:lineRule="auto"/>
        <w:contextualSpacing/>
        <w:rPr>
          <w:rFonts w:hint="eastAsia" w:ascii="宋体" w:cs="宋体"/>
          <w:b/>
          <w:kern w:val="0"/>
          <w:lang w:bidi="ar-SA"/>
        </w:rPr>
      </w:pPr>
      <w:r>
        <w:rPr>
          <w:rFonts w:hint="eastAsia" w:ascii="宋体" w:cs="宋体"/>
          <w:b/>
          <w:kern w:val="0"/>
          <w:lang w:bidi="ar-SA"/>
        </w:rPr>
        <w:t>31、投标文件的比较与评价</w:t>
      </w:r>
    </w:p>
    <w:p w14:paraId="5306A550">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评标委员会按照招标文件中规定的评标方法和标准，对符合性审查合格的投标文件进行商务和技术评估，综合比较与评价。</w:t>
      </w:r>
    </w:p>
    <w:p w14:paraId="32BF8499">
      <w:pPr>
        <w:autoSpaceDE w:val="0"/>
        <w:autoSpaceDN w:val="0"/>
        <w:spacing w:line="360" w:lineRule="auto"/>
        <w:contextualSpacing/>
        <w:rPr>
          <w:rFonts w:hint="eastAsia" w:ascii="宋体" w:cs="宋体"/>
          <w:b/>
          <w:kern w:val="0"/>
          <w:lang w:bidi="ar-SA"/>
        </w:rPr>
      </w:pPr>
      <w:r>
        <w:rPr>
          <w:rFonts w:hint="eastAsia" w:ascii="宋体" w:cs="宋体"/>
          <w:b/>
          <w:kern w:val="0"/>
          <w:lang w:bidi="ar-SA"/>
        </w:rPr>
        <w:t>32、评标方法、评标标准</w:t>
      </w:r>
    </w:p>
    <w:p w14:paraId="7A13B23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32.1 评标方法分为最低评标价法和综合评分法。</w:t>
      </w:r>
    </w:p>
    <w:p w14:paraId="420EF073">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（1）最低评标价法</w:t>
      </w:r>
    </w:p>
    <w:p w14:paraId="4F754CD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a. 最低评标价法，是指投标文件满足招标文件全部实质性要求，且投标报价最低的投标人为中标候选人的评标方法。</w:t>
      </w:r>
    </w:p>
    <w:p w14:paraId="291268D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b. 采用最低评标价法评标时，除了算术修正和落实政府采购政策需进行的价格扣除外，不能对投标人的投标价格进行任何调整。</w:t>
      </w:r>
    </w:p>
    <w:p w14:paraId="645D4BA2">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 综合评分法，是指投标文件满足招标文件全部实质性要求，且按照评审因素的量化指标评审得分最高的投标人为中标候选人的评标方法。</w:t>
      </w:r>
    </w:p>
    <w:p w14:paraId="7636E504">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32.2 价格分</w:t>
      </w:r>
    </w:p>
    <w:p w14:paraId="7A8E02B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 价格分采用低价优先法计算，即满足招标文件要求且投标价格最低的投标报价为评标基准价，其价格分为满分。其他投标人的价格分统一按照下列公式计算：</w:t>
      </w:r>
    </w:p>
    <w:p w14:paraId="1701507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投标报价得分=(评标基准价/投标报价)×100</w:t>
      </w:r>
    </w:p>
    <w:p w14:paraId="2617333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评标总得分=F1×A1+F2×A2+……+Fn×An</w:t>
      </w:r>
    </w:p>
    <w:p w14:paraId="204651C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F1、F2……Fn分别为各项评审因素的得分;</w:t>
      </w:r>
    </w:p>
    <w:p w14:paraId="6D56856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A1、A2、……An 分别为各项评审因素所占的权重(A1+A2+……+An=1)。</w:t>
      </w:r>
    </w:p>
    <w:p w14:paraId="0D519DE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（2）评标过程中，不得去掉报价中的最高报价和最低报价。</w:t>
      </w:r>
    </w:p>
    <w:p w14:paraId="60C8B18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（3）因落实政府采购政策进行价格调整的，以调整后的价格计算评标基准价和投标报价。</w:t>
      </w:r>
    </w:p>
    <w:p w14:paraId="5B2F62B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32.3 本次评标具体评标方法、评标标准见（第六章 资格审查与评</w:t>
      </w:r>
      <w:r>
        <w:rPr>
          <w:rFonts w:hint="eastAsia" w:ascii="宋体" w:cs="宋体"/>
          <w:kern w:val="0"/>
          <w:lang w:eastAsia="zh-CN" w:bidi="ar-SA"/>
        </w:rPr>
        <w:t>标</w:t>
      </w:r>
      <w:r>
        <w:rPr>
          <w:rFonts w:hint="eastAsia" w:ascii="宋体" w:cs="宋体"/>
          <w:kern w:val="0"/>
          <w:lang w:bidi="ar-SA"/>
        </w:rPr>
        <w:t>）。</w:t>
      </w:r>
    </w:p>
    <w:p w14:paraId="3D2E2399">
      <w:pPr>
        <w:autoSpaceDE w:val="0"/>
        <w:autoSpaceDN w:val="0"/>
        <w:spacing w:line="360" w:lineRule="auto"/>
        <w:contextualSpacing/>
        <w:rPr>
          <w:rFonts w:hint="eastAsia" w:ascii="宋体" w:cs="宋体"/>
          <w:b/>
          <w:kern w:val="0"/>
          <w:lang w:bidi="ar-SA"/>
        </w:rPr>
      </w:pPr>
      <w:r>
        <w:rPr>
          <w:rFonts w:hint="eastAsia" w:ascii="宋体" w:cs="宋体"/>
          <w:b/>
          <w:kern w:val="0"/>
          <w:lang w:bidi="ar-SA"/>
        </w:rPr>
        <w:t>33、推荐中标候选人</w:t>
      </w:r>
    </w:p>
    <w:p w14:paraId="03CC79D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33.1 采用最低评标价法的，评标结果按投标报价由低到高顺序排列。投标报价相同的并列。投标文件满足招标文件全部实质性要求且投标报价最低的投标人为排名第一的中标候选人。</w:t>
      </w:r>
    </w:p>
    <w:p w14:paraId="2FE323C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33.2 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2AFFF23">
      <w:pPr>
        <w:autoSpaceDE w:val="0"/>
        <w:autoSpaceDN w:val="0"/>
        <w:spacing w:line="360" w:lineRule="auto"/>
        <w:contextualSpacing/>
        <w:rPr>
          <w:rFonts w:hint="eastAsia" w:ascii="宋体" w:cs="宋体"/>
          <w:b/>
          <w:kern w:val="0"/>
          <w:lang w:bidi="ar-SA"/>
        </w:rPr>
      </w:pPr>
      <w:r>
        <w:rPr>
          <w:rFonts w:hint="eastAsia" w:ascii="宋体" w:cs="宋体"/>
          <w:b/>
          <w:kern w:val="0"/>
          <w:lang w:bidi="ar-SA"/>
        </w:rPr>
        <w:t>34、评审意见无效情形</w:t>
      </w:r>
    </w:p>
    <w:p w14:paraId="18A0C64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评标委员会及其成员有下列行为之一的，其评审意见无效：</w:t>
      </w:r>
    </w:p>
    <w:p w14:paraId="7418FC3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 确定参与评标至评标结束前私自接触投标人；</w:t>
      </w:r>
    </w:p>
    <w:p w14:paraId="55A5509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 接受投标人提出的与投标文件不一致的澄清或者说明，《投标人须知</w:t>
      </w:r>
      <w:r>
        <w:rPr>
          <w:rFonts w:hint="eastAsia" w:ascii="宋体" w:cs="宋体"/>
          <w:kern w:val="0"/>
          <w:lang w:eastAsia="zh-CN" w:bidi="ar-SA"/>
        </w:rPr>
        <w:t>》第</w:t>
      </w:r>
      <w:r>
        <w:rPr>
          <w:rFonts w:hint="eastAsia" w:ascii="宋体" w:cs="宋体"/>
          <w:kern w:val="0"/>
          <w:lang w:bidi="ar-SA"/>
        </w:rPr>
        <w:t>26条规定的情形除外；</w:t>
      </w:r>
    </w:p>
    <w:p w14:paraId="751F6FC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 违反评标纪律发表倾向性意见或者征询招标人的倾向性意见；</w:t>
      </w:r>
    </w:p>
    <w:p w14:paraId="76550FD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（4） 对需要专业判断的主观评审因素协商评分；</w:t>
      </w:r>
    </w:p>
    <w:p w14:paraId="2BED0DA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（5） 在评标过程中擅离职守，影响评标程序正常进行的；</w:t>
      </w:r>
    </w:p>
    <w:p w14:paraId="55174AC2">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（6） 记录、复制或者带走任何评标资料；</w:t>
      </w:r>
    </w:p>
    <w:p w14:paraId="6DD5439C">
      <w:pPr>
        <w:numPr>
          <w:ilvl w:val="0"/>
          <w:numId w:val="18"/>
        </w:numPr>
        <w:autoSpaceDE w:val="0"/>
        <w:autoSpaceDN w:val="0"/>
        <w:spacing w:line="360" w:lineRule="auto"/>
        <w:contextualSpacing/>
        <w:rPr>
          <w:rFonts w:hint="eastAsia" w:ascii="宋体" w:cs="宋体"/>
          <w:kern w:val="0"/>
          <w:lang w:bidi="ar-SA"/>
        </w:rPr>
      </w:pPr>
      <w:r>
        <w:rPr>
          <w:rFonts w:hint="eastAsia" w:ascii="宋体" w:cs="宋体"/>
          <w:kern w:val="0"/>
          <w:lang w:bidi="ar-SA"/>
        </w:rPr>
        <w:t>其他不遵守评标纪律的行为。</w:t>
      </w:r>
    </w:p>
    <w:p w14:paraId="71E15AF6">
      <w:pPr>
        <w:autoSpaceDE w:val="0"/>
        <w:autoSpaceDN w:val="0"/>
        <w:spacing w:line="360" w:lineRule="auto"/>
        <w:contextualSpacing/>
        <w:rPr>
          <w:rFonts w:hint="eastAsia" w:ascii="宋体" w:cs="宋体"/>
          <w:b/>
          <w:kern w:val="0"/>
          <w:lang w:bidi="ar-SA"/>
        </w:rPr>
      </w:pPr>
      <w:r>
        <w:rPr>
          <w:rFonts w:hint="eastAsia" w:ascii="宋体" w:cs="宋体"/>
          <w:b/>
          <w:kern w:val="0"/>
          <w:lang w:bidi="ar-SA"/>
        </w:rPr>
        <w:t>35、保密</w:t>
      </w:r>
    </w:p>
    <w:p w14:paraId="4B131CF4">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35.1 评审专家应当遵守评审工作纪律，不得泄露评审文件、评审情况和评审中获悉的商业秘密。</w:t>
      </w:r>
    </w:p>
    <w:p w14:paraId="18C83A2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35.2 招标人、代理机构应当采取必要措施，保证评标在严格保密的情况下进行。有关人员对评标情况以及在评标过程中获悉的国家秘密、商业秘密负有保密责任。</w:t>
      </w:r>
    </w:p>
    <w:p w14:paraId="21DF04C1">
      <w:pPr>
        <w:pStyle w:val="5"/>
      </w:pPr>
    </w:p>
    <w:p w14:paraId="6973DEAB">
      <w:pPr>
        <w:pStyle w:val="5"/>
        <w:ind w:firstLine="0"/>
        <w:rPr>
          <w:rFonts w:hint="eastAsia" w:ascii="宋体" w:cs="宋体"/>
          <w:b/>
          <w:kern w:val="0"/>
          <w:lang w:bidi="ar-SA"/>
        </w:rPr>
      </w:pPr>
    </w:p>
    <w:p w14:paraId="153D2CAD">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六、定标和授予合同</w:t>
      </w:r>
    </w:p>
    <w:p w14:paraId="5D77C2A8">
      <w:pPr>
        <w:autoSpaceDE w:val="0"/>
        <w:autoSpaceDN w:val="0"/>
        <w:spacing w:line="360" w:lineRule="auto"/>
        <w:contextualSpacing/>
        <w:rPr>
          <w:rFonts w:hint="eastAsia" w:ascii="宋体" w:cs="宋体"/>
          <w:b/>
          <w:kern w:val="0"/>
          <w:lang w:bidi="ar-SA"/>
        </w:rPr>
      </w:pPr>
      <w:r>
        <w:rPr>
          <w:rFonts w:hint="eastAsia" w:ascii="宋体" w:cs="宋体"/>
          <w:b/>
          <w:kern w:val="0"/>
          <w:lang w:bidi="ar-SA"/>
        </w:rPr>
        <w:t>36、确定中标人</w:t>
      </w:r>
    </w:p>
    <w:p w14:paraId="134F3E5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36.1 招标人应当自收到评标报告之日起5个工作日内，在评标报告确定的中标候选人名单中按顺序确定中标人（核验中标供应商由《长葛市政府采购供应商信用承诺函》替代的证明材料）。</w:t>
      </w:r>
    </w:p>
    <w:p w14:paraId="754E61C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36.2 招标人在收到评标报告5个工作日内未按评标报告推荐的中标候选人顺序确定中标人，又不能说明合法理由的，视同按评标报告推荐的顺序确定排名第一的中标候选人为中标人。</w:t>
      </w:r>
    </w:p>
    <w:p w14:paraId="75249026">
      <w:pPr>
        <w:autoSpaceDE w:val="0"/>
        <w:autoSpaceDN w:val="0"/>
        <w:spacing w:line="360" w:lineRule="auto"/>
        <w:contextualSpacing/>
        <w:rPr>
          <w:rFonts w:hint="eastAsia" w:ascii="宋体" w:cs="宋体"/>
          <w:b/>
          <w:kern w:val="0"/>
          <w:lang w:bidi="ar-SA"/>
        </w:rPr>
      </w:pPr>
      <w:r>
        <w:rPr>
          <w:rFonts w:hint="eastAsia" w:ascii="宋体" w:cs="宋体"/>
          <w:b/>
          <w:kern w:val="0"/>
          <w:lang w:bidi="ar-SA"/>
        </w:rPr>
        <w:t>37、中标公告、发出中标通知书</w:t>
      </w:r>
    </w:p>
    <w:p w14:paraId="237C831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37.1 招标人确认中标人后，招标人在公告中标结果的同时，向中标人发出中标通知书。</w:t>
      </w:r>
    </w:p>
    <w:p w14:paraId="5ECBAA52">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37.2 中标通知书发出后，招标人不得违法改变中标结果，中标人无正当理由不得放弃中标。</w:t>
      </w:r>
    </w:p>
    <w:p w14:paraId="09875EBD">
      <w:pPr>
        <w:autoSpaceDE w:val="0"/>
        <w:autoSpaceDN w:val="0"/>
        <w:spacing w:line="360" w:lineRule="auto"/>
        <w:contextualSpacing/>
        <w:rPr>
          <w:rFonts w:hint="eastAsia" w:ascii="宋体" w:cs="宋体"/>
          <w:kern w:val="0"/>
          <w:lang w:bidi="ar-SA"/>
        </w:rPr>
      </w:pPr>
      <w:r>
        <w:rPr>
          <w:rFonts w:hint="eastAsia" w:ascii="宋体" w:cs="宋体"/>
          <w:b/>
          <w:kern w:val="0"/>
          <w:lang w:bidi="ar-SA"/>
        </w:rPr>
        <w:t>38、质疑提出与答复</w:t>
      </w:r>
    </w:p>
    <w:p w14:paraId="7E07C54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 供应商认为采购文件、采购过程和中标结果使自己的权益受到损害的，可以按照《政府采购质疑和投诉办法》（财政部令第94号）提出质疑。提出质疑的供应商应当是参与本</w:t>
      </w:r>
    </w:p>
    <w:p w14:paraId="2EC2F893">
      <w:pPr>
        <w:autoSpaceDE w:val="0"/>
        <w:autoSpaceDN w:val="0"/>
        <w:spacing w:line="360" w:lineRule="auto"/>
        <w:contextualSpacing/>
        <w:rPr>
          <w:rFonts w:hint="eastAsia" w:ascii="宋体" w:cs="宋体"/>
          <w:kern w:val="0"/>
          <w:lang w:bidi="ar-SA"/>
        </w:rPr>
      </w:pPr>
      <w:r>
        <w:rPr>
          <w:rFonts w:hint="eastAsia" w:ascii="宋体" w:cs="宋体"/>
          <w:kern w:val="0"/>
          <w:lang w:bidi="ar-SA"/>
        </w:rPr>
        <w:t>项目采购活动的供应商。提出时应按照《政府采购质疑和投诉办法》（财政部令第94号）第十二条规定提交质疑函和必要的证明材料，如未提出视为全面接受。</w:t>
      </w:r>
    </w:p>
    <w:p w14:paraId="23B2946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38.1.1 对采购文件提出质疑的，潜在投标人应已依法获取采购文件，且应当在获取采购</w:t>
      </w:r>
    </w:p>
    <w:p w14:paraId="2638BFEE">
      <w:pPr>
        <w:autoSpaceDE w:val="0"/>
        <w:autoSpaceDN w:val="0"/>
        <w:spacing w:line="360" w:lineRule="auto"/>
        <w:contextualSpacing/>
        <w:rPr>
          <w:rFonts w:hint="eastAsia" w:ascii="宋体" w:cs="宋体"/>
          <w:kern w:val="0"/>
          <w:lang w:bidi="ar-SA"/>
        </w:rPr>
      </w:pPr>
      <w:r>
        <w:rPr>
          <w:rFonts w:hint="eastAsia" w:ascii="宋体" w:cs="宋体"/>
          <w:kern w:val="0"/>
          <w:lang w:bidi="ar-SA"/>
        </w:rPr>
        <w:t>文件或者采购文件公告期限届满之日起7个工作日内使用CA数字证书登录《全国公共资源交易平台（河南省·许昌市）》（http://117.159.53.11:60632/），通过许昌市公共资源电子交易系统一次性提出，逾期提交或未按照要求提交的质疑函将不予受理。质疑提出后潜在投标人应及时联系招标公告中集采机构联系人查看。</w:t>
      </w:r>
    </w:p>
    <w:p w14:paraId="54B6BCA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38.1.2 对采购过程提出质疑的，为各采购程序环节结束之日起七个工作日内，投标人使</w:t>
      </w:r>
    </w:p>
    <w:p w14:paraId="409D0762">
      <w:pPr>
        <w:autoSpaceDE w:val="0"/>
        <w:autoSpaceDN w:val="0"/>
        <w:spacing w:line="360" w:lineRule="auto"/>
        <w:contextualSpacing/>
        <w:rPr>
          <w:rFonts w:hint="eastAsia" w:ascii="宋体" w:eastAsia="宋体" w:cs="宋体"/>
          <w:kern w:val="0"/>
          <w:lang w:val="en-US" w:eastAsia="zh-CN" w:bidi="ar-SA"/>
        </w:rPr>
      </w:pPr>
      <w:r>
        <w:rPr>
          <w:rFonts w:hint="eastAsia" w:ascii="宋体" w:cs="宋体"/>
          <w:kern w:val="0"/>
          <w:lang w:bidi="ar-SA"/>
        </w:rPr>
        <w:t>用 CA 数 字 证 书 登 录 《 全 国 公 共 资 源 交 易 平 台 （ 河 南 省 · 许 昌 市 ） 》（http://117.159.53.11:60632/），通过许昌市公共资源电子交易系统一次性提</w:t>
      </w:r>
      <w:r>
        <w:rPr>
          <w:rFonts w:hint="eastAsia" w:ascii="宋体" w:cs="宋体"/>
          <w:kern w:val="0"/>
          <w:lang w:val="en-US" w:eastAsia="zh-CN" w:bidi="ar-SA"/>
        </w:rPr>
        <w:t>出。</w:t>
      </w:r>
    </w:p>
    <w:p w14:paraId="0503F0C4">
      <w:pPr>
        <w:autoSpaceDE w:val="0"/>
        <w:autoSpaceDN w:val="0"/>
        <w:spacing w:line="360" w:lineRule="auto"/>
        <w:contextualSpacing/>
        <w:rPr>
          <w:rFonts w:hint="eastAsia" w:ascii="宋体" w:cs="宋体"/>
          <w:kern w:val="0"/>
          <w:lang w:bidi="ar-SA"/>
        </w:rPr>
      </w:pPr>
      <w:r>
        <w:rPr>
          <w:rFonts w:hint="eastAsia" w:ascii="宋体" w:cs="宋体"/>
          <w:kern w:val="0"/>
          <w:lang w:bidi="ar-SA"/>
        </w:rPr>
        <w:t>出，逾期提交或未按照要求提交的质疑函将不予受理。质疑提出后投标人应及时联系招标公告中集采机构联系人查看。</w:t>
      </w:r>
    </w:p>
    <w:p w14:paraId="77157A8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38.1.3 对中标结果提出质疑的，为中标结果公告期限届满之日起七个工作日内，投标人</w:t>
      </w:r>
    </w:p>
    <w:p w14:paraId="7A498B01">
      <w:pPr>
        <w:autoSpaceDE w:val="0"/>
        <w:autoSpaceDN w:val="0"/>
        <w:spacing w:line="360" w:lineRule="auto"/>
        <w:contextualSpacing/>
        <w:rPr>
          <w:rFonts w:hint="eastAsia" w:ascii="宋体" w:cs="宋体"/>
          <w:kern w:val="0"/>
          <w:lang w:bidi="ar-SA"/>
        </w:rPr>
      </w:pPr>
      <w:r>
        <w:rPr>
          <w:rFonts w:hint="eastAsia" w:ascii="宋体" w:cs="宋体"/>
          <w:kern w:val="0"/>
          <w:lang w:bidi="ar-SA"/>
        </w:rPr>
        <w:t>使 用 CA 数 字 证 书 登 录 《 全 国 公 共 资 源 交 易 平 台 （ 河 南 省 · 许 昌 市 ） 》（http://117.159.53.11:60632/），通过许昌市公共资源电子交易系统一次性</w:t>
      </w:r>
      <w:r>
        <w:rPr>
          <w:rFonts w:hint="eastAsia" w:ascii="宋体" w:cs="宋体"/>
          <w:kern w:val="0"/>
          <w:lang w:eastAsia="zh-CN" w:bidi="ar-SA"/>
        </w:rPr>
        <w:t>提供</w:t>
      </w:r>
    </w:p>
    <w:p w14:paraId="1A2F38F2">
      <w:pPr>
        <w:autoSpaceDE w:val="0"/>
        <w:autoSpaceDN w:val="0"/>
        <w:spacing w:line="360" w:lineRule="auto"/>
        <w:contextualSpacing/>
        <w:rPr>
          <w:rFonts w:hint="eastAsia" w:ascii="宋体" w:cs="宋体"/>
          <w:kern w:val="0"/>
          <w:lang w:bidi="ar-SA"/>
        </w:rPr>
      </w:pPr>
      <w:r>
        <w:rPr>
          <w:rFonts w:hint="eastAsia" w:ascii="宋体" w:cs="宋体"/>
          <w:kern w:val="0"/>
          <w:lang w:bidi="ar-SA"/>
        </w:rPr>
        <w:t>出，逾期提交或未按照要求提交的质疑函将不予受理。质疑提出后投标人应及时联系招标公告中集采机构联系人查看。</w:t>
      </w:r>
    </w:p>
    <w:p w14:paraId="1DF3F77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 2 采购人、采购代理机构认为供应商质疑不成立，或者成立但未对中标结果构成影响的，在收到质疑函7个工作日内通过《全国公共资源交易平台（河南省·许昌市）》（http://117.159.53.11:60632/）——许昌市公共资源电子交易系统作出答复，并继续开展采购活动；认为供应商质疑成立且影响或者可能影响中标结果的，在收到质疑函7 个 工 作 日 内 通 过 《 全 国 公 共 资 源 交 易 平 台 （ 河 南 省 · 许 昌 市 ） 》（http://117.159.53.11:60632/）——许昌市公共资源电子交易系统作出答复，并按照下列情况处理：</w:t>
      </w:r>
    </w:p>
    <w:p w14:paraId="15B572F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38.2.1 对采购文件提出的质疑，依法通过澄清或者修改可以继续开展采购活动的，澄清或者修改采购文件后继续开展采购活动；否则应当修改采购文件后重新开展采购活动。</w:t>
      </w:r>
    </w:p>
    <w:p w14:paraId="0FBA3E7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38.2.2 对采购过程、中标结果提出的质疑，合格供应商符合法定数量时，可以从合格的中标候选人中另行确定中标供应商的，应当依法另行确定中标供应商；否则应当重新开展采购活动。</w:t>
      </w:r>
    </w:p>
    <w:p w14:paraId="7F1B4548">
      <w:pPr>
        <w:autoSpaceDE w:val="0"/>
        <w:autoSpaceDN w:val="0"/>
        <w:spacing w:line="360" w:lineRule="auto"/>
        <w:contextualSpacing/>
        <w:rPr>
          <w:rFonts w:hint="eastAsia" w:ascii="宋体" w:cs="宋体"/>
          <w:b/>
          <w:bCs/>
          <w:kern w:val="0"/>
          <w:lang w:bidi="ar-SA"/>
        </w:rPr>
      </w:pPr>
      <w:r>
        <w:rPr>
          <w:rFonts w:hint="eastAsia" w:ascii="宋体" w:cs="宋体"/>
          <w:b/>
          <w:bCs/>
          <w:kern w:val="0"/>
          <w:lang w:bidi="ar-SA"/>
        </w:rPr>
        <w:t>39. 投诉</w:t>
      </w:r>
    </w:p>
    <w:p w14:paraId="3062949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39.1 若对质疑答复不满意或质疑答复未在答复期限内作出，质疑供应商可在答复期满后15个工作日内按照《政府采购质疑和投诉办法》的有关规定向招标文件第一章载明的本项目监督管理部门提起投诉。</w:t>
      </w:r>
    </w:p>
    <w:p w14:paraId="37A49F50">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39.2 投诉应有明确的请求和必要的证明材料，投诉的事项不得超出已质疑事项的范围。</w:t>
      </w:r>
    </w:p>
    <w:p w14:paraId="43F90EAB">
      <w:pPr>
        <w:autoSpaceDE w:val="0"/>
        <w:autoSpaceDN w:val="0"/>
        <w:spacing w:line="360" w:lineRule="auto"/>
        <w:contextualSpacing/>
        <w:rPr>
          <w:rFonts w:hint="eastAsia" w:ascii="宋体" w:cs="宋体"/>
          <w:b/>
          <w:kern w:val="0"/>
          <w:lang w:bidi="ar-SA"/>
        </w:rPr>
      </w:pPr>
      <w:r>
        <w:rPr>
          <w:rFonts w:hint="eastAsia" w:ascii="宋体" w:cs="宋体"/>
          <w:b/>
          <w:kern w:val="0"/>
          <w:lang w:bidi="ar-SA"/>
        </w:rPr>
        <w:t>40、签订合同</w:t>
      </w:r>
    </w:p>
    <w:p w14:paraId="6822DC3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40.1 招标人应当自中标通知书发出之日起30日内，按照招标文件和中标人投标文件的规定，与中标人签订书面合同。所签订的合同不得对招标文件确定的事项和中标人投标文件作实质性修改。</w:t>
      </w:r>
    </w:p>
    <w:p w14:paraId="5C9A334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40.2 采购人自采购合同签订之日起，1个工作日内到</w:t>
      </w:r>
      <w:r>
        <w:rPr>
          <w:rFonts w:hint="eastAsia" w:ascii="宋体" w:cs="宋体"/>
          <w:shd w:val="clear" w:color="auto" w:fill="FFFFFF"/>
          <w:lang w:bidi="ar-SA"/>
        </w:rPr>
        <w:t>长葛市政府采购服务中心</w:t>
      </w:r>
      <w:r>
        <w:rPr>
          <w:rFonts w:hint="eastAsia" w:ascii="宋体" w:cs="宋体"/>
          <w:kern w:val="0"/>
          <w:lang w:bidi="ar-SA"/>
        </w:rPr>
        <w:t>进行合同备案，并</w:t>
      </w:r>
      <w:r>
        <w:rPr>
          <w:rFonts w:hint="eastAsia" w:ascii="宋体" w:cs="宋体"/>
          <w:kern w:val="0"/>
          <w:lang w:eastAsia="zh-CN" w:bidi="ar-SA"/>
        </w:rPr>
        <w:t>登录</w:t>
      </w:r>
      <w:r>
        <w:rPr>
          <w:rFonts w:hint="eastAsia" w:ascii="宋体" w:cs="宋体"/>
          <w:kern w:val="0"/>
          <w:lang w:bidi="ar-SA"/>
        </w:rPr>
        <w:t>“许昌市政府采购网”进行网上备案。</w:t>
      </w:r>
    </w:p>
    <w:p w14:paraId="562CEEF2">
      <w:pPr>
        <w:autoSpaceDE w:val="0"/>
        <w:autoSpaceDN w:val="0"/>
        <w:spacing w:line="360" w:lineRule="auto"/>
        <w:contextualSpacing/>
        <w:rPr>
          <w:rFonts w:hint="eastAsia" w:ascii="宋体" w:cs="宋体"/>
          <w:b/>
          <w:kern w:val="0"/>
          <w:lang w:bidi="ar-SA"/>
        </w:rPr>
      </w:pPr>
      <w:r>
        <w:rPr>
          <w:rFonts w:hint="eastAsia" w:ascii="宋体" w:cs="宋体"/>
          <w:b/>
          <w:kern w:val="0"/>
          <w:lang w:bidi="ar-SA"/>
        </w:rPr>
        <w:t>41、履约保证金</w:t>
      </w:r>
    </w:p>
    <w:p w14:paraId="5C5D9CF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根据长财[2022]32号《长葛市财政局关于加大政府采购支持中小企业力度有关事项的通知》要求，自2022年7月1日起，全面取消政府采购履约保证金。</w:t>
      </w:r>
    </w:p>
    <w:p w14:paraId="58569A1A">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 政府采购合同融资</w:t>
      </w:r>
    </w:p>
    <w:p w14:paraId="61AA423B">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42.1缓解中小企业融资难题</w:t>
      </w:r>
    </w:p>
    <w:p w14:paraId="0C4789D0">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政府采购合同融资是支持中小微企业发展，针对参与政府采购活动的供应商融资难、融资贵问题推出的一项融资政策。根据河南省财政厅《关于印发深入推进政府采购合同融资工作实施方案的通知》精神，我市目前已与以下金融机构合作开展政府采购信用融资业务，中标供应商可持政府采购合同，通过“许昌市政府采购网”向所选的金融机构申请贷款，无需抵押、担保，融资机构将根据《河南省政府采购合同融资工作实施方案》（豫财购〔2017〕10号），按照双方自愿的原则提供便捷、优惠的贷款服务。</w:t>
      </w:r>
    </w:p>
    <w:p w14:paraId="37C510E6">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42.2合作金融机构（排名不分先后）</w:t>
      </w:r>
    </w:p>
    <w:p w14:paraId="5A92EDC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1）合作金融机构名称：中原银行许昌分行（小微金融部）</w:t>
      </w:r>
    </w:p>
    <w:p w14:paraId="49F7E94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联系人及电话：陈阳13137407575   方金龙  15836539901</w:t>
      </w:r>
    </w:p>
    <w:p w14:paraId="027633B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地址：许昌市建安大道与紫云路交汇处中原银行</w:t>
      </w:r>
    </w:p>
    <w:p w14:paraId="733646A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2）合作金融机构名称：浦发银行许昌分行</w:t>
      </w:r>
    </w:p>
    <w:p w14:paraId="6E06CC93">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联系人及电话：赵勇 0374-7313569、7313502 18937459920</w:t>
      </w:r>
    </w:p>
    <w:p w14:paraId="7EDB963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地址：许昌市许继大道1163号许继花园</w:t>
      </w:r>
    </w:p>
    <w:p w14:paraId="084B805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3）合作金融机构名称：交通银行许昌分行</w:t>
      </w:r>
    </w:p>
    <w:p w14:paraId="5F386F1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联系人：宋纪刚 0374-2369912   13733951305</w:t>
      </w:r>
    </w:p>
    <w:p w14:paraId="44ED58F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地址：许昌市莲城大道114号</w:t>
      </w:r>
    </w:p>
    <w:p w14:paraId="628526D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4）合作金融机构名称：光大银行许昌分行</w:t>
      </w:r>
    </w:p>
    <w:p w14:paraId="5513116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联系人：李东磊 0374-2928168 18569936868</w:t>
      </w:r>
    </w:p>
    <w:p w14:paraId="5BD83753">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地址：许昌市魏都区八一路文峰路交叉口西北角</w:t>
      </w:r>
    </w:p>
    <w:p w14:paraId="784122D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5）合作金融机构名称：招商银行许昌分行</w:t>
      </w:r>
    </w:p>
    <w:p w14:paraId="0CD925B4">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联系人及电话：崔星迪 0374-5376058  18839983051</w:t>
      </w:r>
    </w:p>
    <w:p w14:paraId="7667F74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地址：许昌市建安大道中段新天下AB座</w:t>
      </w:r>
    </w:p>
    <w:p w14:paraId="18A653D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6）合作金融机构名称：邮储银行许昌市分行</w:t>
      </w:r>
    </w:p>
    <w:p w14:paraId="00B10C4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联系人及电话：张彦峰13839001972   武松涛18839902679  徐亚爽15038297574</w:t>
      </w:r>
    </w:p>
    <w:p w14:paraId="22DC8EA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地址：许昌市莲城大道邮储银行莲城支行二楼</w:t>
      </w:r>
    </w:p>
    <w:p w14:paraId="1A11CB3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7）合作金融机构名称：中国银行许昌分行</w:t>
      </w:r>
    </w:p>
    <w:p w14:paraId="39F7F29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联系人及电话：白炜 13938772680  刘晓飞0374-3338596</w:t>
      </w:r>
    </w:p>
    <w:p w14:paraId="28B023F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地址：许昌市魏都区建设路1488号</w:t>
      </w:r>
    </w:p>
    <w:p w14:paraId="0A338EB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8）合作金融机构名称：中信银行郑州红专路支行</w:t>
      </w:r>
    </w:p>
    <w:p w14:paraId="3A4FA0C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联系人：韩晨  13253490679</w:t>
      </w:r>
    </w:p>
    <w:p w14:paraId="702B6BB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地址：郑州市金水区经三路北26号中信银行郑州红专路支行</w:t>
      </w:r>
    </w:p>
    <w:p w14:paraId="49543E24">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9）合作金融机构名称：郑州银行许昌分行</w:t>
      </w:r>
    </w:p>
    <w:p w14:paraId="5E83B48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联系人：王晶  0374-2298011 18339062222</w:t>
      </w:r>
    </w:p>
    <w:p w14:paraId="1D31CBC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地址：河南省许昌市魏都区莲城大道与魏文路交叉口西南角亨通君成国际大厦</w:t>
      </w:r>
    </w:p>
    <w:p w14:paraId="0E70172B">
      <w:pPr>
        <w:autoSpaceDE w:val="0"/>
        <w:autoSpaceDN w:val="0"/>
        <w:spacing w:line="360" w:lineRule="auto"/>
        <w:ind w:firstLine="420" w:firstLineChars="200"/>
        <w:contextualSpacing/>
        <w:rPr>
          <w:rFonts w:hint="eastAsia" w:ascii="宋体" w:cs="宋体"/>
          <w:kern w:val="0"/>
          <w:lang w:bidi="ar-SA"/>
        </w:rPr>
      </w:pPr>
    </w:p>
    <w:p w14:paraId="62F880CE">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42.3“许昌市政府采购合同融资金融产品推介名录”链接</w:t>
      </w:r>
    </w:p>
    <w:p w14:paraId="690639B2">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https://xuchang.zfcg.henan.gov.cn/xuchang/content?infoId=1606365368231095</w:t>
      </w:r>
    </w:p>
    <w:p w14:paraId="0B34F7D4">
      <w:pPr>
        <w:pStyle w:val="5"/>
        <w:ind w:firstLine="0"/>
        <w:rPr>
          <w:rFonts w:hint="eastAsia" w:ascii="宋体" w:cs="宋体"/>
          <w:b/>
          <w:kern w:val="0"/>
          <w:lang w:bidi="ar-SA"/>
        </w:rPr>
      </w:pPr>
    </w:p>
    <w:p w14:paraId="27752AC2">
      <w:pPr>
        <w:pStyle w:val="5"/>
        <w:ind w:firstLine="0"/>
        <w:rPr>
          <w:rFonts w:hint="eastAsia" w:ascii="宋体" w:cs="宋体"/>
          <w:b/>
          <w:kern w:val="0"/>
          <w:lang w:bidi="ar-SA"/>
        </w:rPr>
      </w:pPr>
    </w:p>
    <w:p w14:paraId="419577AB">
      <w:pPr>
        <w:autoSpaceDE w:val="0"/>
        <w:autoSpaceDN w:val="0"/>
        <w:spacing w:line="360" w:lineRule="auto"/>
        <w:contextualSpacing/>
        <w:jc w:val="center"/>
        <w:rPr>
          <w:rFonts w:hint="eastAsia" w:ascii="宋体" w:cs="宋体"/>
          <w:b/>
          <w:kern w:val="0"/>
          <w:lang w:bidi="ar-SA"/>
        </w:rPr>
      </w:pPr>
    </w:p>
    <w:p w14:paraId="2DA20E73">
      <w:pPr>
        <w:autoSpaceDE w:val="0"/>
        <w:autoSpaceDN w:val="0"/>
        <w:spacing w:line="360" w:lineRule="auto"/>
        <w:contextualSpacing/>
        <w:jc w:val="center"/>
        <w:rPr>
          <w:rFonts w:hint="eastAsia" w:ascii="宋体" w:cs="宋体"/>
          <w:b/>
          <w:kern w:val="0"/>
          <w:lang w:bidi="ar-SA"/>
        </w:rPr>
      </w:pPr>
    </w:p>
    <w:p w14:paraId="7C99A42D">
      <w:pPr>
        <w:autoSpaceDE w:val="0"/>
        <w:autoSpaceDN w:val="0"/>
        <w:spacing w:line="360" w:lineRule="auto"/>
        <w:contextualSpacing/>
        <w:rPr>
          <w:rFonts w:hint="eastAsia" w:ascii="宋体" w:cs="宋体"/>
          <w:b/>
          <w:kern w:val="0"/>
          <w:lang w:bidi="ar-SA"/>
        </w:rPr>
      </w:pPr>
    </w:p>
    <w:p w14:paraId="77ED780F">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r>
        <w:rPr>
          <w:rFonts w:hint="eastAsia" w:ascii="宋体" w:cs="宋体"/>
          <w:b/>
          <w:kern w:val="0"/>
          <w:sz w:val="28"/>
          <w:szCs w:val="28"/>
          <w:lang w:bidi="ar-SA"/>
        </w:rPr>
        <w:t>第五章 政府采购政策功能</w:t>
      </w:r>
    </w:p>
    <w:p w14:paraId="4784422A">
      <w:pPr>
        <w:pStyle w:val="13"/>
        <w:spacing w:line="440" w:lineRule="exact"/>
        <w:ind w:firstLine="420" w:firstLineChars="200"/>
        <w:contextualSpacing/>
        <w:rPr>
          <w:rFonts w:cs="宋体"/>
          <w:bCs/>
          <w:sz w:val="21"/>
          <w:szCs w:val="21"/>
          <w:lang w:val="zh-CN" w:eastAsia="zh-CN" w:bidi="ar-SA"/>
        </w:rPr>
      </w:pPr>
      <w:r>
        <w:rPr>
          <w:rFonts w:hint="eastAsia" w:cs="宋体"/>
          <w:bCs/>
          <w:sz w:val="21"/>
          <w:szCs w:val="21"/>
          <w:lang w:val="zh-CN" w:eastAsia="zh-CN" w:bidi="ar-SA"/>
        </w:rPr>
        <w:t>根据《中华人民共和国政府采购法》、《中华人民共和国政府采购法实施条例》、《政府采购货物和服务招标投标管理办法》等规定，政府采购项目应落实节约能源、保护环境、促进中小企业发展、支持监狱企业发展、促进残疾人就业、支持脱贫攻坚等政府采购政策。</w:t>
      </w:r>
    </w:p>
    <w:p w14:paraId="0809B8DB">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一、节约能源、保护环境</w:t>
      </w:r>
    </w:p>
    <w:p w14:paraId="5D03FDE3">
      <w:pPr>
        <w:pStyle w:val="13"/>
        <w:spacing w:line="440" w:lineRule="exact"/>
        <w:ind w:firstLine="420" w:firstLineChars="200"/>
        <w:contextualSpacing/>
        <w:rPr>
          <w:rFonts w:cs="宋体"/>
          <w:bCs/>
          <w:sz w:val="21"/>
          <w:szCs w:val="21"/>
          <w:lang w:val="zh-CN" w:eastAsia="zh-CN" w:bidi="ar-SA"/>
        </w:rPr>
      </w:pPr>
      <w:r>
        <w:rPr>
          <w:rFonts w:hint="eastAsia" w:cs="宋体"/>
          <w:bCs/>
          <w:sz w:val="21"/>
          <w:szCs w:val="21"/>
          <w:lang w:val="zh-CN" w:eastAsia="zh-CN" w:bidi="ar-SA"/>
        </w:rPr>
        <w:t>按照《财政部、发展改革委、生态环境部、市场监管总局关于调整优化节能产品、环境标志产品政府采购执行机制的通知》（财库〔2019〕9号）和</w:t>
      </w:r>
      <w:r>
        <w:rPr>
          <w:rFonts w:hint="eastAsia" w:cs="宋体"/>
          <w:bCs/>
          <w:sz w:val="21"/>
          <w:szCs w:val="21"/>
          <w:lang w:bidi="ar-SA"/>
        </w:rPr>
        <w:t>财政部、生态环境部</w:t>
      </w:r>
      <w:r>
        <w:rPr>
          <w:rFonts w:hint="eastAsia" w:cs="宋体"/>
          <w:bCs/>
          <w:sz w:val="21"/>
          <w:szCs w:val="21"/>
          <w:lang w:val="zh-CN" w:eastAsia="zh-CN" w:bidi="ar-SA"/>
        </w:rPr>
        <w:t>《关于印发环境标志产品政府采购品目清单的通知》</w:t>
      </w:r>
      <w:r>
        <w:rPr>
          <w:rFonts w:hint="eastAsia" w:cs="宋体"/>
          <w:bCs/>
          <w:sz w:val="21"/>
          <w:szCs w:val="21"/>
          <w:lang w:bidi="ar-SA"/>
        </w:rPr>
        <w:t>（财库[2019]18号）以及</w:t>
      </w:r>
      <w:r>
        <w:rPr>
          <w:rFonts w:hint="eastAsia" w:cs="宋体"/>
          <w:bCs/>
          <w:sz w:val="21"/>
          <w:szCs w:val="21"/>
          <w:lang w:val="zh-CN" w:eastAsia="zh-CN" w:bidi="ar-SA"/>
        </w:rPr>
        <w:t>财政部、发展改革委</w:t>
      </w:r>
      <w:r>
        <w:rPr>
          <w:rFonts w:hint="eastAsia" w:cs="宋体"/>
          <w:bCs/>
          <w:sz w:val="21"/>
          <w:szCs w:val="21"/>
          <w:lang w:bidi="ar-SA"/>
        </w:rPr>
        <w:t>《关于印发节能产品政府采购品目清单的通知》（财库[2019]19号）</w:t>
      </w:r>
      <w:r>
        <w:rPr>
          <w:rFonts w:hint="eastAsia" w:cs="宋体"/>
          <w:bCs/>
          <w:sz w:val="21"/>
          <w:szCs w:val="21"/>
          <w:lang w:val="zh-CN" w:eastAsia="zh-CN" w:bidi="ar-SA"/>
        </w:rPr>
        <w:t>，</w:t>
      </w:r>
      <w:r>
        <w:rPr>
          <w:rFonts w:hint="eastAsia" w:cs="宋体"/>
          <w:bCs/>
          <w:sz w:val="21"/>
          <w:szCs w:val="21"/>
          <w:lang w:bidi="ar-SA"/>
        </w:rPr>
        <w:t>招标属于政府强</w:t>
      </w:r>
      <w:r>
        <w:rPr>
          <w:rFonts w:hint="eastAsia" w:cs="宋体"/>
          <w:bCs/>
          <w:sz w:val="21"/>
          <w:szCs w:val="21"/>
          <w:lang w:val="zh-CN" w:eastAsia="zh-CN" w:bidi="ar-SA"/>
        </w:rPr>
        <w:t>制采购产品类别的，该产品必须具有国家确定的认证机构出具的、处于有效期之内的节能产品或环境标志产品认证证书；招标属于政府优先采购产品类别的，该产品具有国家确定的认证机构出具的、处于有效期之内的节能产品或环境标志产品认证证书，应当优先采购。</w:t>
      </w:r>
    </w:p>
    <w:p w14:paraId="163EC4F8">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二、促进中小企业发展（不含民办非企业）</w:t>
      </w:r>
    </w:p>
    <w:p w14:paraId="3361FD5D">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1、本项目为非专门面向中小企业招标的项目，根据财政部、工业和信息化部《政府采购促进中小企业发展管理办法》（财库[2020]46号）、《关于进一步加大政府采购支持中小企业力度的通知》（财库〔2022〕19号）规定，对符合该办法规定的小型和微型企业报价给予10%-20%的扣除，用扣除后的价格参与评审。</w:t>
      </w:r>
    </w:p>
    <w:p w14:paraId="6534E129">
      <w:pPr>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2、</w:t>
      </w:r>
      <w:r>
        <w:rPr>
          <w:rFonts w:cs="宋体"/>
          <w:bCs/>
          <w:kern w:val="0"/>
          <w:lang w:val="zh-CN" w:eastAsia="zh-CN" w:bidi="ar-SA"/>
        </w:rPr>
        <w:t>在货物</w:t>
      </w:r>
      <w:r>
        <w:rPr>
          <w:rFonts w:hint="eastAsia" w:cs="宋体"/>
          <w:bCs/>
          <w:kern w:val="0"/>
          <w:lang w:val="zh-CN" w:eastAsia="zh-CN" w:bidi="ar-SA"/>
        </w:rPr>
        <w:t>招标</w:t>
      </w:r>
      <w:r>
        <w:rPr>
          <w:rFonts w:cs="宋体"/>
          <w:bCs/>
          <w:kern w:val="0"/>
          <w:lang w:val="zh-CN" w:eastAsia="zh-CN" w:bidi="ar-SA"/>
        </w:rPr>
        <w:t>项目中，</w:t>
      </w:r>
      <w:r>
        <w:rPr>
          <w:rFonts w:hint="eastAsia" w:cs="宋体"/>
          <w:bCs/>
          <w:kern w:val="0"/>
          <w:lang w:val="zh-CN" w:eastAsia="zh-CN" w:bidi="ar-SA"/>
        </w:rPr>
        <w:t>投标人</w:t>
      </w:r>
      <w:r>
        <w:rPr>
          <w:rFonts w:cs="宋体"/>
          <w:bCs/>
          <w:kern w:val="0"/>
          <w:lang w:val="zh-CN" w:eastAsia="zh-CN" w:bidi="ar-SA"/>
        </w:rPr>
        <w:t>提供的货物既有中小企业制造货物，也有大型企业制造货物的，不享受</w:t>
      </w:r>
      <w:r>
        <w:rPr>
          <w:rFonts w:hint="eastAsia" w:cs="宋体"/>
          <w:bCs/>
          <w:kern w:val="0"/>
          <w:lang w:val="zh-CN" w:eastAsia="zh-CN" w:bidi="ar-SA"/>
        </w:rPr>
        <w:t>《政府采购促进中小企业发展管理办法》（财库[2020]46号）</w:t>
      </w:r>
      <w:r>
        <w:rPr>
          <w:rFonts w:cs="宋体"/>
          <w:bCs/>
          <w:kern w:val="0"/>
          <w:lang w:val="zh-CN" w:eastAsia="zh-CN" w:bidi="ar-SA"/>
        </w:rPr>
        <w:t>规定的中小企业扶持政策。</w:t>
      </w:r>
    </w:p>
    <w:p w14:paraId="4AE0B2A2">
      <w:pPr>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3、</w:t>
      </w:r>
      <w:r>
        <w:rPr>
          <w:rFonts w:cs="宋体"/>
          <w:bCs/>
          <w:kern w:val="0"/>
          <w:lang w:val="zh-CN" w:eastAsia="zh-CN" w:bidi="ar-SA"/>
        </w:rPr>
        <w:t>以联合体形式参加</w:t>
      </w:r>
      <w:r>
        <w:rPr>
          <w:rFonts w:hint="eastAsia" w:cs="宋体"/>
          <w:bCs/>
          <w:kern w:val="0"/>
          <w:lang w:val="zh-CN" w:eastAsia="zh-CN" w:bidi="ar-SA"/>
        </w:rPr>
        <w:t>政府采购</w:t>
      </w:r>
      <w:r>
        <w:rPr>
          <w:rFonts w:cs="宋体"/>
          <w:bCs/>
          <w:kern w:val="0"/>
          <w:lang w:val="zh-CN" w:eastAsia="zh-CN" w:bidi="ar-SA"/>
        </w:rPr>
        <w:t>活动，联合体各方均为中小企业的，联合体视同中小企业。其中，联合体各方均为小微企业的，联合体视同小微企业。</w:t>
      </w:r>
    </w:p>
    <w:p w14:paraId="2062C8B1">
      <w:pPr>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4、</w:t>
      </w:r>
      <w:r>
        <w:rPr>
          <w:rFonts w:cs="宋体"/>
          <w:bCs/>
          <w:kern w:val="0"/>
          <w:lang w:val="zh-CN" w:eastAsia="zh-CN" w:bidi="ar-SA"/>
        </w:rPr>
        <w:t>接受大中型企业与小微企业组成联合体或者允许大中型企业向一家或者多家小微企业分包的</w:t>
      </w:r>
      <w:r>
        <w:rPr>
          <w:rFonts w:hint="eastAsia" w:cs="宋体"/>
          <w:bCs/>
          <w:kern w:val="0"/>
          <w:lang w:val="zh-CN" w:eastAsia="zh-CN" w:bidi="ar-SA"/>
        </w:rPr>
        <w:t>招标</w:t>
      </w:r>
      <w:r>
        <w:rPr>
          <w:rFonts w:cs="宋体"/>
          <w:bCs/>
          <w:kern w:val="0"/>
          <w:lang w:val="zh-CN" w:eastAsia="zh-CN" w:bidi="ar-SA"/>
        </w:rPr>
        <w:t>项目，对于联合协议或者分包意向协议约定小微企业的合同份额占到合同总金额30%以上的，对联合体或者大中型企业的报价给予</w:t>
      </w:r>
      <w:r>
        <w:rPr>
          <w:rFonts w:hint="eastAsia" w:cs="宋体"/>
          <w:bCs/>
          <w:kern w:val="0"/>
          <w:lang w:val="zh-CN" w:eastAsia="zh-CN" w:bidi="ar-SA"/>
        </w:rPr>
        <w:t>4</w:t>
      </w:r>
      <w:r>
        <w:rPr>
          <w:rFonts w:cs="宋体"/>
          <w:bCs/>
          <w:kern w:val="0"/>
          <w:lang w:val="zh-CN" w:eastAsia="zh-CN" w:bidi="ar-SA"/>
        </w:rPr>
        <w:t>—</w:t>
      </w:r>
      <w:r>
        <w:rPr>
          <w:rFonts w:hint="eastAsia" w:cs="宋体"/>
          <w:bCs/>
          <w:kern w:val="0"/>
          <w:lang w:val="zh-CN" w:eastAsia="zh-CN" w:bidi="ar-SA"/>
        </w:rPr>
        <w:t>6</w:t>
      </w:r>
      <w:r>
        <w:rPr>
          <w:rFonts w:cs="宋体"/>
          <w:bCs/>
          <w:kern w:val="0"/>
          <w:lang w:val="zh-CN" w:eastAsia="zh-CN" w:bidi="ar-SA"/>
        </w:rPr>
        <w:t>%的扣除，用扣除后的价格参加评审。组成联合体或者接受分包的小微企业与联合体内其他企业、分包企业之间存在直接控股、管理关系的，不享受价格扣除优惠政策。</w:t>
      </w:r>
    </w:p>
    <w:p w14:paraId="2E0A8E7E">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5、按照本次招标标的所属行业的划型标准，符合条件的中小企业应按照招标文件格式要求提供《中小企业声明函》，</w:t>
      </w:r>
      <w:r>
        <w:rPr>
          <w:rFonts w:cs="宋体"/>
          <w:bCs/>
          <w:kern w:val="0"/>
          <w:lang w:val="zh-CN" w:eastAsia="zh-CN" w:bidi="ar-SA"/>
        </w:rPr>
        <w:t>否则不得享受相关中小企业扶持政策。</w:t>
      </w:r>
    </w:p>
    <w:p w14:paraId="7154935D">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三、支持监狱企业发展</w:t>
      </w:r>
    </w:p>
    <w:p w14:paraId="21CFC5B1">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按照财政部、司法部发布的《关于政府采购支持监狱企业发展有关问题的通知》（</w:t>
      </w:r>
      <w:bookmarkStart w:id="21" w:name="OLE_LINK6"/>
      <w:r>
        <w:rPr>
          <w:rFonts w:hint="eastAsia" w:cs="宋体"/>
          <w:bCs/>
          <w:kern w:val="0"/>
          <w:lang w:val="zh-CN" w:eastAsia="zh-CN" w:bidi="ar-SA"/>
        </w:rPr>
        <w:t>财库[2014]68号</w:t>
      </w:r>
      <w:bookmarkEnd w:id="21"/>
      <w:r>
        <w:rPr>
          <w:rFonts w:hint="eastAsia" w:cs="宋体"/>
          <w:bCs/>
          <w:kern w:val="0"/>
          <w:lang w:val="zh-CN" w:eastAsia="zh-CN" w:bidi="ar-SA"/>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14:paraId="33C1BE4A">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四、促进残疾人就业</w:t>
      </w:r>
    </w:p>
    <w:p w14:paraId="5A1219AE">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残疾人福利性单位属于小型、微型企业的，不重复享受政策。</w:t>
      </w:r>
    </w:p>
    <w:p w14:paraId="489A7636">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14:paraId="3107CC18">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3、中标人为残疾人福利性单位的，招标人应当随中标结果同时公告其《残疾人福利性单位声明函》，接受社会监督。</w:t>
      </w:r>
    </w:p>
    <w:p w14:paraId="6B06288B">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享受政府采购支持政策的残疾人福利性单位应当同时满足以下条件：</w:t>
      </w:r>
    </w:p>
    <w:p w14:paraId="33291191">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（一）安置的残疾人占本单位在职职工人数的比例不低于 25%（含 25%），并且安置的残疾人人数不少于 10 人（含 10 人）；</w:t>
      </w:r>
    </w:p>
    <w:p w14:paraId="06AAD951">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（二）依法与安置的每位残疾人签订了一年以上（含一年）的劳动合同或服务协议；</w:t>
      </w:r>
    </w:p>
    <w:p w14:paraId="64603BC4">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（三）为安置的每位残疾人按月足额缴纳了基本养老保险、基本医疗保险、失业保险、工伤保险和生育保险等社会保险费；</w:t>
      </w:r>
    </w:p>
    <w:p w14:paraId="63D829ED">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（四）通过银行等金融机构向安置的每位残疾人，按月支付了不低于单位所在区县适用的经省级人民政府批准的月最低工资标准的工资；</w:t>
      </w:r>
    </w:p>
    <w:p w14:paraId="3AE403BA">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（五）提供本单位制造的货物、承担的工程或者服务（以下简称产品），或者提供其他残疾人福利性单位制造的货物（不包括使用非残疾人福利性单位注册商标的货物）。</w:t>
      </w:r>
    </w:p>
    <w:p w14:paraId="4C6EC189">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02DC5780">
      <w:pPr>
        <w:topLinePunct/>
        <w:spacing w:line="360" w:lineRule="auto"/>
        <w:ind w:firstLine="420" w:firstLineChars="200"/>
        <w:contextualSpacing/>
        <w:rPr>
          <w:rFonts w:hint="eastAsia" w:ascii="宋体" w:cs="仿宋_GB2312"/>
          <w:lang w:val="zh-CN" w:eastAsia="zh-CN" w:bidi="ar-SA"/>
        </w:rPr>
      </w:pPr>
    </w:p>
    <w:p w14:paraId="79D91897">
      <w:pPr>
        <w:topLinePunct/>
        <w:spacing w:line="360" w:lineRule="auto"/>
        <w:ind w:firstLine="420" w:firstLineChars="200"/>
        <w:contextualSpacing/>
        <w:rPr>
          <w:rFonts w:hint="eastAsia" w:ascii="宋体" w:cs="仿宋_GB2312"/>
          <w:lang w:val="zh-CN" w:eastAsia="zh-CN" w:bidi="ar-SA"/>
        </w:rPr>
      </w:pPr>
    </w:p>
    <w:p w14:paraId="4CDBE6C1">
      <w:pPr>
        <w:rPr>
          <w:lang w:val="zh-CN" w:eastAsia="zh-CN"/>
        </w:rPr>
      </w:pPr>
    </w:p>
    <w:p w14:paraId="53975D6B">
      <w:pPr>
        <w:autoSpaceDE w:val="0"/>
        <w:autoSpaceDN w:val="0"/>
        <w:adjustRightInd w:val="0"/>
        <w:spacing w:line="360" w:lineRule="auto"/>
        <w:contextualSpacing/>
        <w:rPr>
          <w:rFonts w:hint="eastAsia" w:ascii="宋体"/>
          <w:b/>
          <w:kern w:val="0"/>
        </w:rPr>
      </w:pPr>
    </w:p>
    <w:p w14:paraId="273C0C87">
      <w:pPr>
        <w:autoSpaceDE w:val="0"/>
        <w:autoSpaceDN w:val="0"/>
        <w:adjustRightInd w:val="0"/>
        <w:spacing w:line="360" w:lineRule="auto"/>
        <w:contextualSpacing/>
        <w:jc w:val="center"/>
        <w:rPr>
          <w:rFonts w:hint="eastAsia" w:ascii="宋体" w:eastAsia="宋体"/>
          <w:lang w:eastAsia="zh-CN"/>
        </w:rPr>
      </w:pPr>
      <w:r>
        <w:rPr>
          <w:rFonts w:hint="eastAsia" w:ascii="宋体"/>
          <w:b/>
          <w:kern w:val="0"/>
        </w:rPr>
        <w:t>第六章 资格审查与评</w:t>
      </w:r>
      <w:r>
        <w:rPr>
          <w:rFonts w:hint="eastAsia" w:ascii="宋体"/>
          <w:b/>
          <w:kern w:val="0"/>
          <w:lang w:eastAsia="zh-CN"/>
        </w:rPr>
        <w:t>标</w:t>
      </w:r>
    </w:p>
    <w:p w14:paraId="43B7BD89">
      <w:pPr>
        <w:pStyle w:val="13"/>
        <w:spacing w:line="360" w:lineRule="auto"/>
        <w:contextualSpacing/>
        <w:rPr>
          <w:rFonts w:hint="eastAsia" w:ascii="宋体"/>
          <w:bCs/>
          <w:sz w:val="21"/>
          <w:szCs w:val="21"/>
        </w:rPr>
      </w:pPr>
      <w:r>
        <w:rPr>
          <w:rFonts w:hint="eastAsia" w:ascii="宋体"/>
          <w:b/>
          <w:sz w:val="21"/>
          <w:szCs w:val="21"/>
        </w:rPr>
        <w:t>一、资格审查</w:t>
      </w:r>
    </w:p>
    <w:p w14:paraId="7E052199">
      <w:pPr>
        <w:spacing w:line="360" w:lineRule="auto"/>
        <w:ind w:right="420" w:rightChars="200" w:firstLine="420" w:firstLineChars="200"/>
        <w:contextualSpacing/>
        <w:rPr>
          <w:rFonts w:hint="eastAsia" w:ascii="宋体"/>
          <w:bCs/>
        </w:rPr>
      </w:pPr>
      <w:r>
        <w:rPr>
          <w:rFonts w:hint="eastAsia" w:ascii="宋体"/>
          <w:bCs/>
        </w:rPr>
        <w:t>（一）开标结束后，采购人（采购代理机构）依法对投标人资格进行审查。确定符合资格的投标人不少于 3 家的，将组织评标委员会进行评标。</w:t>
      </w:r>
    </w:p>
    <w:p w14:paraId="6C603C2E">
      <w:pPr>
        <w:spacing w:line="360" w:lineRule="auto"/>
        <w:ind w:right="420" w:rightChars="200" w:firstLine="420" w:firstLineChars="200"/>
        <w:contextualSpacing/>
        <w:rPr>
          <w:rFonts w:hint="eastAsia" w:ascii="宋体"/>
          <w:bCs/>
        </w:rPr>
      </w:pPr>
      <w:r>
        <w:rPr>
          <w:rFonts w:hint="eastAsia" w:ascii="宋体"/>
          <w:bCs/>
        </w:rPr>
        <w:t>（二）资格证明材料（本栏所列内容为本项目的资格审查条件，如有一项不符合要求，则不能进入下一步评审）。</w:t>
      </w:r>
    </w:p>
    <w:p w14:paraId="32F90BC9">
      <w:pPr>
        <w:spacing w:line="360" w:lineRule="auto"/>
        <w:ind w:right="420" w:rightChars="200" w:firstLine="420" w:firstLineChars="200"/>
        <w:contextualSpacing/>
        <w:rPr>
          <w:rFonts w:hint="eastAsia" w:ascii="宋体"/>
          <w:bCs/>
        </w:rPr>
      </w:pPr>
      <w:r>
        <w:rPr>
          <w:rFonts w:hint="eastAsia" w:ascii="宋体"/>
          <w:bCs/>
        </w:rPr>
        <w:t>（三）资格证明材料（本栏所列内容为本项目的资格审查条件，如有一项不符合要求，则不能进入下一步评审）。</w:t>
      </w:r>
    </w:p>
    <w:tbl>
      <w:tblPr>
        <w:tblStyle w:val="19"/>
        <w:tblW w:w="9705"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2506"/>
        <w:gridCol w:w="6707"/>
      </w:tblGrid>
      <w:tr w14:paraId="4596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14:paraId="2A9C695E">
            <w:pPr>
              <w:spacing w:line="360" w:lineRule="auto"/>
              <w:jc w:val="center"/>
              <w:rPr>
                <w:rFonts w:hint="eastAsia" w:ascii="宋体"/>
                <w:b/>
              </w:rPr>
            </w:pPr>
            <w:r>
              <w:rPr>
                <w:rFonts w:hint="eastAsia" w:ascii="宋体"/>
                <w:b/>
              </w:rPr>
              <w:t>序号</w:t>
            </w:r>
          </w:p>
        </w:tc>
        <w:tc>
          <w:tcPr>
            <w:tcW w:w="2506" w:type="dxa"/>
            <w:noWrap w:val="0"/>
            <w:vAlign w:val="center"/>
          </w:tcPr>
          <w:p w14:paraId="77B1BB87">
            <w:pPr>
              <w:spacing w:line="360" w:lineRule="auto"/>
              <w:jc w:val="center"/>
              <w:rPr>
                <w:rFonts w:hint="eastAsia" w:ascii="宋体"/>
                <w:b/>
              </w:rPr>
            </w:pPr>
            <w:r>
              <w:rPr>
                <w:rFonts w:hint="eastAsia" w:ascii="宋体"/>
                <w:b/>
              </w:rPr>
              <w:t>资格审查因素</w:t>
            </w:r>
          </w:p>
        </w:tc>
        <w:tc>
          <w:tcPr>
            <w:tcW w:w="6707" w:type="dxa"/>
            <w:noWrap w:val="0"/>
            <w:vAlign w:val="center"/>
          </w:tcPr>
          <w:p w14:paraId="3867351A">
            <w:pPr>
              <w:spacing w:line="360" w:lineRule="auto"/>
              <w:jc w:val="center"/>
              <w:rPr>
                <w:rFonts w:hint="eastAsia" w:ascii="宋体"/>
                <w:b/>
              </w:rPr>
            </w:pPr>
            <w:r>
              <w:rPr>
                <w:rFonts w:hint="eastAsia" w:ascii="宋体"/>
                <w:b/>
              </w:rPr>
              <w:t>说明与要求</w:t>
            </w:r>
          </w:p>
        </w:tc>
      </w:tr>
      <w:tr w14:paraId="1A79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14:paraId="5532C685">
            <w:pPr>
              <w:spacing w:line="360" w:lineRule="auto"/>
              <w:jc w:val="center"/>
              <w:rPr>
                <w:rFonts w:hint="eastAsia" w:ascii="宋体"/>
                <w:bCs/>
              </w:rPr>
            </w:pPr>
            <w:r>
              <w:rPr>
                <w:rFonts w:hint="eastAsia" w:ascii="宋体"/>
                <w:bCs/>
              </w:rPr>
              <w:t>1</w:t>
            </w:r>
          </w:p>
        </w:tc>
        <w:tc>
          <w:tcPr>
            <w:tcW w:w="2506" w:type="dxa"/>
            <w:noWrap w:val="0"/>
            <w:vAlign w:val="center"/>
          </w:tcPr>
          <w:p w14:paraId="759B9C0B">
            <w:pPr>
              <w:spacing w:line="360" w:lineRule="auto"/>
              <w:jc w:val="center"/>
              <w:rPr>
                <w:rFonts w:hint="eastAsia" w:ascii="宋体" w:cs="宋体"/>
                <w:bCs/>
                <w:lang w:val="zh-CN" w:eastAsia="zh-CN" w:bidi="ar-SA"/>
              </w:rPr>
            </w:pPr>
            <w:r>
              <w:rPr>
                <w:rFonts w:hint="eastAsia" w:ascii="宋体" w:cs="宋体"/>
                <w:bCs/>
                <w:lang w:val="zh-CN" w:eastAsia="zh-CN" w:bidi="ar-SA"/>
              </w:rPr>
              <w:t>投标函</w:t>
            </w:r>
          </w:p>
        </w:tc>
        <w:tc>
          <w:tcPr>
            <w:tcW w:w="6707" w:type="dxa"/>
            <w:noWrap w:val="0"/>
            <w:vAlign w:val="center"/>
          </w:tcPr>
          <w:p w14:paraId="419E4289">
            <w:pPr>
              <w:spacing w:line="360" w:lineRule="auto"/>
              <w:rPr>
                <w:rFonts w:hint="eastAsia" w:ascii="宋体" w:cs="宋体"/>
                <w:bCs/>
                <w:lang w:val="zh-CN" w:eastAsia="zh-CN" w:bidi="ar-SA"/>
              </w:rPr>
            </w:pPr>
            <w:r>
              <w:rPr>
                <w:rFonts w:hint="eastAsia" w:ascii="宋体" w:cs="宋体"/>
                <w:bCs/>
                <w:lang w:val="zh-CN" w:eastAsia="zh-CN" w:bidi="ar-SA"/>
              </w:rPr>
              <w:t>参考招标文件第八章3.1格式填写</w:t>
            </w:r>
          </w:p>
        </w:tc>
      </w:tr>
      <w:tr w14:paraId="0C8E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14:paraId="49CBB1D5">
            <w:pPr>
              <w:spacing w:line="360" w:lineRule="auto"/>
              <w:jc w:val="center"/>
              <w:rPr>
                <w:rFonts w:hint="eastAsia" w:ascii="宋体"/>
                <w:bCs/>
              </w:rPr>
            </w:pPr>
            <w:r>
              <w:rPr>
                <w:rFonts w:hint="eastAsia" w:ascii="宋体"/>
                <w:bCs/>
              </w:rPr>
              <w:t>2</w:t>
            </w:r>
          </w:p>
        </w:tc>
        <w:tc>
          <w:tcPr>
            <w:tcW w:w="2506" w:type="dxa"/>
            <w:noWrap w:val="0"/>
            <w:vAlign w:val="center"/>
          </w:tcPr>
          <w:p w14:paraId="1B91D319">
            <w:pPr>
              <w:spacing w:line="360" w:lineRule="auto"/>
              <w:jc w:val="center"/>
              <w:rPr>
                <w:rFonts w:hint="eastAsia" w:ascii="宋体" w:cs="宋体"/>
                <w:bCs/>
                <w:lang w:val="zh-CN" w:eastAsia="zh-CN" w:bidi="ar-SA"/>
              </w:rPr>
            </w:pPr>
            <w:r>
              <w:rPr>
                <w:rFonts w:hint="eastAsia" w:ascii="宋体" w:cs="宋体"/>
                <w:bCs/>
                <w:lang w:val="zh-CN" w:eastAsia="zh-CN" w:bidi="ar-SA"/>
              </w:rPr>
              <w:t>长葛市政府采购</w:t>
            </w:r>
          </w:p>
          <w:p w14:paraId="05F7C05A">
            <w:pPr>
              <w:spacing w:line="360" w:lineRule="auto"/>
              <w:jc w:val="center"/>
              <w:rPr>
                <w:rFonts w:hint="eastAsia" w:ascii="宋体" w:cs="宋体"/>
                <w:bCs/>
                <w:lang w:val="zh-CN" w:eastAsia="zh-CN" w:bidi="ar-SA"/>
              </w:rPr>
            </w:pPr>
            <w:r>
              <w:rPr>
                <w:rFonts w:hint="eastAsia" w:ascii="宋体" w:cs="宋体"/>
                <w:bCs/>
                <w:lang w:val="zh-CN" w:eastAsia="zh-CN" w:bidi="ar-SA"/>
              </w:rPr>
              <w:t>投标人信用承诺函</w:t>
            </w:r>
          </w:p>
        </w:tc>
        <w:tc>
          <w:tcPr>
            <w:tcW w:w="6707" w:type="dxa"/>
            <w:noWrap w:val="0"/>
            <w:vAlign w:val="center"/>
          </w:tcPr>
          <w:p w14:paraId="427AC349">
            <w:pPr>
              <w:spacing w:line="360" w:lineRule="auto"/>
              <w:jc w:val="left"/>
              <w:rPr>
                <w:rFonts w:hint="eastAsia" w:ascii="宋体" w:cs="宋体"/>
                <w:bCs/>
                <w:lang w:val="zh-CN" w:eastAsia="zh-CN" w:bidi="ar-SA"/>
              </w:rPr>
            </w:pPr>
            <w:r>
              <w:rPr>
                <w:rFonts w:hint="eastAsia" w:ascii="宋体" w:cs="宋体"/>
                <w:bCs/>
                <w:lang w:val="zh-CN" w:eastAsia="zh-CN" w:bidi="ar-SA"/>
              </w:rPr>
              <w:t>按照招标文件第八章3.5格式填写</w:t>
            </w:r>
          </w:p>
        </w:tc>
      </w:tr>
      <w:tr w14:paraId="0F2A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14:paraId="450A7AC5">
            <w:pPr>
              <w:spacing w:line="360" w:lineRule="auto"/>
              <w:jc w:val="center"/>
              <w:rPr>
                <w:rFonts w:hint="eastAsia" w:ascii="宋体"/>
                <w:bCs/>
              </w:rPr>
            </w:pPr>
            <w:r>
              <w:rPr>
                <w:rFonts w:hint="eastAsia" w:ascii="宋体"/>
                <w:bCs/>
              </w:rPr>
              <w:t>3</w:t>
            </w:r>
          </w:p>
        </w:tc>
        <w:tc>
          <w:tcPr>
            <w:tcW w:w="2506" w:type="dxa"/>
            <w:noWrap w:val="0"/>
            <w:vAlign w:val="center"/>
          </w:tcPr>
          <w:p w14:paraId="7343D0DB">
            <w:pPr>
              <w:spacing w:line="360" w:lineRule="auto"/>
              <w:jc w:val="center"/>
              <w:rPr>
                <w:rFonts w:hint="eastAsia" w:ascii="宋体" w:cs="宋体"/>
                <w:bCs/>
                <w:lang w:val="zh-CN" w:eastAsia="zh-CN" w:bidi="ar-SA"/>
              </w:rPr>
            </w:pPr>
            <w:r>
              <w:rPr>
                <w:rFonts w:hint="eastAsia" w:ascii="宋体" w:cs="宋体"/>
                <w:bCs/>
                <w:lang w:val="zh-CN" w:eastAsia="zh-CN" w:bidi="ar-SA"/>
              </w:rPr>
              <w:t>投标报价</w:t>
            </w:r>
          </w:p>
        </w:tc>
        <w:tc>
          <w:tcPr>
            <w:tcW w:w="6707" w:type="dxa"/>
            <w:noWrap w:val="0"/>
            <w:vAlign w:val="top"/>
          </w:tcPr>
          <w:p w14:paraId="08E95BF0">
            <w:pPr>
              <w:spacing w:line="360" w:lineRule="auto"/>
              <w:rPr>
                <w:rFonts w:hint="eastAsia" w:ascii="宋体" w:cs="宋体"/>
                <w:bCs/>
                <w:lang w:val="zh-CN" w:eastAsia="zh-CN" w:bidi="ar-SA"/>
              </w:rPr>
            </w:pPr>
            <w:r>
              <w:rPr>
                <w:rFonts w:hint="eastAsia" w:ascii="宋体" w:cs="宋体"/>
                <w:bCs/>
                <w:lang w:val="zh-CN" w:eastAsia="zh-CN" w:bidi="ar-SA"/>
              </w:rPr>
              <w:t>投标报价是否超出招标文件中规定的预算金额，超出预算金额的投标无效。如投标人须知前附表规定最高限价，则超出预算金额和最高限价的投标无效。</w:t>
            </w:r>
          </w:p>
        </w:tc>
      </w:tr>
      <w:tr w14:paraId="74D3D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14:paraId="33636799">
            <w:pPr>
              <w:spacing w:line="360" w:lineRule="auto"/>
              <w:jc w:val="center"/>
              <w:rPr>
                <w:rFonts w:hint="eastAsia" w:ascii="宋体" w:cs="宋体"/>
                <w:bCs/>
                <w:lang w:val="zh-CN" w:eastAsia="zh-CN" w:bidi="ar-SA"/>
              </w:rPr>
            </w:pPr>
            <w:r>
              <w:rPr>
                <w:rFonts w:hint="eastAsia" w:ascii="宋体" w:cs="宋体"/>
                <w:bCs/>
                <w:lang w:val="zh-CN" w:eastAsia="zh-CN" w:bidi="ar-SA"/>
              </w:rPr>
              <w:t>4</w:t>
            </w:r>
          </w:p>
        </w:tc>
        <w:tc>
          <w:tcPr>
            <w:tcW w:w="2506" w:type="dxa"/>
            <w:noWrap w:val="0"/>
            <w:vAlign w:val="center"/>
          </w:tcPr>
          <w:p w14:paraId="51A59F6E">
            <w:pPr>
              <w:spacing w:line="360" w:lineRule="auto"/>
              <w:jc w:val="center"/>
              <w:rPr>
                <w:rFonts w:hint="eastAsia" w:ascii="宋体" w:cs="宋体"/>
                <w:bCs/>
                <w:lang w:val="zh-CN" w:eastAsia="zh-CN" w:bidi="ar-SA"/>
              </w:rPr>
            </w:pPr>
            <w:r>
              <w:rPr>
                <w:rFonts w:hint="eastAsia" w:ascii="宋体" w:cs="宋体"/>
                <w:bCs/>
                <w:lang w:val="zh-CN" w:eastAsia="zh-CN" w:bidi="ar-SA"/>
              </w:rPr>
              <w:t>投标承诺函</w:t>
            </w:r>
          </w:p>
        </w:tc>
        <w:tc>
          <w:tcPr>
            <w:tcW w:w="6707" w:type="dxa"/>
            <w:noWrap w:val="0"/>
            <w:vAlign w:val="center"/>
          </w:tcPr>
          <w:p w14:paraId="5C9B21B8">
            <w:pPr>
              <w:spacing w:line="360" w:lineRule="auto"/>
              <w:rPr>
                <w:rFonts w:hint="eastAsia" w:ascii="宋体" w:cs="宋体"/>
                <w:bCs/>
                <w:lang w:val="zh-CN" w:eastAsia="zh-CN" w:bidi="ar-SA"/>
              </w:rPr>
            </w:pPr>
            <w:r>
              <w:rPr>
                <w:rFonts w:hint="eastAsia" w:ascii="宋体" w:cs="宋体"/>
                <w:bCs/>
                <w:lang w:val="zh-CN" w:eastAsia="zh-CN" w:bidi="ar-SA"/>
              </w:rPr>
              <w:t>按照招标文件第八章3.4格式填写。</w:t>
            </w:r>
          </w:p>
        </w:tc>
      </w:tr>
      <w:tr w14:paraId="23DE1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14:paraId="2FC5E575">
            <w:pPr>
              <w:spacing w:line="360" w:lineRule="auto"/>
              <w:jc w:val="center"/>
              <w:rPr>
                <w:rFonts w:hint="eastAsia" w:ascii="宋体" w:cs="宋体"/>
                <w:bCs/>
                <w:lang w:val="zh-CN" w:eastAsia="zh-CN" w:bidi="ar-SA"/>
              </w:rPr>
            </w:pPr>
            <w:r>
              <w:rPr>
                <w:rFonts w:hint="eastAsia" w:ascii="宋体" w:cs="宋体"/>
                <w:bCs/>
                <w:lang w:val="zh-CN" w:eastAsia="zh-CN" w:bidi="ar-SA"/>
              </w:rPr>
              <w:t>5</w:t>
            </w:r>
          </w:p>
        </w:tc>
        <w:tc>
          <w:tcPr>
            <w:tcW w:w="2506" w:type="dxa"/>
            <w:noWrap w:val="0"/>
            <w:vAlign w:val="center"/>
          </w:tcPr>
          <w:p w14:paraId="53130F9E">
            <w:pPr>
              <w:spacing w:line="360" w:lineRule="auto"/>
              <w:jc w:val="center"/>
              <w:rPr>
                <w:rFonts w:hint="eastAsia" w:ascii="宋体" w:cs="宋体"/>
                <w:bCs/>
                <w:lang w:val="zh-CN" w:eastAsia="zh-CN" w:bidi="ar-SA"/>
              </w:rPr>
            </w:pPr>
            <w:r>
              <w:rPr>
                <w:rFonts w:hint="eastAsia" w:ascii="宋体" w:cs="宋体"/>
                <w:bCs/>
                <w:lang w:val="zh-CN" w:eastAsia="zh-CN" w:bidi="ar-SA"/>
              </w:rPr>
              <w:t>联合体协议</w:t>
            </w:r>
          </w:p>
        </w:tc>
        <w:tc>
          <w:tcPr>
            <w:tcW w:w="6707" w:type="dxa"/>
            <w:noWrap w:val="0"/>
            <w:vAlign w:val="top"/>
          </w:tcPr>
          <w:p w14:paraId="0EB4AB38">
            <w:pPr>
              <w:spacing w:line="360" w:lineRule="auto"/>
              <w:rPr>
                <w:rFonts w:hint="eastAsia" w:ascii="宋体" w:cs="宋体"/>
                <w:bCs/>
                <w:lang w:val="zh-CN" w:eastAsia="zh-CN" w:bidi="ar-SA"/>
              </w:rPr>
            </w:pPr>
            <w:r>
              <w:rPr>
                <w:rFonts w:hint="eastAsia" w:ascii="宋体" w:cs="宋体"/>
                <w:bCs/>
                <w:lang w:bidi="ar-SA"/>
              </w:rPr>
              <w:t>招标文件接受联合体投标且投标人为联合体的，投标人应提供本协议；否则无须提供。</w:t>
            </w:r>
          </w:p>
        </w:tc>
      </w:tr>
      <w:tr w14:paraId="2810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14:paraId="47BEFA21">
            <w:pPr>
              <w:spacing w:line="360" w:lineRule="auto"/>
              <w:jc w:val="center"/>
              <w:rPr>
                <w:rFonts w:hint="eastAsia" w:ascii="宋体" w:cs="宋体"/>
                <w:bCs/>
                <w:lang w:val="zh-CN" w:eastAsia="zh-CN" w:bidi="ar-SA"/>
              </w:rPr>
            </w:pPr>
            <w:r>
              <w:rPr>
                <w:rFonts w:hint="eastAsia" w:ascii="宋体" w:cs="宋体"/>
                <w:bCs/>
                <w:lang w:val="zh-CN" w:eastAsia="zh-CN" w:bidi="ar-SA"/>
              </w:rPr>
              <w:t>6</w:t>
            </w:r>
          </w:p>
        </w:tc>
        <w:tc>
          <w:tcPr>
            <w:tcW w:w="2506" w:type="dxa"/>
            <w:noWrap w:val="0"/>
            <w:vAlign w:val="center"/>
          </w:tcPr>
          <w:p w14:paraId="4434A20A">
            <w:pPr>
              <w:spacing w:line="360" w:lineRule="auto"/>
              <w:jc w:val="center"/>
              <w:rPr>
                <w:rFonts w:hint="eastAsia" w:ascii="宋体" w:cs="宋体"/>
                <w:bCs/>
                <w:lang w:val="zh-CN" w:eastAsia="zh-CN" w:bidi="ar-SA"/>
              </w:rPr>
            </w:pPr>
            <w:r>
              <w:rPr>
                <w:rFonts w:hint="eastAsia" w:ascii="宋体" w:cs="宋体"/>
                <w:bCs/>
                <w:lang w:val="zh-CN" w:eastAsia="zh-CN" w:bidi="ar-SA"/>
              </w:rPr>
              <w:t>投标人身份证明</w:t>
            </w:r>
          </w:p>
          <w:p w14:paraId="1C5A476C">
            <w:pPr>
              <w:spacing w:line="360" w:lineRule="auto"/>
              <w:jc w:val="center"/>
              <w:rPr>
                <w:rFonts w:hint="eastAsia" w:ascii="宋体" w:cs="宋体"/>
                <w:bCs/>
                <w:lang w:val="zh-CN" w:eastAsia="zh-CN" w:bidi="ar-SA"/>
              </w:rPr>
            </w:pPr>
            <w:r>
              <w:rPr>
                <w:rFonts w:hint="eastAsia" w:ascii="宋体" w:cs="宋体"/>
                <w:bCs/>
                <w:lang w:val="zh-CN" w:eastAsia="zh-CN" w:bidi="ar-SA"/>
              </w:rPr>
              <w:t>及授权</w:t>
            </w:r>
          </w:p>
        </w:tc>
        <w:tc>
          <w:tcPr>
            <w:tcW w:w="6707" w:type="dxa"/>
            <w:noWrap w:val="0"/>
            <w:vAlign w:val="top"/>
          </w:tcPr>
          <w:p w14:paraId="51DC2D70">
            <w:pPr>
              <w:spacing w:line="360" w:lineRule="auto"/>
              <w:rPr>
                <w:rFonts w:hint="eastAsia" w:ascii="宋体" w:cs="宋体"/>
                <w:bCs/>
                <w:lang w:val="zh-CN" w:eastAsia="zh-CN" w:bidi="ar-SA"/>
              </w:rPr>
            </w:pPr>
            <w:r>
              <w:rPr>
                <w:rFonts w:hint="eastAsia" w:ascii="宋体" w:cs="宋体"/>
                <w:bCs/>
                <w:lang w:val="zh-CN" w:eastAsia="zh-CN" w:bidi="ar-SA"/>
              </w:rPr>
              <w:t>（1）法定代表人身份证明或提供法定代表人授权委托书及被授权人身份证明。（法人投标提供）</w:t>
            </w:r>
          </w:p>
          <w:p w14:paraId="0EAEE914">
            <w:pPr>
              <w:spacing w:line="360" w:lineRule="auto"/>
              <w:rPr>
                <w:rFonts w:hint="eastAsia" w:ascii="宋体" w:cs="宋体"/>
                <w:bCs/>
                <w:lang w:val="zh-CN" w:eastAsia="zh-CN" w:bidi="ar-SA"/>
              </w:rPr>
            </w:pPr>
            <w:r>
              <w:rPr>
                <w:rFonts w:hint="eastAsia" w:ascii="宋体" w:cs="宋体"/>
                <w:bCs/>
                <w:lang w:val="zh-CN" w:eastAsia="zh-CN" w:bidi="ar-SA"/>
              </w:rPr>
              <w:t>（2）单位负责人身份证明或提供单位负责人授权委托书及被授权人身份证明。（非法人投标提供）</w:t>
            </w:r>
          </w:p>
          <w:p w14:paraId="40C5C5B0">
            <w:pPr>
              <w:spacing w:line="360" w:lineRule="auto"/>
              <w:rPr>
                <w:rFonts w:hint="eastAsia" w:ascii="宋体" w:cs="宋体"/>
                <w:bCs/>
                <w:lang w:val="zh-CN" w:eastAsia="zh-CN" w:bidi="ar-SA"/>
              </w:rPr>
            </w:pPr>
            <w:r>
              <w:rPr>
                <w:rFonts w:hint="eastAsia" w:ascii="宋体" w:cs="宋体"/>
                <w:bCs/>
                <w:lang w:val="zh-CN" w:eastAsia="zh-CN" w:bidi="ar-SA"/>
              </w:rPr>
              <w:t>注：</w:t>
            </w:r>
          </w:p>
          <w:p w14:paraId="78E109FC">
            <w:pPr>
              <w:spacing w:line="360" w:lineRule="auto"/>
              <w:rPr>
                <w:rFonts w:hint="eastAsia" w:ascii="宋体" w:cs="宋体"/>
                <w:bCs/>
                <w:lang w:val="zh-CN" w:eastAsia="zh-CN" w:bidi="ar-SA"/>
              </w:rPr>
            </w:pPr>
            <w:r>
              <w:rPr>
                <w:rFonts w:hint="eastAsia" w:ascii="宋体" w:cs="宋体"/>
                <w:bCs/>
                <w:lang w:val="zh-CN" w:eastAsia="zh-CN" w:bidi="ar-SA"/>
              </w:rPr>
              <w:t>①企业（银行、保险、石油石化、电力、电信等行业除外）、事业单位和社会团体投标人以法人身份参加投标的，法定代表人应与实际提交的“营业执照等证明文件”载明的一致。</w:t>
            </w:r>
          </w:p>
          <w:p w14:paraId="272C420C">
            <w:pPr>
              <w:spacing w:line="360" w:lineRule="auto"/>
              <w:rPr>
                <w:rFonts w:hint="eastAsia" w:ascii="宋体" w:cs="宋体"/>
                <w:bCs/>
                <w:lang w:val="zh-CN" w:eastAsia="zh-CN" w:bidi="ar-SA"/>
              </w:rPr>
            </w:pPr>
            <w:r>
              <w:rPr>
                <w:rFonts w:hint="eastAsia" w:ascii="宋体" w:cs="宋体"/>
                <w:bCs/>
                <w:lang w:val="zh-CN" w:eastAsia="zh-CN" w:bidi="ar-SA"/>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14:paraId="0C4673EF">
            <w:pPr>
              <w:spacing w:line="360" w:lineRule="auto"/>
              <w:rPr>
                <w:rFonts w:hint="eastAsia" w:ascii="宋体" w:cs="宋体"/>
                <w:bCs/>
                <w:lang w:val="zh-CN" w:eastAsia="zh-CN" w:bidi="ar-SA"/>
              </w:rPr>
            </w:pPr>
            <w:r>
              <w:rPr>
                <w:rFonts w:hint="eastAsia" w:ascii="宋体" w:cs="宋体"/>
                <w:bCs/>
                <w:lang w:val="zh-CN" w:eastAsia="zh-CN" w:bidi="ar-SA"/>
              </w:rPr>
              <w:t>③投标人为自然人的，无需填写法定代表人授权书。</w:t>
            </w:r>
          </w:p>
        </w:tc>
      </w:tr>
      <w:tr w14:paraId="6A63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14:paraId="394691C4">
            <w:pPr>
              <w:spacing w:line="360" w:lineRule="auto"/>
              <w:jc w:val="center"/>
              <w:rPr>
                <w:rFonts w:hint="eastAsia" w:ascii="宋体" w:cs="宋体"/>
                <w:bCs/>
                <w:lang w:val="zh-CN" w:eastAsia="zh-CN" w:bidi="ar-SA"/>
              </w:rPr>
            </w:pPr>
            <w:r>
              <w:rPr>
                <w:rFonts w:hint="eastAsia" w:ascii="宋体" w:cs="宋体"/>
                <w:bCs/>
                <w:lang w:val="zh-CN" w:eastAsia="zh-CN" w:bidi="ar-SA"/>
              </w:rPr>
              <w:t>7</w:t>
            </w:r>
          </w:p>
        </w:tc>
        <w:tc>
          <w:tcPr>
            <w:tcW w:w="2506" w:type="dxa"/>
            <w:noWrap w:val="0"/>
            <w:vAlign w:val="center"/>
          </w:tcPr>
          <w:p w14:paraId="65B3DB48">
            <w:pPr>
              <w:spacing w:line="360" w:lineRule="auto"/>
              <w:jc w:val="center"/>
              <w:rPr>
                <w:rFonts w:hint="eastAsia" w:ascii="宋体" w:cs="宋体"/>
                <w:bCs/>
                <w:lang w:val="zh-CN" w:eastAsia="zh-CN" w:bidi="ar-SA"/>
              </w:rPr>
            </w:pPr>
            <w:r>
              <w:rPr>
                <w:rFonts w:hint="eastAsia" w:ascii="宋体" w:cs="宋体"/>
                <w:bCs/>
                <w:lang w:val="zh-CN" w:eastAsia="zh-CN" w:bidi="ar-SA"/>
              </w:rPr>
              <w:t>单位负责人为同一人或者存在直接控股、管理关系的不同投标人，不得参加同一合同项下的政府采购活动</w:t>
            </w:r>
          </w:p>
        </w:tc>
        <w:tc>
          <w:tcPr>
            <w:tcW w:w="6707" w:type="dxa"/>
            <w:noWrap w:val="0"/>
            <w:vAlign w:val="center"/>
          </w:tcPr>
          <w:p w14:paraId="550379D8">
            <w:pPr>
              <w:spacing w:line="360" w:lineRule="auto"/>
              <w:rPr>
                <w:rFonts w:hint="eastAsia" w:ascii="宋体" w:cs="宋体"/>
                <w:bCs/>
                <w:lang w:val="zh-CN" w:eastAsia="zh-CN" w:bidi="ar-SA"/>
              </w:rPr>
            </w:pPr>
            <w:r>
              <w:rPr>
                <w:rFonts w:hint="eastAsia" w:ascii="宋体" w:cs="宋体"/>
                <w:bCs/>
                <w:lang w:val="zh-CN" w:eastAsia="zh-CN" w:bidi="ar-SA"/>
              </w:rPr>
              <w:t>投标人提供与参加本项目投标的其他投标人之间，单位负责人不为同一人并且不存在直接控股、管理关系承诺函（承诺函格式自拟）。</w:t>
            </w:r>
          </w:p>
          <w:p w14:paraId="6CF80FD7">
            <w:pPr>
              <w:spacing w:line="360" w:lineRule="auto"/>
              <w:rPr>
                <w:rFonts w:hint="eastAsia" w:ascii="宋体" w:cs="宋体"/>
                <w:bCs/>
                <w:lang w:val="zh-CN" w:eastAsia="zh-CN" w:bidi="ar-SA"/>
              </w:rPr>
            </w:pPr>
          </w:p>
        </w:tc>
      </w:tr>
      <w:tr w14:paraId="7FC3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14:paraId="487982B5">
            <w:pPr>
              <w:spacing w:line="360" w:lineRule="auto"/>
              <w:jc w:val="center"/>
              <w:rPr>
                <w:rFonts w:hint="eastAsia" w:ascii="宋体" w:cs="宋体"/>
                <w:bCs/>
                <w:lang w:val="zh-CN" w:eastAsia="zh-CN" w:bidi="ar-SA"/>
              </w:rPr>
            </w:pPr>
            <w:r>
              <w:rPr>
                <w:rFonts w:hint="eastAsia" w:ascii="宋体" w:cs="宋体"/>
                <w:bCs/>
                <w:lang w:val="zh-CN" w:eastAsia="zh-CN" w:bidi="ar-SA"/>
              </w:rPr>
              <w:t>8</w:t>
            </w:r>
          </w:p>
        </w:tc>
        <w:tc>
          <w:tcPr>
            <w:tcW w:w="2506" w:type="dxa"/>
            <w:noWrap w:val="0"/>
            <w:vAlign w:val="center"/>
          </w:tcPr>
          <w:p w14:paraId="6B9AF890">
            <w:pPr>
              <w:spacing w:line="360" w:lineRule="auto"/>
              <w:jc w:val="center"/>
              <w:rPr>
                <w:rFonts w:hint="eastAsia" w:ascii="宋体" w:cs="宋体"/>
                <w:bCs/>
                <w:lang w:val="zh-CN" w:eastAsia="zh-CN" w:bidi="ar-SA"/>
              </w:rPr>
            </w:pPr>
            <w:r>
              <w:rPr>
                <w:rFonts w:hint="eastAsia" w:ascii="宋体" w:cs="宋体"/>
                <w:bCs/>
                <w:lang w:val="zh-CN" w:eastAsia="zh-CN" w:bidi="ar-SA"/>
              </w:rPr>
              <w:t>为本项目提供整体设计、规范编制或者项目管理、监理、检测等服务的投标人不得参加本项目投标</w:t>
            </w:r>
          </w:p>
        </w:tc>
        <w:tc>
          <w:tcPr>
            <w:tcW w:w="6707" w:type="dxa"/>
            <w:noWrap w:val="0"/>
            <w:vAlign w:val="center"/>
          </w:tcPr>
          <w:p w14:paraId="3EB5EE90">
            <w:pPr>
              <w:spacing w:line="360" w:lineRule="auto"/>
              <w:rPr>
                <w:rFonts w:hint="eastAsia" w:ascii="宋体" w:cs="宋体"/>
                <w:bCs/>
                <w:lang w:val="zh-CN" w:eastAsia="zh-CN" w:bidi="ar-SA"/>
              </w:rPr>
            </w:pPr>
            <w:r>
              <w:rPr>
                <w:rFonts w:hint="eastAsia" w:ascii="宋体" w:cs="宋体"/>
                <w:bCs/>
                <w:lang w:val="zh-CN" w:eastAsia="zh-CN" w:bidi="ar-SA"/>
              </w:rPr>
              <w:t>投标人</w:t>
            </w:r>
            <w:bookmarkStart w:id="22" w:name="baidusnap2"/>
            <w:bookmarkEnd w:id="22"/>
            <w:r>
              <w:rPr>
                <w:rFonts w:hint="eastAsia" w:ascii="宋体" w:cs="宋体"/>
                <w:bCs/>
                <w:lang w:val="zh-CN" w:eastAsia="zh-CN" w:bidi="ar-SA"/>
              </w:rPr>
              <w:t>提供未为本项目提供整体设计、</w:t>
            </w:r>
            <w:bookmarkStart w:id="23" w:name="baidusnap9"/>
            <w:bookmarkEnd w:id="23"/>
            <w:r>
              <w:rPr>
                <w:rFonts w:hint="eastAsia" w:ascii="宋体" w:cs="宋体"/>
                <w:bCs/>
                <w:lang w:val="zh-CN" w:eastAsia="zh-CN" w:bidi="ar-SA"/>
              </w:rPr>
              <w:t>规范编制或者项目管理、监理、检测等服务承诺函（承诺函格式自拟）。</w:t>
            </w:r>
          </w:p>
          <w:p w14:paraId="6B6C898C">
            <w:pPr>
              <w:spacing w:line="360" w:lineRule="auto"/>
              <w:rPr>
                <w:rFonts w:hint="eastAsia" w:ascii="宋体" w:cs="宋体"/>
                <w:bCs/>
                <w:lang w:val="zh-CN" w:eastAsia="zh-CN" w:bidi="ar-SA"/>
              </w:rPr>
            </w:pPr>
          </w:p>
        </w:tc>
      </w:tr>
    </w:tbl>
    <w:p w14:paraId="49C8002A">
      <w:pPr>
        <w:spacing w:line="360" w:lineRule="auto"/>
        <w:rPr>
          <w:rFonts w:hint="eastAsia" w:ascii="宋体"/>
          <w:b/>
        </w:rPr>
      </w:pPr>
      <w:r>
        <w:rPr>
          <w:rFonts w:hint="eastAsia" w:ascii="宋体" w:cs="宋体"/>
          <w:bCs/>
          <w:lang w:val="zh-CN" w:eastAsia="zh-CN" w:bidi="ar-SA"/>
        </w:rPr>
        <w:t>二、评审</w:t>
      </w:r>
    </w:p>
    <w:p w14:paraId="19A59870">
      <w:pPr>
        <w:spacing w:line="360" w:lineRule="auto"/>
        <w:ind w:firstLine="422" w:firstLineChars="200"/>
        <w:rPr>
          <w:rFonts w:hint="eastAsia" w:ascii="宋体" w:cs="宋体"/>
          <w:b/>
          <w:lang w:val="zh-CN" w:eastAsia="zh-CN" w:bidi="ar-SA"/>
        </w:rPr>
      </w:pPr>
      <w:r>
        <w:rPr>
          <w:rFonts w:hint="eastAsia" w:ascii="宋体" w:cs="宋体"/>
          <w:b/>
          <w:lang w:val="zh-CN" w:eastAsia="zh-CN" w:bidi="ar-SA"/>
        </w:rPr>
        <w:t>（一）评标方法</w:t>
      </w:r>
    </w:p>
    <w:p w14:paraId="5D99EFE4">
      <w:pPr>
        <w:spacing w:line="360" w:lineRule="auto"/>
        <w:ind w:firstLine="420" w:firstLineChars="200"/>
        <w:rPr>
          <w:rFonts w:hint="eastAsia" w:ascii="宋体" w:cs="宋体"/>
          <w:lang w:val="zh-CN" w:eastAsia="zh-CN" w:bidi="ar-SA"/>
        </w:rPr>
      </w:pPr>
      <w:r>
        <w:rPr>
          <w:rFonts w:hint="eastAsia" w:ascii="宋体" w:cs="宋体"/>
          <w:lang w:val="zh-CN" w:eastAsia="zh-CN" w:bidi="ar-SA"/>
        </w:rPr>
        <w:t>本项目采用综合评分法，总分为100分。</w:t>
      </w:r>
    </w:p>
    <w:p w14:paraId="2DBC4925">
      <w:pPr>
        <w:spacing w:line="360" w:lineRule="auto"/>
        <w:ind w:firstLine="422" w:firstLineChars="200"/>
        <w:rPr>
          <w:rFonts w:hint="eastAsia" w:ascii="宋体" w:cs="宋体"/>
          <w:b/>
          <w:lang w:val="zh-CN" w:eastAsia="zh-CN" w:bidi="ar-SA"/>
        </w:rPr>
      </w:pPr>
      <w:r>
        <w:rPr>
          <w:rFonts w:hint="eastAsia" w:ascii="宋体" w:cs="宋体"/>
          <w:b/>
          <w:lang w:val="zh-CN" w:eastAsia="zh-CN" w:bidi="ar-SA"/>
        </w:rPr>
        <w:t>（二）评标委员会负责具体评标事务，并独立履行下列职责</w:t>
      </w:r>
    </w:p>
    <w:p w14:paraId="53111CD2">
      <w:pPr>
        <w:spacing w:line="360" w:lineRule="auto"/>
        <w:ind w:firstLine="422" w:firstLineChars="200"/>
        <w:jc w:val="left"/>
        <w:rPr>
          <w:rFonts w:hint="eastAsia" w:ascii="宋体" w:cs="宋体"/>
          <w:b/>
          <w:lang w:val="zh-CN" w:eastAsia="zh-CN" w:bidi="ar-SA"/>
        </w:rPr>
      </w:pPr>
      <w:r>
        <w:rPr>
          <w:rFonts w:hint="eastAsia" w:ascii="宋体" w:cs="宋体"/>
          <w:b/>
          <w:lang w:val="zh-CN" w:eastAsia="zh-CN" w:bidi="ar-SA"/>
        </w:rPr>
        <w:t>1、审查、评价投标文件是否符合招标文件的商务、技术等实质性要求；</w:t>
      </w:r>
    </w:p>
    <w:p w14:paraId="6B205A1F">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评标委员会对符合资格的投标人的投标文件进行符合性审查，以确定其是否满足招标需求等实质性要求。</w:t>
      </w:r>
    </w:p>
    <w:p w14:paraId="7A57D32D">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注：符合性审查中所涉及的证书及材料，均须在电子投标文件中提供原件扫描件（或图片）。</w:t>
      </w:r>
    </w:p>
    <w:p w14:paraId="557B5FA4">
      <w:pPr>
        <w:spacing w:line="360" w:lineRule="auto"/>
        <w:ind w:firstLine="422" w:firstLineChars="200"/>
        <w:rPr>
          <w:rFonts w:hint="eastAsia" w:ascii="宋体" w:cs="宋体"/>
          <w:b/>
          <w:lang w:val="zh-CN" w:eastAsia="zh-CN" w:bidi="ar-SA"/>
        </w:rPr>
      </w:pPr>
      <w:r>
        <w:rPr>
          <w:rFonts w:hint="eastAsia" w:ascii="宋体" w:cs="宋体"/>
          <w:b/>
          <w:lang w:val="zh-CN" w:eastAsia="zh-CN" w:bidi="ar-SA"/>
        </w:rPr>
        <w:t>2、要求投标人对投标文件有关事项作出澄清或者说明；</w:t>
      </w:r>
    </w:p>
    <w:p w14:paraId="306516DA">
      <w:pPr>
        <w:spacing w:line="360" w:lineRule="auto"/>
        <w:ind w:firstLine="420" w:firstLineChars="200"/>
        <w:rPr>
          <w:rFonts w:hint="eastAsia" w:ascii="宋体" w:cs="宋体"/>
          <w:lang w:val="zh-CN" w:eastAsia="zh-CN" w:bidi="ar-SA"/>
        </w:rPr>
      </w:pPr>
      <w:r>
        <w:rPr>
          <w:rFonts w:hint="eastAsia" w:ascii="宋体" w:cs="宋体"/>
          <w:lang w:val="zh-CN" w:eastAsia="zh-CN" w:bidi="ar-SA"/>
        </w:rPr>
        <w:t>对于投标文件中含义不明确、同类问题表述不一致或者有明显文字和计算错误的内容，评标委员会应当以书面形式要求投标人作出必要的澄清、说明或者补正。</w:t>
      </w:r>
    </w:p>
    <w:p w14:paraId="18C6B3D5">
      <w:pPr>
        <w:spacing w:line="360" w:lineRule="auto"/>
        <w:ind w:firstLine="420" w:firstLineChars="200"/>
        <w:rPr>
          <w:rFonts w:hint="eastAsia" w:ascii="宋体" w:cs="宋体"/>
          <w:lang w:val="zh-CN" w:eastAsia="zh-CN" w:bidi="ar-SA"/>
        </w:rPr>
      </w:pPr>
      <w:r>
        <w:rPr>
          <w:rFonts w:hint="eastAsia" w:ascii="宋体" w:cs="宋体"/>
          <w:lang w:val="zh-CN" w:eastAsia="zh-CN" w:bidi="ar-SA"/>
        </w:rPr>
        <w:t>投标人的澄清、说明或者补正应当采用书面形式，并加盖公章，或者由法定代表人或其授权的代表签字。投标人的澄清、说明或者补正不得超出投标文件的范围或者改变投标文件的实质性内容。</w:t>
      </w:r>
    </w:p>
    <w:p w14:paraId="0410DF02">
      <w:pPr>
        <w:numPr>
          <w:ilvl w:val="0"/>
          <w:numId w:val="19"/>
        </w:numPr>
        <w:spacing w:line="360" w:lineRule="auto"/>
        <w:ind w:left="0" w:firstLine="465"/>
        <w:contextualSpacing/>
        <w:jc w:val="left"/>
        <w:rPr>
          <w:rFonts w:hint="eastAsia" w:ascii="宋体" w:cs="宋体"/>
          <w:b/>
          <w:lang w:val="zh-CN" w:eastAsia="zh-CN" w:bidi="ar-SA"/>
        </w:rPr>
      </w:pPr>
      <w:r>
        <w:rPr>
          <w:rFonts w:hint="eastAsia" w:ascii="宋体" w:cs="宋体"/>
          <w:b/>
          <w:lang w:val="zh-CN" w:eastAsia="zh-CN" w:bidi="ar-SA"/>
        </w:rPr>
        <w:t>对投标文件进行比较和评价；</w:t>
      </w:r>
    </w:p>
    <w:p w14:paraId="66BF6C54">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评标过程中，不得去掉报价中的最高报价和最低报价。</w:t>
      </w:r>
    </w:p>
    <w:p w14:paraId="0217D79F">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注：评标标准中所涉及的证书及材料，均须在电子投标文件中提供原件扫描件（或图片）。</w:t>
      </w:r>
    </w:p>
    <w:p w14:paraId="6220FC5F">
      <w:pPr>
        <w:pStyle w:val="13"/>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（1）价格分计算</w:t>
      </w:r>
    </w:p>
    <w:p w14:paraId="63363632">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价格分采用低价优先法计算，即满足招标文件要求且投标价格最低的投标报价为评标基准价，其价格分为满分。因落实政府采购政策进行价格调整的，以调整后的价格计算评标基准价和投标报价。</w:t>
      </w:r>
    </w:p>
    <w:p w14:paraId="06FB8AE1">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1）如果本项目非专门面向中小企业招标，对符合《政府采购促进中小企业发展管理办法》(财库〔2020〕46号、《关于进一步加大政府采购支持中小企业力度的通知》（财库〔2022〕19号）规定的小微企业报价给予20%的扣除，用扣除后的价格参与评审。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招标项目，对于联合协议或者分包意向协议约定小微企业的合同份额占到合同总金额 30%以上的，对联合体或者大中型企业的报价给予6%的扣除，用扣除后的价格参加评审。组成联合体或者接受分包的小微企业与联合体内其他企业、分包企业之间存在直接控股、管理关系的，不享受价格扣除优惠政策。按照本次招标标的所属行业的划型标准，符合条件的中小企业应按照招标文件格式要求提供《中小企业声明函》，否则不得享受相关中小企业扶持政策。</w:t>
      </w:r>
    </w:p>
    <w:p w14:paraId="5E5EF8E0">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小型和微型企业不包含民办非企业单位。</w:t>
      </w:r>
    </w:p>
    <w:p w14:paraId="6F4D06EF">
      <w:pPr>
        <w:pStyle w:val="24"/>
        <w:rPr>
          <w:lang w:val="zh-CN" w:eastAsia="zh-CN"/>
        </w:rPr>
      </w:pPr>
      <w:r>
        <w:rPr>
          <w:rFonts w:hint="eastAsia"/>
          <w:lang w:val="zh-CN" w:eastAsia="zh-CN"/>
        </w:rPr>
        <w:t>符合中小企业划分标准的个体工商户，在政府采购活动中视同中小企业。</w:t>
      </w:r>
    </w:p>
    <w:p w14:paraId="1E042BCA">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2）对监狱企业价格给予20%的扣除，用扣除后的价格参与评审。监狱企业应当提供由省级以上监狱管理局、戒毒管理局(含新疆生产建设兵团)出具的属于监狱企业的证明文件。</w:t>
      </w:r>
    </w:p>
    <w:p w14:paraId="25510E27">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3）对残疾人福利性单位提供本单位制造的货物、承担的工程或者服务，或者提供其他残疾人福利性单位制造的货物（不包括使用非残疾人福利性单位注册商标的货物）价格给予20%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14:paraId="395DB31D">
      <w:pPr>
        <w:widowControl/>
        <w:spacing w:line="360" w:lineRule="auto"/>
        <w:jc w:val="left"/>
        <w:rPr>
          <w:rFonts w:hint="eastAsia" w:ascii="宋体" w:cs="宋体"/>
          <w:lang w:bidi="ar-SA"/>
        </w:rPr>
      </w:pPr>
      <w:r>
        <w:rPr>
          <w:rFonts w:hint="eastAsia" w:ascii="宋体" w:cs="宋体"/>
          <w:kern w:val="0"/>
          <w:lang w:bidi="ar"/>
        </w:rPr>
        <w:t xml:space="preserve">享受政府采购支持政策的残疾人福利性单位应当同时满足以下条件： </w:t>
      </w:r>
    </w:p>
    <w:p w14:paraId="0D94AD1B">
      <w:pPr>
        <w:widowControl/>
        <w:spacing w:line="360" w:lineRule="auto"/>
        <w:jc w:val="left"/>
        <w:rPr>
          <w:rFonts w:hint="eastAsia" w:ascii="宋体" w:cs="宋体"/>
          <w:lang w:bidi="ar-SA"/>
        </w:rPr>
      </w:pPr>
      <w:r>
        <w:rPr>
          <w:rFonts w:hint="eastAsia" w:ascii="宋体" w:cs="宋体"/>
          <w:kern w:val="0"/>
          <w:lang w:bidi="ar"/>
        </w:rPr>
        <w:t xml:space="preserve">（一）安置的残疾人占本单位在职职工人数的比例不低于 25%（含 25%），并且安置的残疾人人数不少于 10 人（含 10 人）； </w:t>
      </w:r>
    </w:p>
    <w:p w14:paraId="718D74F1">
      <w:pPr>
        <w:widowControl/>
        <w:spacing w:line="360" w:lineRule="auto"/>
        <w:jc w:val="left"/>
        <w:rPr>
          <w:rFonts w:hint="eastAsia" w:ascii="宋体" w:cs="宋体"/>
          <w:lang w:bidi="ar-SA"/>
        </w:rPr>
      </w:pPr>
      <w:r>
        <w:rPr>
          <w:rFonts w:hint="eastAsia" w:ascii="宋体" w:cs="宋体"/>
          <w:kern w:val="0"/>
          <w:lang w:bidi="ar"/>
        </w:rPr>
        <w:t>（二）依法与安置的每位残疾人签订了一年以上（含一年）的劳动合同或服务协议；</w:t>
      </w:r>
    </w:p>
    <w:p w14:paraId="2387CE5E">
      <w:pPr>
        <w:widowControl/>
        <w:spacing w:line="360" w:lineRule="auto"/>
        <w:jc w:val="left"/>
        <w:rPr>
          <w:rFonts w:hint="eastAsia" w:ascii="宋体" w:cs="宋体"/>
          <w:lang w:bidi="ar-SA"/>
        </w:rPr>
      </w:pPr>
      <w:r>
        <w:rPr>
          <w:rFonts w:hint="eastAsia" w:ascii="宋体" w:cs="宋体"/>
          <w:kern w:val="0"/>
          <w:lang w:bidi="ar"/>
        </w:rPr>
        <w:t xml:space="preserve">（三）为安置的每位残疾人按月足额缴纳了基本养老保险、基本医疗保险、失业保险、工伤保险和生育保险等社会保险费； </w:t>
      </w:r>
    </w:p>
    <w:p w14:paraId="420724FB">
      <w:pPr>
        <w:widowControl/>
        <w:spacing w:line="360" w:lineRule="auto"/>
        <w:jc w:val="left"/>
        <w:rPr>
          <w:rFonts w:hint="eastAsia" w:ascii="宋体" w:cs="宋体"/>
          <w:lang w:bidi="ar-SA"/>
        </w:rPr>
      </w:pPr>
      <w:r>
        <w:rPr>
          <w:rFonts w:hint="eastAsia" w:ascii="宋体" w:cs="宋体"/>
          <w:kern w:val="0"/>
          <w:lang w:bidi="ar"/>
        </w:rPr>
        <w:t xml:space="preserve">（四）通过银行等金融机构向安置的每位残疾人，按月支付了不低于单位所在区县适用的经省级人民政府批准的月最低工资标准的工资； </w:t>
      </w:r>
    </w:p>
    <w:p w14:paraId="7E40CAF7">
      <w:pPr>
        <w:widowControl/>
        <w:spacing w:line="360" w:lineRule="auto"/>
        <w:jc w:val="left"/>
        <w:rPr>
          <w:rFonts w:hint="eastAsia" w:ascii="宋体" w:cs="宋体"/>
          <w:lang w:bidi="ar-SA"/>
        </w:rPr>
      </w:pPr>
      <w:r>
        <w:rPr>
          <w:rFonts w:hint="eastAsia" w:ascii="宋体" w:cs="宋体"/>
          <w:kern w:val="0"/>
          <w:lang w:bidi="ar"/>
        </w:rPr>
        <w:t xml:space="preserve">（五）提供本单位制造的货物、承担的工程或者服务（以下简称产品），或者提供其他残疾人福利性单位制造的货物（不包括使用非残疾人福利性单位注册商标的货物）。 </w:t>
      </w:r>
    </w:p>
    <w:p w14:paraId="70552576">
      <w:pPr>
        <w:tabs>
          <w:tab w:val="left" w:pos="1260"/>
        </w:tabs>
        <w:autoSpaceDE w:val="0"/>
        <w:autoSpaceDN w:val="0"/>
        <w:spacing w:line="400" w:lineRule="exact"/>
        <w:ind w:firstLine="210" w:firstLineChars="100"/>
        <w:rPr>
          <w:rFonts w:hint="eastAsia" w:ascii="宋体" w:cs="宋体"/>
          <w:kern w:val="0"/>
          <w:lang w:bidi="ar"/>
        </w:rPr>
      </w:pPr>
      <w:r>
        <w:rPr>
          <w:rFonts w:hint="eastAsia" w:ascii="宋体" w:cs="宋体"/>
          <w:kern w:val="0"/>
          <w:lang w:bidi="ar"/>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15569DA9">
      <w:pPr>
        <w:tabs>
          <w:tab w:val="left" w:pos="1260"/>
        </w:tabs>
        <w:autoSpaceDE w:val="0"/>
        <w:autoSpaceDN w:val="0"/>
        <w:spacing w:line="400" w:lineRule="exact"/>
        <w:ind w:firstLine="211" w:firstLineChars="100"/>
        <w:rPr>
          <w:rFonts w:hint="eastAsia" w:ascii="宋体" w:cs="仿宋_GB2312"/>
          <w:bCs/>
          <w:lang w:val="zh-CN" w:eastAsia="zh-CN" w:bidi="ar-SA"/>
        </w:rPr>
      </w:pPr>
      <w:r>
        <w:rPr>
          <w:rFonts w:hint="eastAsia" w:ascii="宋体" w:cs="仿宋_GB2312"/>
          <w:b/>
          <w:lang w:val="zh-CN" w:eastAsia="zh-CN" w:bidi="ar-SA"/>
        </w:rPr>
        <w:t>（2）关于相同品牌产品（服务类项目不适用本条款规定）</w:t>
      </w:r>
    </w:p>
    <w:p w14:paraId="55826A7E">
      <w:pPr>
        <w:tabs>
          <w:tab w:val="left" w:pos="1260"/>
        </w:tabs>
        <w:autoSpaceDE w:val="0"/>
        <w:autoSpaceDN w:val="0"/>
        <w:spacing w:line="400" w:lineRule="exact"/>
        <w:ind w:firstLine="210" w:firstLineChars="100"/>
        <w:rPr>
          <w:rFonts w:hint="eastAsia" w:ascii="宋体" w:cs="宋体"/>
          <w:kern w:val="0"/>
          <w:lang w:val="zh-CN" w:eastAsia="zh-CN" w:bidi="ar"/>
        </w:rPr>
      </w:pPr>
      <w:r>
        <w:rPr>
          <w:rFonts w:hint="eastAsia" w:ascii="宋体" w:cs="宋体"/>
          <w:kern w:val="0"/>
          <w:lang w:val="zh-CN" w:eastAsia="zh-CN" w:bidi="ar"/>
        </w:rPr>
        <w:t>采用最低评标价法的，提供相同品牌产品的不同投标人参加同一合同项下投标的，以其中通过资格审查、符合性审查且报价最低的参加评标；报价相同的，由招标人或者招标人委托评标委员会采取随机抽取方式确定一个参加评标的投标人，其他投标无效。</w:t>
      </w:r>
    </w:p>
    <w:p w14:paraId="41C7ACC1">
      <w:pPr>
        <w:tabs>
          <w:tab w:val="left" w:pos="1260"/>
        </w:tabs>
        <w:autoSpaceDE w:val="0"/>
        <w:autoSpaceDN w:val="0"/>
        <w:spacing w:line="400" w:lineRule="exact"/>
        <w:ind w:firstLine="210" w:firstLineChars="100"/>
        <w:rPr>
          <w:rFonts w:hint="eastAsia" w:ascii="宋体" w:cs="宋体"/>
          <w:kern w:val="0"/>
          <w:lang w:val="zh-CN" w:eastAsia="zh-CN" w:bidi="ar"/>
        </w:rPr>
      </w:pPr>
      <w:r>
        <w:rPr>
          <w:rFonts w:hint="eastAsia" w:ascii="宋体" w:cs="宋体"/>
          <w:kern w:val="0"/>
          <w:lang w:val="zh-CN" w:eastAsia="zh-CN" w:bidi="ar"/>
        </w:rPr>
        <w:t>采用综合评分法的，提供相同品牌产品（非单一产品招标项目，多家投标人提供的核心产品品牌相同）且通过资格审查、符合性审查的不同投标人参加同一合同项下投标的，按一家投标人计算，评审后得分最高的同品牌投标人作为中标候选人推荐；评审得分相同的，由招标人或者招标人委托评标委员会采取随机抽取方式确定一个投标人获得中标人推荐资格，其他同品牌投标人不作为中标候选人。</w:t>
      </w:r>
    </w:p>
    <w:p w14:paraId="64C65BDF">
      <w:pPr>
        <w:pStyle w:val="13"/>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w:t>
      </w:r>
      <w:r>
        <w:rPr>
          <w:rFonts w:hint="eastAsia" w:ascii="宋体" w:cs="宋体"/>
          <w:b/>
          <w:kern w:val="2"/>
          <w:sz w:val="21"/>
          <w:szCs w:val="21"/>
          <w:lang w:bidi="ar-SA"/>
        </w:rPr>
        <w:t>3</w:t>
      </w:r>
      <w:r>
        <w:rPr>
          <w:rFonts w:hint="eastAsia" w:ascii="宋体" w:cs="宋体"/>
          <w:b/>
          <w:kern w:val="2"/>
          <w:sz w:val="21"/>
          <w:szCs w:val="21"/>
          <w:lang w:val="zh-CN" w:eastAsia="zh-CN" w:bidi="ar-SA"/>
        </w:rPr>
        <w:t>）强制招标节能产品和优先采购节能产品、优先采购环保产品</w:t>
      </w:r>
    </w:p>
    <w:p w14:paraId="22965DB6">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1）对《节能产品政府采购品目清单》所列的政府强制招标节能产品，投标人投标文件中应提供具有国家确定的认证机构出具的、处于有效期之内的节能产品认证证书，否则将承担其投标被视为非实质性响应投标的风险。</w:t>
      </w:r>
    </w:p>
    <w:p w14:paraId="61D5AB69">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投标人所投产品若属于《节能产品政府采购品目清单》优先采购产品，投标文件中应提供具有国家确定的认证机构出具的、处于有效期之内的节能产品认证证书，评标委员会根据本项目评标标准予以判定并赋分。</w:t>
      </w:r>
    </w:p>
    <w:p w14:paraId="2C002B30">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2）投标人所投产品若属于《环境标志产品政府采购品目清单》内产品，投标文件中应提供具有国家确定的认证机构出具的、处于有效期之内的环境标志产品认证证书，评标委员会根据本项目评标标准予以判定并赋分。</w:t>
      </w:r>
    </w:p>
    <w:p w14:paraId="17BE5989">
      <w:pPr>
        <w:pStyle w:val="13"/>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（4）网络关键设备、</w:t>
      </w:r>
      <w:bookmarkStart w:id="24" w:name="突出显示"/>
      <w:bookmarkStart w:id="25" w:name="突出显示"/>
      <w:r>
        <w:rPr>
          <w:rFonts w:hint="eastAsia" w:ascii="宋体" w:cs="宋体"/>
          <w:b/>
          <w:kern w:val="2"/>
          <w:sz w:val="21"/>
          <w:szCs w:val="21"/>
          <w:lang w:val="zh-CN" w:eastAsia="zh-CN" w:bidi="ar-SA"/>
        </w:rPr>
        <w:t>网络安全</w:t>
      </w:r>
      <w:bookmarkEnd w:id="24"/>
      <w:bookmarkEnd w:id="25"/>
      <w:r>
        <w:rPr>
          <w:rFonts w:hint="eastAsia" w:ascii="宋体" w:cs="宋体"/>
          <w:b/>
          <w:kern w:val="2"/>
          <w:sz w:val="21"/>
          <w:szCs w:val="21"/>
          <w:lang w:val="zh-CN" w:eastAsia="zh-CN" w:bidi="ar-SA"/>
        </w:rPr>
        <w:t>专用产品要求</w:t>
      </w:r>
    </w:p>
    <w:p w14:paraId="687145DA">
      <w:pPr>
        <w:pStyle w:val="13"/>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1）项目中涉及网络关键设备或</w:t>
      </w:r>
      <w:bookmarkStart w:id="26" w:name="突出显示"/>
      <w:bookmarkStart w:id="27" w:name="突出显示"/>
      <w:r>
        <w:rPr>
          <w:rFonts w:hint="eastAsia" w:ascii="宋体" w:cs="宋体"/>
          <w:bCs/>
          <w:kern w:val="2"/>
          <w:sz w:val="21"/>
          <w:szCs w:val="21"/>
          <w:lang w:val="zh-CN" w:eastAsia="zh-CN" w:bidi="ar-SA"/>
        </w:rPr>
        <w:t>网络安全</w:t>
      </w:r>
      <w:bookmarkEnd w:id="26"/>
      <w:bookmarkEnd w:id="27"/>
      <w:r>
        <w:rPr>
          <w:rFonts w:hint="eastAsia" w:ascii="宋体" w:cs="宋体"/>
          <w:bCs/>
          <w:kern w:val="2"/>
          <w:sz w:val="21"/>
          <w:szCs w:val="21"/>
          <w:lang w:val="zh-CN" w:eastAsia="zh-CN" w:bidi="ar-SA"/>
        </w:rPr>
        <w:t>专用产品的，至少符合以下条件之一：一是已由具备</w:t>
      </w:r>
    </w:p>
    <w:p w14:paraId="6C000E9E">
      <w:pPr>
        <w:pStyle w:val="13"/>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资格的机构安全认证合格或安全检测符合要求；二是已获得《计算机信息系统安全专用产品销售</w:t>
      </w:r>
    </w:p>
    <w:p w14:paraId="09FA655E">
      <w:pPr>
        <w:pStyle w:val="13"/>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许可证》，且在有效期内。</w:t>
      </w:r>
    </w:p>
    <w:p w14:paraId="129E44CE">
      <w:pPr>
        <w:pStyle w:val="13"/>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提供资料（下列资料任意一项）</w:t>
      </w:r>
    </w:p>
    <w:p w14:paraId="1DF3F48E">
      <w:pPr>
        <w:pStyle w:val="13"/>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①网络关键设备和</w:t>
      </w:r>
      <w:bookmarkStart w:id="28" w:name="突出显示"/>
      <w:bookmarkStart w:id="29" w:name="突出显示"/>
      <w:r>
        <w:rPr>
          <w:rFonts w:hint="eastAsia" w:ascii="宋体" w:cs="宋体"/>
          <w:bCs/>
          <w:kern w:val="2"/>
          <w:sz w:val="21"/>
          <w:szCs w:val="21"/>
          <w:lang w:val="zh-CN" w:eastAsia="zh-CN" w:bidi="ar-SA"/>
        </w:rPr>
        <w:t>网络安全</w:t>
      </w:r>
      <w:bookmarkEnd w:id="28"/>
      <w:bookmarkEnd w:id="29"/>
      <w:r>
        <w:rPr>
          <w:rFonts w:hint="eastAsia" w:ascii="宋体" w:cs="宋体"/>
          <w:bCs/>
          <w:kern w:val="2"/>
          <w:sz w:val="21"/>
          <w:szCs w:val="21"/>
          <w:lang w:val="zh-CN" w:eastAsia="zh-CN" w:bidi="ar-SA"/>
        </w:rPr>
        <w:t>专用产品安全认证证书；</w:t>
      </w:r>
    </w:p>
    <w:p w14:paraId="60AF0E77">
      <w:pPr>
        <w:pStyle w:val="13"/>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②网络关键设备安全检测证书、</w:t>
      </w:r>
      <w:bookmarkStart w:id="30" w:name="突出显示"/>
      <w:bookmarkStart w:id="31" w:name="突出显示"/>
      <w:r>
        <w:rPr>
          <w:rFonts w:hint="eastAsia" w:ascii="宋体" w:cs="宋体"/>
          <w:bCs/>
          <w:kern w:val="2"/>
          <w:sz w:val="21"/>
          <w:szCs w:val="21"/>
          <w:lang w:val="zh-CN" w:eastAsia="zh-CN" w:bidi="ar-SA"/>
        </w:rPr>
        <w:t>网络安全</w:t>
      </w:r>
      <w:bookmarkEnd w:id="30"/>
      <w:bookmarkEnd w:id="31"/>
      <w:r>
        <w:rPr>
          <w:rFonts w:hint="eastAsia" w:ascii="宋体" w:cs="宋体"/>
          <w:bCs/>
          <w:kern w:val="2"/>
          <w:sz w:val="21"/>
          <w:szCs w:val="21"/>
          <w:lang w:val="zh-CN" w:eastAsia="zh-CN" w:bidi="ar-SA"/>
        </w:rPr>
        <w:t>专用产品安全检测证书；</w:t>
      </w:r>
    </w:p>
    <w:p w14:paraId="3082CFA5">
      <w:pPr>
        <w:pStyle w:val="13"/>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③计算机信息系统安全专用产品销售许可证；</w:t>
      </w:r>
    </w:p>
    <w:p w14:paraId="5CF5354D">
      <w:pPr>
        <w:pStyle w:val="13"/>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④中国网信网或工业和信息化部网站或公安部网站或国家认证认可监督管理委员会网站公布</w:t>
      </w:r>
    </w:p>
    <w:p w14:paraId="69F9734C">
      <w:pPr>
        <w:pStyle w:val="13"/>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的认证、检测结果（提供公布安全认证、安全检测结果页面网址和安全认证、检测结果截图）。</w:t>
      </w:r>
    </w:p>
    <w:p w14:paraId="48DD9E67">
      <w:pPr>
        <w:pStyle w:val="13"/>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（5）投标无效情形</w:t>
      </w:r>
    </w:p>
    <w:p w14:paraId="1A0AF59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1）投标人应当遵循公平竞争的原则，不得恶意串通，不得妨碍其他投标人的竞争行为，不得</w:t>
      </w:r>
    </w:p>
    <w:p w14:paraId="182C3213">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损害采购人或者其他投标人的合法权益。在评标过程中发现投标人有上述情形的，评标委员会应</w:t>
      </w:r>
    </w:p>
    <w:p w14:paraId="775E40D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当认定其投标无效。</w:t>
      </w:r>
    </w:p>
    <w:p w14:paraId="360D658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2）符合性审查资料未按招标文件要求签署、盖章的；</w:t>
      </w:r>
    </w:p>
    <w:p w14:paraId="48A0FAC2">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3）有下列情形之一的，视为投标人串通投标，其投标无效：</w:t>
      </w:r>
    </w:p>
    <w:p w14:paraId="53EF92E2">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a.不同投标人的投标文件由同一单位或者个人编制；</w:t>
      </w:r>
    </w:p>
    <w:p w14:paraId="0E5DE51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b.不同投标人委托同一单位或者个人办理投标事宜；</w:t>
      </w:r>
    </w:p>
    <w:p w14:paraId="48E803C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c.不同投标人的投标文件载明的项目管理成员或者联系人员为同一人；</w:t>
      </w:r>
    </w:p>
    <w:p w14:paraId="46E1BDE2">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d.不同投标人的投标文件异常一致或者投标报价呈规律性差异；</w:t>
      </w:r>
    </w:p>
    <w:p w14:paraId="6249FB7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e.不同投标人的投标文件相互混装；</w:t>
      </w:r>
    </w:p>
    <w:p w14:paraId="13C3B27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4744720">
      <w:pPr>
        <w:numPr>
          <w:ilvl w:val="0"/>
          <w:numId w:val="20"/>
        </w:numPr>
        <w:autoSpaceDE w:val="0"/>
        <w:autoSpaceDN w:val="0"/>
        <w:spacing w:line="360" w:lineRule="auto"/>
        <w:ind w:left="-60" w:firstLine="480"/>
        <w:contextualSpacing/>
        <w:rPr>
          <w:rFonts w:hint="eastAsia" w:ascii="宋体" w:cs="宋体"/>
          <w:kern w:val="0"/>
          <w:lang w:bidi="ar-SA"/>
        </w:rPr>
      </w:pPr>
      <w:r>
        <w:rPr>
          <w:rFonts w:hint="eastAsia" w:ascii="宋体" w:cs="宋体"/>
          <w:kern w:val="0"/>
          <w:lang w:eastAsia="zh-CN" w:bidi="ar-SA"/>
        </w:rPr>
        <w:t>法律法规</w:t>
      </w:r>
      <w:r>
        <w:rPr>
          <w:rFonts w:hint="eastAsia" w:ascii="宋体" w:cs="宋体"/>
          <w:kern w:val="0"/>
          <w:lang w:bidi="ar-SA"/>
        </w:rPr>
        <w:t>和招标文件规定的其他无效情形。</w:t>
      </w:r>
    </w:p>
    <w:p w14:paraId="7927D3B4">
      <w:pPr>
        <w:numPr>
          <w:ilvl w:val="0"/>
          <w:numId w:val="21"/>
        </w:numPr>
        <w:tabs>
          <w:tab w:val="left" w:pos="1260"/>
        </w:tabs>
        <w:autoSpaceDE w:val="0"/>
        <w:autoSpaceDN w:val="0"/>
        <w:spacing w:line="360" w:lineRule="auto"/>
        <w:rPr>
          <w:lang w:val="zh-CN" w:eastAsia="zh-CN"/>
        </w:rPr>
      </w:pPr>
      <w:r>
        <w:rPr>
          <w:rFonts w:hint="eastAsia" w:ascii="宋体" w:cs="宋体"/>
          <w:b/>
          <w:lang w:val="zh-CN" w:eastAsia="zh-CN" w:bidi="ar-SA"/>
        </w:rPr>
        <w:t>评标标准</w:t>
      </w:r>
    </w:p>
    <w:tbl>
      <w:tblPr>
        <w:tblStyle w:val="19"/>
        <w:tblW w:w="0" w:type="auto"/>
        <w:jc w:val="center"/>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Layout w:type="autofit"/>
        <w:tblCellMar>
          <w:top w:w="0" w:type="dxa"/>
          <w:left w:w="0" w:type="dxa"/>
          <w:bottom w:w="0" w:type="dxa"/>
          <w:right w:w="0" w:type="dxa"/>
        </w:tblCellMar>
      </w:tblPr>
      <w:tblGrid>
        <w:gridCol w:w="1267"/>
        <w:gridCol w:w="1223"/>
        <w:gridCol w:w="6032"/>
      </w:tblGrid>
      <w:tr w14:paraId="022AD9CA">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171" w:hRule="atLeast"/>
          <w:jc w:val="center"/>
        </w:trPr>
        <w:tc>
          <w:tcPr>
            <w:tcW w:w="2490" w:type="dxa"/>
            <w:gridSpan w:val="2"/>
            <w:tcBorders>
              <w:top w:val="single" w:color="auto" w:sz="4" w:space="0"/>
              <w:left w:val="single" w:color="auto" w:sz="2" w:space="0"/>
              <w:bottom w:val="single" w:color="auto" w:sz="2" w:space="0"/>
              <w:right w:val="single" w:color="auto" w:sz="4" w:space="0"/>
            </w:tcBorders>
            <w:shd w:val="solid" w:color="FFFFFF" w:fill="auto"/>
            <w:noWrap w:val="0"/>
            <w:tcMar>
              <w:left w:w="108" w:type="dxa"/>
              <w:right w:w="108" w:type="dxa"/>
            </w:tcMar>
            <w:vAlign w:val="center"/>
          </w:tcPr>
          <w:p w14:paraId="772F4E55">
            <w:pPr>
              <w:spacing w:line="360" w:lineRule="auto"/>
              <w:jc w:val="center"/>
              <w:rPr>
                <w:rFonts w:hint="eastAsia" w:ascii="宋体" w:hAnsi="宋体" w:eastAsia="宋体" w:cs="宋体"/>
                <w:color w:val="000000"/>
                <w:sz w:val="21"/>
                <w:szCs w:val="21"/>
                <w:lang w:bidi="ar-SA"/>
              </w:rPr>
            </w:pPr>
            <w:r>
              <w:rPr>
                <w:rFonts w:hint="eastAsia" w:ascii="宋体" w:hAnsi="宋体" w:eastAsia="宋体" w:cs="宋体"/>
                <w:color w:val="000000"/>
                <w:sz w:val="21"/>
                <w:szCs w:val="21"/>
                <w:lang w:bidi="ar-SA"/>
              </w:rPr>
              <w:t>分值构成</w:t>
            </w:r>
          </w:p>
          <w:p w14:paraId="36A5DAA5">
            <w:pPr>
              <w:spacing w:line="500" w:lineRule="exact"/>
              <w:jc w:val="center"/>
              <w:textAlignment w:val="baseline"/>
              <w:rPr>
                <w:rFonts w:hint="eastAsia" w:ascii="宋体" w:hAnsi="宋体" w:eastAsia="宋体" w:cs="宋体"/>
                <w:color w:val="000000"/>
                <w:spacing w:val="1"/>
                <w:sz w:val="21"/>
                <w:szCs w:val="21"/>
                <w:lang w:bidi="ar-SA"/>
              </w:rPr>
            </w:pPr>
            <w:r>
              <w:rPr>
                <w:rFonts w:hint="eastAsia" w:ascii="宋体" w:hAnsi="宋体" w:eastAsia="宋体" w:cs="宋体"/>
                <w:color w:val="000000"/>
                <w:sz w:val="21"/>
                <w:szCs w:val="21"/>
                <w:lang w:bidi="ar-SA"/>
              </w:rPr>
              <w:t>(总分100分)</w:t>
            </w:r>
          </w:p>
        </w:tc>
        <w:tc>
          <w:tcPr>
            <w:tcW w:w="6032" w:type="dxa"/>
            <w:tcBorders>
              <w:top w:val="single" w:color="auto" w:sz="4" w:space="0"/>
              <w:left w:val="single" w:color="auto" w:sz="2" w:space="0"/>
              <w:bottom w:val="single" w:color="auto" w:sz="2" w:space="0"/>
              <w:right w:val="single" w:color="auto" w:sz="2" w:space="0"/>
            </w:tcBorders>
            <w:shd w:val="solid" w:color="FFFFFF" w:fill="auto"/>
            <w:noWrap w:val="0"/>
            <w:tcMar>
              <w:left w:w="108" w:type="dxa"/>
              <w:right w:w="108" w:type="dxa"/>
            </w:tcMar>
            <w:vAlign w:val="center"/>
          </w:tcPr>
          <w:p w14:paraId="338B4380">
            <w:pPr>
              <w:spacing w:line="276" w:lineRule="auto"/>
              <w:ind w:firstLine="420" w:firstLineChars="200"/>
              <w:rPr>
                <w:rFonts w:hint="eastAsia" w:ascii="宋体" w:hAnsi="宋体" w:eastAsia="宋体" w:cs="宋体"/>
                <w:color w:val="000000"/>
                <w:sz w:val="21"/>
                <w:szCs w:val="21"/>
                <w:lang w:bidi="ar-SA"/>
              </w:rPr>
            </w:pPr>
            <w:r>
              <w:rPr>
                <w:rFonts w:hint="eastAsia" w:ascii="宋体" w:hAnsi="宋体" w:eastAsia="宋体" w:cs="宋体"/>
                <w:color w:val="000000"/>
                <w:sz w:val="21"/>
                <w:szCs w:val="21"/>
                <w:lang w:bidi="ar-SA"/>
              </w:rPr>
              <w:t>价格分值：</w:t>
            </w:r>
            <w:r>
              <w:rPr>
                <w:rFonts w:hint="eastAsia" w:ascii="宋体" w:cs="宋体"/>
                <w:color w:val="000000"/>
                <w:sz w:val="21"/>
                <w:szCs w:val="21"/>
                <w:lang w:val="en-US" w:eastAsia="zh-CN" w:bidi="ar-SA"/>
              </w:rPr>
              <w:t>4</w:t>
            </w:r>
            <w:r>
              <w:rPr>
                <w:rFonts w:hint="eastAsia" w:ascii="宋体" w:hAnsi="宋体" w:eastAsia="宋体" w:cs="宋体"/>
                <w:color w:val="000000"/>
                <w:sz w:val="21"/>
                <w:szCs w:val="21"/>
                <w:lang w:bidi="ar-SA"/>
              </w:rPr>
              <w:t>0分</w:t>
            </w:r>
          </w:p>
          <w:p w14:paraId="49BBDF14">
            <w:pPr>
              <w:spacing w:line="276" w:lineRule="auto"/>
              <w:ind w:firstLine="420" w:firstLineChars="200"/>
              <w:rPr>
                <w:rFonts w:hint="eastAsia" w:ascii="宋体" w:hAnsi="宋体" w:eastAsia="宋体" w:cs="宋体"/>
                <w:color w:val="000000"/>
                <w:sz w:val="21"/>
                <w:szCs w:val="21"/>
                <w:lang w:bidi="ar-SA"/>
              </w:rPr>
            </w:pPr>
            <w:r>
              <w:rPr>
                <w:rFonts w:hint="eastAsia" w:ascii="宋体" w:hAnsi="宋体" w:eastAsia="宋体" w:cs="宋体"/>
                <w:color w:val="000000"/>
                <w:sz w:val="21"/>
                <w:szCs w:val="21"/>
                <w:lang w:bidi="ar-SA"/>
              </w:rPr>
              <w:t>技术部分：</w:t>
            </w:r>
            <w:r>
              <w:rPr>
                <w:rFonts w:hint="eastAsia" w:ascii="宋体" w:cs="宋体"/>
                <w:color w:val="000000"/>
                <w:sz w:val="21"/>
                <w:szCs w:val="21"/>
                <w:lang w:val="en-US" w:eastAsia="zh-CN" w:bidi="ar-SA"/>
              </w:rPr>
              <w:t>43</w:t>
            </w:r>
            <w:r>
              <w:rPr>
                <w:rFonts w:hint="eastAsia" w:ascii="宋体" w:hAnsi="宋体" w:eastAsia="宋体" w:cs="宋体"/>
                <w:color w:val="000000"/>
                <w:sz w:val="21"/>
                <w:szCs w:val="21"/>
                <w:lang w:bidi="ar-SA"/>
              </w:rPr>
              <w:t>分</w:t>
            </w:r>
          </w:p>
          <w:p w14:paraId="15D15E3B">
            <w:pPr>
              <w:spacing w:line="276" w:lineRule="auto"/>
              <w:ind w:firstLine="420" w:firstLineChars="200"/>
              <w:rPr>
                <w:rFonts w:hint="eastAsia" w:ascii="宋体" w:hAnsi="宋体" w:eastAsia="宋体" w:cs="宋体"/>
                <w:color w:val="000000"/>
                <w:sz w:val="21"/>
                <w:szCs w:val="21"/>
                <w:lang w:bidi="ar-SA"/>
              </w:rPr>
            </w:pPr>
            <w:r>
              <w:rPr>
                <w:rFonts w:hint="eastAsia" w:ascii="宋体" w:hAnsi="宋体" w:eastAsia="宋体" w:cs="宋体"/>
                <w:color w:val="000000"/>
                <w:sz w:val="21"/>
                <w:szCs w:val="21"/>
                <w:lang w:bidi="ar-SA"/>
              </w:rPr>
              <w:t>商务部分：</w:t>
            </w:r>
            <w:r>
              <w:rPr>
                <w:rFonts w:hint="eastAsia" w:ascii="宋体" w:cs="宋体"/>
                <w:color w:val="000000"/>
                <w:sz w:val="21"/>
                <w:szCs w:val="21"/>
                <w:lang w:val="en-US" w:eastAsia="zh-CN" w:bidi="ar-SA"/>
              </w:rPr>
              <w:t>17</w:t>
            </w:r>
            <w:r>
              <w:rPr>
                <w:rFonts w:hint="eastAsia" w:ascii="宋体" w:hAnsi="宋体" w:eastAsia="宋体" w:cs="宋体"/>
                <w:color w:val="000000"/>
                <w:sz w:val="21"/>
                <w:szCs w:val="21"/>
                <w:lang w:bidi="ar-SA"/>
              </w:rPr>
              <w:t>分</w:t>
            </w:r>
          </w:p>
        </w:tc>
      </w:tr>
      <w:tr w14:paraId="35C5AF0F">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690" w:hRule="atLeast"/>
          <w:jc w:val="center"/>
        </w:trPr>
        <w:tc>
          <w:tcPr>
            <w:tcW w:w="1267" w:type="dxa"/>
            <w:tcBorders>
              <w:top w:val="single" w:color="auto" w:sz="4" w:space="0"/>
              <w:left w:val="single" w:color="auto" w:sz="2" w:space="0"/>
              <w:bottom w:val="single" w:color="auto" w:sz="2" w:space="0"/>
              <w:right w:val="single" w:color="auto" w:sz="2" w:space="0"/>
            </w:tcBorders>
            <w:shd w:val="solid" w:color="FFFFFF" w:fill="auto"/>
            <w:noWrap w:val="0"/>
            <w:tcMar>
              <w:left w:w="108" w:type="dxa"/>
              <w:right w:w="108" w:type="dxa"/>
            </w:tcMar>
            <w:vAlign w:val="center"/>
          </w:tcPr>
          <w:p w14:paraId="2F8D6901">
            <w:pPr>
              <w:spacing w:line="500" w:lineRule="exact"/>
              <w:jc w:val="center"/>
              <w:textAlignment w:val="baseline"/>
              <w:rPr>
                <w:rFonts w:hint="eastAsia" w:ascii="宋体" w:hAnsi="宋体" w:eastAsia="宋体" w:cs="宋体"/>
                <w:b/>
                <w:bCs/>
                <w:color w:val="000000"/>
                <w:sz w:val="21"/>
                <w:szCs w:val="21"/>
                <w:lang w:bidi="ar-SA"/>
              </w:rPr>
            </w:pPr>
            <w:r>
              <w:rPr>
                <w:rFonts w:hint="eastAsia" w:ascii="宋体" w:hAnsi="宋体" w:eastAsia="宋体" w:cs="宋体"/>
                <w:b/>
                <w:bCs/>
                <w:color w:val="000000"/>
                <w:sz w:val="21"/>
                <w:szCs w:val="21"/>
                <w:lang w:bidi="ar-SA"/>
              </w:rPr>
              <w:t>评审项</w:t>
            </w:r>
          </w:p>
        </w:tc>
        <w:tc>
          <w:tcPr>
            <w:tcW w:w="1223" w:type="dxa"/>
            <w:tcBorders>
              <w:top w:val="single" w:color="auto" w:sz="4" w:space="0"/>
              <w:left w:val="single" w:color="auto" w:sz="2" w:space="0"/>
              <w:bottom w:val="single" w:color="auto" w:sz="2" w:space="0"/>
              <w:right w:val="single" w:color="auto" w:sz="4" w:space="0"/>
            </w:tcBorders>
            <w:shd w:val="solid" w:color="FFFFFF" w:fill="auto"/>
            <w:noWrap w:val="0"/>
            <w:tcMar>
              <w:left w:w="108" w:type="dxa"/>
              <w:right w:w="108" w:type="dxa"/>
            </w:tcMar>
            <w:vAlign w:val="center"/>
          </w:tcPr>
          <w:p w14:paraId="09A4DB8C">
            <w:pPr>
              <w:spacing w:line="500" w:lineRule="exact"/>
              <w:jc w:val="center"/>
              <w:textAlignment w:val="baseline"/>
              <w:rPr>
                <w:rFonts w:hint="eastAsia" w:ascii="宋体" w:hAnsi="宋体" w:eastAsia="宋体" w:cs="宋体"/>
                <w:b/>
                <w:bCs/>
                <w:color w:val="000000"/>
                <w:spacing w:val="1"/>
                <w:sz w:val="21"/>
                <w:szCs w:val="21"/>
                <w:lang w:bidi="ar-SA"/>
              </w:rPr>
            </w:pPr>
            <w:r>
              <w:rPr>
                <w:rFonts w:hint="eastAsia" w:ascii="宋体" w:hAnsi="宋体" w:eastAsia="宋体" w:cs="宋体"/>
                <w:b/>
                <w:bCs/>
                <w:color w:val="000000"/>
                <w:spacing w:val="1"/>
                <w:sz w:val="21"/>
                <w:szCs w:val="21"/>
                <w:lang w:bidi="ar-SA"/>
              </w:rPr>
              <w:t>评分因素</w:t>
            </w:r>
          </w:p>
        </w:tc>
        <w:tc>
          <w:tcPr>
            <w:tcW w:w="6032" w:type="dxa"/>
            <w:tcBorders>
              <w:top w:val="single" w:color="auto" w:sz="4" w:space="0"/>
              <w:left w:val="single" w:color="auto" w:sz="2" w:space="0"/>
              <w:bottom w:val="single" w:color="auto" w:sz="2" w:space="0"/>
              <w:right w:val="single" w:color="auto" w:sz="2" w:space="0"/>
            </w:tcBorders>
            <w:shd w:val="solid" w:color="FFFFFF" w:fill="auto"/>
            <w:noWrap w:val="0"/>
            <w:tcMar>
              <w:left w:w="108" w:type="dxa"/>
              <w:right w:w="108" w:type="dxa"/>
            </w:tcMar>
            <w:vAlign w:val="center"/>
          </w:tcPr>
          <w:p w14:paraId="493446D1">
            <w:pPr>
              <w:spacing w:line="500" w:lineRule="exact"/>
              <w:jc w:val="center"/>
              <w:textAlignment w:val="baseline"/>
              <w:rPr>
                <w:rFonts w:hint="eastAsia" w:ascii="宋体" w:hAnsi="宋体" w:eastAsia="宋体" w:cs="宋体"/>
                <w:b/>
                <w:bCs/>
                <w:color w:val="000000"/>
                <w:sz w:val="21"/>
                <w:szCs w:val="21"/>
                <w:lang w:bidi="ar-SA"/>
              </w:rPr>
            </w:pPr>
            <w:r>
              <w:rPr>
                <w:rFonts w:hint="eastAsia" w:ascii="宋体" w:hAnsi="宋体" w:eastAsia="宋体" w:cs="宋体"/>
                <w:b/>
                <w:bCs/>
                <w:color w:val="000000"/>
                <w:sz w:val="21"/>
                <w:szCs w:val="21"/>
                <w:lang w:bidi="ar-SA"/>
              </w:rPr>
              <w:t>评分标准</w:t>
            </w:r>
          </w:p>
        </w:tc>
      </w:tr>
      <w:tr w14:paraId="3362670D">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358" w:hRule="atLeast"/>
          <w:jc w:val="center"/>
        </w:trPr>
        <w:tc>
          <w:tcPr>
            <w:tcW w:w="1267" w:type="dxa"/>
            <w:tcBorders>
              <w:top w:val="single" w:color="auto" w:sz="2" w:space="0"/>
              <w:left w:val="single" w:color="auto" w:sz="4" w:space="0"/>
              <w:bottom w:val="single" w:color="auto" w:sz="2" w:space="0"/>
              <w:right w:val="single" w:color="auto" w:sz="4" w:space="0"/>
            </w:tcBorders>
            <w:shd w:val="solid" w:color="FFFFFF" w:fill="auto"/>
            <w:noWrap w:val="0"/>
            <w:tcMar>
              <w:left w:w="108" w:type="dxa"/>
              <w:right w:w="108" w:type="dxa"/>
            </w:tcMar>
            <w:vAlign w:val="center"/>
          </w:tcPr>
          <w:p w14:paraId="6641EEA5">
            <w:pPr>
              <w:pStyle w:val="17"/>
              <w:spacing w:before="0" w:beforeAutospacing="0" w:after="0" w:afterAutospacing="0"/>
              <w:rPr>
                <w:rFonts w:hint="eastAsia" w:ascii="宋体" w:hAnsi="宋体" w:eastAsia="宋体" w:cs="宋体"/>
                <w:color w:val="000000"/>
                <w:kern w:val="2"/>
                <w:sz w:val="21"/>
                <w:szCs w:val="21"/>
                <w:lang w:eastAsia="zh-CN" w:bidi="ar-SA"/>
              </w:rPr>
            </w:pPr>
            <w:r>
              <w:rPr>
                <w:rFonts w:hint="eastAsia" w:ascii="宋体" w:hAnsi="宋体" w:eastAsia="宋体" w:cs="宋体"/>
                <w:color w:val="000000"/>
                <w:kern w:val="2"/>
                <w:sz w:val="21"/>
                <w:szCs w:val="21"/>
                <w:lang w:eastAsia="zh-CN" w:bidi="ar-SA"/>
              </w:rPr>
              <w:t>报价部分</w:t>
            </w:r>
          </w:p>
          <w:p w14:paraId="0F35B88F">
            <w:pPr>
              <w:pStyle w:val="17"/>
              <w:spacing w:before="0" w:beforeAutospacing="0" w:after="0" w:afterAutospacing="0"/>
              <w:rPr>
                <w:rFonts w:hint="eastAsia" w:ascii="宋体" w:hAnsi="宋体" w:eastAsia="宋体" w:cs="宋体"/>
                <w:color w:val="000000"/>
                <w:kern w:val="2"/>
                <w:sz w:val="21"/>
                <w:szCs w:val="21"/>
                <w:lang w:eastAsia="zh-CN" w:bidi="ar-SA"/>
              </w:rPr>
            </w:pPr>
            <w:r>
              <w:rPr>
                <w:rFonts w:hint="eastAsia" w:ascii="宋体" w:hAnsi="宋体" w:eastAsia="宋体" w:cs="宋体"/>
                <w:color w:val="000000"/>
                <w:kern w:val="2"/>
                <w:sz w:val="21"/>
                <w:szCs w:val="21"/>
                <w:lang w:eastAsia="zh-CN" w:bidi="ar-SA"/>
              </w:rPr>
              <w:t>（</w:t>
            </w:r>
            <w:r>
              <w:rPr>
                <w:rFonts w:hint="eastAsia" w:ascii="宋体" w:hAnsi="宋体" w:eastAsia="宋体" w:cs="宋体"/>
                <w:color w:val="000000"/>
                <w:kern w:val="2"/>
                <w:sz w:val="21"/>
                <w:szCs w:val="21"/>
                <w:lang w:val="en-US" w:eastAsia="zh-CN" w:bidi="ar-SA"/>
              </w:rPr>
              <w:t>4</w:t>
            </w:r>
            <w:r>
              <w:rPr>
                <w:rFonts w:hint="eastAsia" w:ascii="宋体" w:hAnsi="宋体" w:eastAsia="宋体" w:cs="宋体"/>
                <w:color w:val="000000"/>
                <w:kern w:val="2"/>
                <w:sz w:val="21"/>
                <w:szCs w:val="21"/>
                <w:lang w:eastAsia="zh-CN" w:bidi="ar-SA"/>
              </w:rPr>
              <w:t>0分）</w:t>
            </w:r>
          </w:p>
        </w:tc>
        <w:tc>
          <w:tcPr>
            <w:tcW w:w="1223" w:type="dxa"/>
            <w:tcBorders>
              <w:top w:val="single" w:color="auto" w:sz="2" w:space="0"/>
              <w:left w:val="single" w:color="auto" w:sz="4" w:space="0"/>
              <w:bottom w:val="single" w:color="auto" w:sz="2" w:space="0"/>
              <w:right w:val="single" w:color="auto" w:sz="2" w:space="0"/>
            </w:tcBorders>
            <w:shd w:val="solid" w:color="FFFFFF" w:fill="auto"/>
            <w:noWrap w:val="0"/>
            <w:tcMar>
              <w:left w:w="108" w:type="dxa"/>
              <w:right w:w="108" w:type="dxa"/>
            </w:tcMar>
            <w:vAlign w:val="center"/>
          </w:tcPr>
          <w:p w14:paraId="380139AA">
            <w:pPr>
              <w:pStyle w:val="17"/>
              <w:spacing w:before="0" w:beforeAutospacing="0" w:after="0" w:afterAutospacing="0"/>
              <w:rPr>
                <w:rFonts w:hint="eastAsia" w:ascii="宋体" w:hAnsi="宋体" w:eastAsia="宋体" w:cs="宋体"/>
                <w:color w:val="000000"/>
                <w:kern w:val="2"/>
                <w:sz w:val="21"/>
                <w:szCs w:val="21"/>
                <w:lang w:eastAsia="zh-CN" w:bidi="ar-SA"/>
              </w:rPr>
            </w:pPr>
            <w:r>
              <w:rPr>
                <w:rFonts w:hint="eastAsia" w:ascii="宋体" w:hAnsi="宋体" w:eastAsia="宋体" w:cs="宋体"/>
                <w:color w:val="000000"/>
                <w:kern w:val="2"/>
                <w:sz w:val="21"/>
                <w:szCs w:val="21"/>
                <w:lang w:eastAsia="zh-CN" w:bidi="ar-SA"/>
              </w:rPr>
              <w:t>投标报价</w:t>
            </w:r>
          </w:p>
          <w:p w14:paraId="2EB792CD">
            <w:pPr>
              <w:pStyle w:val="17"/>
              <w:spacing w:before="0" w:beforeAutospacing="0" w:after="0" w:afterAutospacing="0"/>
              <w:rPr>
                <w:rFonts w:hint="eastAsia" w:ascii="宋体" w:hAnsi="宋体" w:eastAsia="宋体" w:cs="宋体"/>
                <w:color w:val="000000"/>
                <w:kern w:val="2"/>
                <w:sz w:val="21"/>
                <w:szCs w:val="21"/>
                <w:lang w:eastAsia="zh-CN" w:bidi="ar-SA"/>
              </w:rPr>
            </w:pPr>
            <w:r>
              <w:rPr>
                <w:rFonts w:hint="eastAsia" w:ascii="宋体" w:hAnsi="宋体" w:eastAsia="宋体" w:cs="宋体"/>
                <w:color w:val="000000"/>
                <w:kern w:val="2"/>
                <w:sz w:val="21"/>
                <w:szCs w:val="21"/>
                <w:lang w:eastAsia="zh-CN" w:bidi="ar-SA"/>
              </w:rPr>
              <w:t>（</w:t>
            </w:r>
            <w:r>
              <w:rPr>
                <w:rFonts w:hint="eastAsia" w:ascii="宋体" w:hAnsi="宋体" w:eastAsia="宋体" w:cs="宋体"/>
                <w:color w:val="000000"/>
                <w:kern w:val="2"/>
                <w:sz w:val="21"/>
                <w:szCs w:val="21"/>
                <w:lang w:val="en-US" w:eastAsia="zh-CN" w:bidi="ar-SA"/>
              </w:rPr>
              <w:t>4</w:t>
            </w:r>
            <w:r>
              <w:rPr>
                <w:rFonts w:hint="eastAsia" w:ascii="宋体" w:hAnsi="宋体" w:eastAsia="宋体" w:cs="宋体"/>
                <w:color w:val="000000"/>
                <w:kern w:val="2"/>
                <w:sz w:val="21"/>
                <w:szCs w:val="21"/>
                <w:lang w:eastAsia="zh-CN" w:bidi="ar-SA"/>
              </w:rPr>
              <w:t>0分）</w:t>
            </w:r>
          </w:p>
        </w:tc>
        <w:tc>
          <w:tcPr>
            <w:tcW w:w="6032" w:type="dxa"/>
            <w:tcBorders>
              <w:top w:val="single" w:color="auto" w:sz="2" w:space="0"/>
              <w:left w:val="single" w:color="auto" w:sz="4" w:space="0"/>
              <w:bottom w:val="single" w:color="auto" w:sz="2" w:space="0"/>
              <w:right w:val="single" w:color="auto" w:sz="2" w:space="0"/>
            </w:tcBorders>
            <w:shd w:val="solid" w:color="FFFFFF" w:fill="auto"/>
            <w:noWrap w:val="0"/>
            <w:tcMar>
              <w:left w:w="108" w:type="dxa"/>
              <w:right w:w="108" w:type="dxa"/>
            </w:tcMar>
            <w:vAlign w:val="center"/>
          </w:tcPr>
          <w:p w14:paraId="5D14D907">
            <w:pPr>
              <w:pStyle w:val="17"/>
              <w:spacing w:before="0" w:beforeAutospacing="0" w:after="0" w:afterAutospacing="0"/>
              <w:rPr>
                <w:rFonts w:hint="eastAsia" w:ascii="宋体" w:hAnsi="宋体" w:eastAsia="宋体" w:cs="宋体"/>
                <w:color w:val="000000"/>
                <w:kern w:val="2"/>
                <w:sz w:val="21"/>
                <w:szCs w:val="21"/>
                <w:lang w:eastAsia="zh-CN" w:bidi="ar-SA"/>
              </w:rPr>
            </w:pPr>
            <w:r>
              <w:rPr>
                <w:rFonts w:hint="eastAsia" w:ascii="宋体" w:hAnsi="宋体" w:eastAsia="宋体" w:cs="宋体"/>
                <w:color w:val="000000"/>
                <w:kern w:val="2"/>
                <w:sz w:val="21"/>
                <w:szCs w:val="21"/>
                <w:lang w:val="en-US" w:eastAsia="zh-CN" w:bidi="ar-SA"/>
              </w:rPr>
              <w:t>满足招标文件要求且投标价格最低的投标报价为评标基准价，其价格分为满分。其他合格投标人的价格分统一按照下列公式计算：投标报价得分=（评标基准价/投标报价）×40%×100。</w:t>
            </w:r>
          </w:p>
        </w:tc>
      </w:tr>
      <w:tr w14:paraId="2F0A7C1E">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363" w:hRule="atLeast"/>
          <w:jc w:val="center"/>
        </w:trPr>
        <w:tc>
          <w:tcPr>
            <w:tcW w:w="1267" w:type="dxa"/>
            <w:vMerge w:val="restart"/>
            <w:tcBorders>
              <w:top w:val="single" w:color="auto" w:sz="2" w:space="0"/>
              <w:left w:val="single" w:color="auto" w:sz="2" w:space="0"/>
              <w:right w:val="single" w:color="auto" w:sz="2" w:space="0"/>
            </w:tcBorders>
            <w:noWrap w:val="0"/>
            <w:tcMar>
              <w:left w:w="108" w:type="dxa"/>
            </w:tcMar>
            <w:vAlign w:val="center"/>
          </w:tcPr>
          <w:p w14:paraId="3F829389">
            <w:pPr>
              <w:pStyle w:val="17"/>
              <w:spacing w:before="0" w:beforeAutospacing="0" w:after="0" w:afterAutospacing="0"/>
              <w:rPr>
                <w:rFonts w:hint="eastAsia" w:ascii="宋体" w:hAnsi="宋体" w:eastAsia="宋体" w:cs="宋体"/>
                <w:color w:val="000000"/>
                <w:kern w:val="2"/>
                <w:sz w:val="21"/>
                <w:szCs w:val="21"/>
                <w:lang w:eastAsia="zh-CN" w:bidi="ar-SA"/>
              </w:rPr>
            </w:pPr>
            <w:r>
              <w:rPr>
                <w:rFonts w:hint="eastAsia" w:ascii="宋体" w:hAnsi="宋体" w:eastAsia="宋体" w:cs="宋体"/>
                <w:color w:val="000000"/>
                <w:kern w:val="2"/>
                <w:sz w:val="21"/>
                <w:szCs w:val="21"/>
                <w:lang w:eastAsia="zh-CN" w:bidi="ar-SA"/>
              </w:rPr>
              <w:t>技术部分</w:t>
            </w:r>
          </w:p>
          <w:p w14:paraId="0B03D704">
            <w:pPr>
              <w:pStyle w:val="17"/>
              <w:spacing w:before="0" w:beforeAutospacing="0" w:after="0" w:afterAutospacing="0"/>
              <w:rPr>
                <w:rFonts w:hint="eastAsia" w:ascii="宋体" w:hAnsi="宋体" w:eastAsia="宋体" w:cs="宋体"/>
                <w:color w:val="000000"/>
                <w:kern w:val="2"/>
                <w:sz w:val="21"/>
                <w:szCs w:val="21"/>
                <w:lang w:eastAsia="zh-CN" w:bidi="ar-SA"/>
              </w:rPr>
            </w:pPr>
            <w:r>
              <w:rPr>
                <w:rFonts w:hint="eastAsia" w:ascii="宋体" w:hAnsi="宋体" w:eastAsia="宋体" w:cs="宋体"/>
                <w:color w:val="000000"/>
                <w:kern w:val="2"/>
                <w:sz w:val="21"/>
                <w:szCs w:val="21"/>
                <w:lang w:eastAsia="zh-CN" w:bidi="ar-SA"/>
              </w:rPr>
              <w:t>（</w:t>
            </w:r>
            <w:r>
              <w:rPr>
                <w:rFonts w:hint="eastAsia" w:ascii="宋体" w:hAnsi="宋体" w:eastAsia="宋体" w:cs="宋体"/>
                <w:color w:val="000000"/>
                <w:kern w:val="2"/>
                <w:sz w:val="21"/>
                <w:szCs w:val="21"/>
                <w:lang w:val="en-US" w:eastAsia="zh-CN" w:bidi="ar-SA"/>
              </w:rPr>
              <w:t>43</w:t>
            </w:r>
            <w:r>
              <w:rPr>
                <w:rFonts w:hint="eastAsia" w:ascii="宋体" w:hAnsi="宋体" w:eastAsia="宋体" w:cs="宋体"/>
                <w:color w:val="000000"/>
                <w:kern w:val="2"/>
                <w:sz w:val="21"/>
                <w:szCs w:val="21"/>
                <w:lang w:eastAsia="zh-CN" w:bidi="ar-SA"/>
              </w:rPr>
              <w:t>分）</w:t>
            </w:r>
          </w:p>
        </w:tc>
        <w:tc>
          <w:tcPr>
            <w:tcW w:w="1223" w:type="dxa"/>
            <w:tcBorders>
              <w:top w:val="single" w:color="auto" w:sz="2" w:space="0"/>
              <w:left w:val="single" w:color="auto" w:sz="2" w:space="0"/>
              <w:right w:val="single" w:color="auto" w:sz="2" w:space="0"/>
            </w:tcBorders>
            <w:noWrap w:val="0"/>
            <w:tcMar>
              <w:left w:w="108" w:type="dxa"/>
            </w:tcMar>
            <w:vAlign w:val="center"/>
          </w:tcPr>
          <w:p w14:paraId="01946B12">
            <w:pPr>
              <w:pStyle w:val="17"/>
              <w:spacing w:before="0" w:beforeAutospacing="0" w:after="0" w:afterAutospacing="0"/>
              <w:rPr>
                <w:rFonts w:hint="eastAsia" w:ascii="宋体" w:hAnsi="宋体" w:eastAsia="宋体" w:cs="宋体"/>
                <w:color w:val="000000"/>
                <w:kern w:val="2"/>
                <w:sz w:val="21"/>
                <w:szCs w:val="21"/>
                <w:lang w:eastAsia="zh-CN" w:bidi="ar-SA"/>
              </w:rPr>
            </w:pPr>
            <w:r>
              <w:rPr>
                <w:rFonts w:hint="eastAsia" w:ascii="宋体" w:hAnsi="宋体" w:eastAsia="宋体" w:cs="宋体"/>
                <w:color w:val="000000"/>
                <w:kern w:val="2"/>
                <w:sz w:val="21"/>
                <w:szCs w:val="21"/>
                <w:lang w:eastAsia="zh-CN" w:bidi="ar-SA"/>
              </w:rPr>
              <w:t>货物技术规格、参数</w:t>
            </w:r>
          </w:p>
          <w:p w14:paraId="018D0F7F">
            <w:pPr>
              <w:pStyle w:val="17"/>
              <w:spacing w:before="0" w:beforeAutospacing="0" w:after="0" w:afterAutospacing="0"/>
              <w:rPr>
                <w:rFonts w:hint="eastAsia" w:ascii="宋体" w:hAnsi="宋体" w:eastAsia="宋体" w:cs="宋体"/>
                <w:color w:val="000000"/>
                <w:kern w:val="2"/>
                <w:sz w:val="21"/>
                <w:szCs w:val="21"/>
                <w:lang w:val="zh-CN" w:eastAsia="zh-CN" w:bidi="ar-SA"/>
              </w:rPr>
            </w:pPr>
            <w:r>
              <w:rPr>
                <w:rFonts w:hint="eastAsia" w:ascii="宋体" w:hAnsi="宋体" w:eastAsia="宋体" w:cs="宋体"/>
                <w:color w:val="000000"/>
                <w:kern w:val="2"/>
                <w:sz w:val="21"/>
                <w:szCs w:val="21"/>
                <w:lang w:val="zh-CN" w:eastAsia="zh-CN" w:bidi="ar-SA"/>
              </w:rPr>
              <w:t>（</w:t>
            </w:r>
            <w:r>
              <w:rPr>
                <w:rFonts w:hint="eastAsia" w:ascii="宋体" w:hAnsi="宋体" w:eastAsia="宋体" w:cs="宋体"/>
                <w:color w:val="000000"/>
                <w:kern w:val="2"/>
                <w:sz w:val="21"/>
                <w:szCs w:val="21"/>
                <w:lang w:val="en-US" w:eastAsia="zh-CN" w:bidi="ar-SA"/>
              </w:rPr>
              <w:t>35</w:t>
            </w:r>
            <w:r>
              <w:rPr>
                <w:rFonts w:hint="eastAsia" w:ascii="宋体" w:hAnsi="宋体" w:eastAsia="宋体" w:cs="宋体"/>
                <w:color w:val="000000"/>
                <w:kern w:val="2"/>
                <w:sz w:val="21"/>
                <w:szCs w:val="21"/>
                <w:lang w:val="zh-CN" w:eastAsia="zh-CN" w:bidi="ar-SA"/>
              </w:rPr>
              <w:t>分）</w:t>
            </w:r>
          </w:p>
        </w:tc>
        <w:tc>
          <w:tcPr>
            <w:tcW w:w="6032" w:type="dxa"/>
            <w:tcBorders>
              <w:top w:val="single" w:color="auto" w:sz="2" w:space="0"/>
              <w:left w:val="single" w:color="auto" w:sz="2" w:space="0"/>
              <w:right w:val="single" w:color="auto" w:sz="2" w:space="0"/>
            </w:tcBorders>
            <w:noWrap w:val="0"/>
            <w:tcMar>
              <w:left w:w="108" w:type="dxa"/>
            </w:tcMar>
            <w:vAlign w:val="center"/>
          </w:tcPr>
          <w:p w14:paraId="4AB613AF">
            <w:pPr>
              <w:pStyle w:val="17"/>
              <w:spacing w:before="0" w:beforeAutospacing="0" w:after="0" w:afterAutospacing="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1、完全满足项目技术参数的，得</w:t>
            </w:r>
            <w:r>
              <w:rPr>
                <w:rFonts w:hint="eastAsia" w:cs="宋体"/>
                <w:color w:val="000000"/>
                <w:kern w:val="2"/>
                <w:sz w:val="21"/>
                <w:szCs w:val="21"/>
                <w:lang w:val="en-US" w:eastAsia="zh-CN" w:bidi="ar-SA"/>
              </w:rPr>
              <w:t>6</w:t>
            </w:r>
            <w:r>
              <w:rPr>
                <w:rFonts w:hint="eastAsia" w:ascii="宋体" w:hAnsi="宋体" w:eastAsia="宋体" w:cs="宋体"/>
                <w:color w:val="000000"/>
                <w:kern w:val="2"/>
                <w:sz w:val="21"/>
                <w:szCs w:val="21"/>
                <w:lang w:val="en-US" w:eastAsia="zh-CN" w:bidi="ar-SA"/>
              </w:rPr>
              <w:t>分；招标文件项目需求中参数加▲号项，提供</w:t>
            </w:r>
            <w:r>
              <w:rPr>
                <w:rFonts w:hint="eastAsia" w:ascii="宋体" w:hAnsi="宋体" w:eastAsia="宋体" w:cs="宋体"/>
                <w:color w:val="000000"/>
                <w:kern w:val="2"/>
                <w:sz w:val="21"/>
                <w:szCs w:val="21"/>
                <w:lang w:val="zh-CN" w:eastAsia="zh-CN" w:bidi="ar-SA"/>
              </w:rPr>
              <w:t>提供中国国家认证认可监督管理委员会认可的检测机构出具的检测报告的</w:t>
            </w:r>
            <w:r>
              <w:rPr>
                <w:rFonts w:hint="eastAsia" w:ascii="宋体" w:hAnsi="宋体" w:eastAsia="宋体" w:cs="宋体"/>
                <w:color w:val="000000"/>
                <w:kern w:val="2"/>
                <w:sz w:val="21"/>
                <w:szCs w:val="21"/>
                <w:lang w:val="en-US" w:eastAsia="zh-CN" w:bidi="ar-SA"/>
              </w:rPr>
              <w:t>，每提供一项加</w:t>
            </w:r>
            <w:r>
              <w:rPr>
                <w:rFonts w:hint="eastAsia" w:cs="宋体"/>
                <w:color w:val="000000"/>
                <w:kern w:val="2"/>
                <w:sz w:val="21"/>
                <w:szCs w:val="21"/>
                <w:lang w:val="en-US" w:eastAsia="zh-CN" w:bidi="ar-SA"/>
              </w:rPr>
              <w:t>1</w:t>
            </w:r>
            <w:r>
              <w:rPr>
                <w:rFonts w:hint="eastAsia" w:ascii="宋体" w:hAnsi="宋体" w:eastAsia="宋体" w:cs="宋体"/>
                <w:color w:val="000000"/>
                <w:kern w:val="2"/>
                <w:sz w:val="21"/>
                <w:szCs w:val="21"/>
                <w:lang w:val="en-US" w:eastAsia="zh-CN" w:bidi="ar-SA"/>
              </w:rPr>
              <w:t>分，最多加1</w:t>
            </w:r>
            <w:r>
              <w:rPr>
                <w:rFonts w:hint="eastAsia" w:cs="宋体"/>
                <w:color w:val="000000"/>
                <w:kern w:val="2"/>
                <w:sz w:val="21"/>
                <w:szCs w:val="21"/>
                <w:lang w:val="en-US" w:eastAsia="zh-CN" w:bidi="ar-SA"/>
              </w:rPr>
              <w:t>4</w:t>
            </w:r>
            <w:r>
              <w:rPr>
                <w:rFonts w:hint="eastAsia" w:ascii="宋体" w:hAnsi="宋体" w:eastAsia="宋体" w:cs="宋体"/>
                <w:color w:val="000000"/>
                <w:kern w:val="2"/>
                <w:sz w:val="21"/>
                <w:szCs w:val="21"/>
                <w:lang w:val="en-US" w:eastAsia="zh-CN" w:bidi="ar-SA"/>
              </w:rPr>
              <w:t>分。</w:t>
            </w:r>
          </w:p>
          <w:p w14:paraId="7363453D">
            <w:pPr>
              <w:pStyle w:val="17"/>
              <w:spacing w:before="0" w:beforeAutospacing="0" w:after="0" w:afterAutospacing="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2、投标人或所投产品厂商需具有以下</w:t>
            </w:r>
            <w:r>
              <w:rPr>
                <w:rFonts w:hint="eastAsia" w:ascii="宋体" w:hAnsi="宋体" w:eastAsia="宋体" w:cs="宋体"/>
                <w:color w:val="auto"/>
                <w:kern w:val="2"/>
                <w:sz w:val="21"/>
                <w:szCs w:val="21"/>
                <w:lang w:val="en-US" w:eastAsia="zh-CN" w:bidi="ar-SA"/>
              </w:rPr>
              <w:t>证书</w:t>
            </w:r>
            <w:r>
              <w:rPr>
                <w:rFonts w:hint="eastAsia" w:ascii="宋体" w:hAnsi="宋体" w:eastAsia="宋体" w:cs="宋体"/>
                <w:color w:val="000000"/>
                <w:kern w:val="2"/>
                <w:sz w:val="21"/>
                <w:szCs w:val="21"/>
                <w:lang w:val="en-US" w:eastAsia="zh-CN" w:bidi="ar-SA"/>
              </w:rPr>
              <w:t>，每提供一项得4分，最多得12分，不提供不得分。</w:t>
            </w:r>
          </w:p>
          <w:p w14:paraId="1B4D2AA7">
            <w:pPr>
              <w:pStyle w:val="17"/>
              <w:spacing w:before="0" w:beforeAutospacing="0" w:after="0" w:afterAutospacing="0"/>
              <w:rPr>
                <w:rFonts w:hint="eastAsia" w:ascii="宋体" w:hAnsi="宋体" w:eastAsia="宋体" w:cs="宋体"/>
                <w:color w:val="000000"/>
                <w:kern w:val="2"/>
                <w:sz w:val="21"/>
                <w:szCs w:val="21"/>
                <w:lang w:val="en-US" w:eastAsia="zh-CN" w:bidi="ar-SA"/>
              </w:rPr>
            </w:pPr>
            <w:r>
              <w:rPr>
                <w:rFonts w:hint="default" w:ascii="宋体" w:hAnsi="宋体" w:eastAsia="宋体" w:cs="宋体"/>
                <w:color w:val="000000"/>
                <w:kern w:val="2"/>
                <w:sz w:val="21"/>
                <w:szCs w:val="21"/>
                <w:lang w:val="en-US" w:eastAsia="zh-CN" w:bidi="ar-SA"/>
              </w:rPr>
              <w:t>①</w:t>
            </w:r>
            <w:r>
              <w:rPr>
                <w:rFonts w:hint="eastAsia" w:ascii="宋体" w:hAnsi="宋体" w:eastAsia="宋体" w:cs="宋体"/>
                <w:color w:val="000000"/>
                <w:kern w:val="2"/>
                <w:sz w:val="21"/>
                <w:szCs w:val="21"/>
                <w:lang w:val="en-US" w:eastAsia="zh-CN" w:bidi="ar-SA"/>
              </w:rPr>
              <w:t>获得DCMM数据管理能力成熟度三级或以上认证；</w:t>
            </w:r>
          </w:p>
          <w:p w14:paraId="25E52347">
            <w:pPr>
              <w:pStyle w:val="17"/>
              <w:spacing w:before="0" w:beforeAutospacing="0" w:after="0" w:afterAutospacing="0"/>
              <w:rPr>
                <w:rFonts w:hint="eastAsia" w:ascii="宋体" w:hAnsi="宋体" w:eastAsia="宋体" w:cs="宋体"/>
                <w:color w:val="000000"/>
                <w:kern w:val="2"/>
                <w:sz w:val="21"/>
                <w:szCs w:val="21"/>
                <w:lang w:val="en-US" w:eastAsia="zh-CN" w:bidi="ar-SA"/>
              </w:rPr>
            </w:pPr>
            <w:r>
              <w:rPr>
                <w:rFonts w:hint="default" w:ascii="宋体" w:hAnsi="宋体" w:eastAsia="宋体" w:cs="宋体"/>
                <w:color w:val="000000"/>
                <w:kern w:val="2"/>
                <w:sz w:val="21"/>
                <w:szCs w:val="21"/>
                <w:lang w:val="en-US" w:eastAsia="zh-CN" w:bidi="ar-SA"/>
              </w:rPr>
              <w:t>②</w:t>
            </w:r>
            <w:r>
              <w:rPr>
                <w:rFonts w:hint="eastAsia" w:ascii="宋体" w:hAnsi="宋体" w:eastAsia="宋体" w:cs="宋体"/>
                <w:color w:val="000000"/>
                <w:kern w:val="2"/>
                <w:sz w:val="21"/>
                <w:szCs w:val="21"/>
                <w:lang w:eastAsia="zh-CN" w:bidi="ar-SA"/>
              </w:rPr>
              <w:t>CCRC信息安全服务资质信息系统安全集成三级或以上认证、CCRC信息安全服务资质信息系统安全运维资质三级或以上认证。</w:t>
            </w:r>
          </w:p>
          <w:p w14:paraId="30366669">
            <w:pPr>
              <w:pStyle w:val="17"/>
              <w:spacing w:before="0" w:beforeAutospacing="0" w:after="0" w:afterAutospacing="0"/>
              <w:rPr>
                <w:rFonts w:hint="eastAsia" w:ascii="宋体" w:hAnsi="宋体" w:eastAsia="宋体" w:cs="宋体"/>
                <w:color w:val="000000"/>
                <w:kern w:val="2"/>
                <w:sz w:val="21"/>
                <w:szCs w:val="21"/>
                <w:lang w:val="en-US" w:eastAsia="zh-CN" w:bidi="ar-SA"/>
              </w:rPr>
            </w:pPr>
            <w:r>
              <w:rPr>
                <w:rFonts w:hint="default" w:ascii="宋体" w:hAnsi="宋体" w:eastAsia="宋体" w:cs="宋体"/>
                <w:color w:val="000000"/>
                <w:kern w:val="2"/>
                <w:sz w:val="21"/>
                <w:szCs w:val="21"/>
                <w:lang w:val="en-US" w:eastAsia="zh-CN" w:bidi="ar-SA"/>
              </w:rPr>
              <w:t>③</w:t>
            </w:r>
            <w:r>
              <w:rPr>
                <w:rFonts w:hint="eastAsia" w:ascii="宋体" w:hAnsi="宋体" w:eastAsia="宋体" w:cs="宋体"/>
                <w:color w:val="000000"/>
                <w:kern w:val="2"/>
                <w:sz w:val="21"/>
                <w:szCs w:val="21"/>
                <w:lang w:val="en-US" w:eastAsia="zh-CN" w:bidi="ar-SA"/>
              </w:rPr>
              <w:t>具有ISO 27701隐私信息管理体系认证证书，提供证书且能在“国家认证认可监督管理委员会官网”查询并提供查询结果界面截图的；</w:t>
            </w:r>
          </w:p>
          <w:p w14:paraId="04020E9C">
            <w:pPr>
              <w:pStyle w:val="17"/>
              <w:spacing w:before="0" w:beforeAutospacing="0" w:after="0" w:afterAutospacing="0"/>
              <w:rPr>
                <w:rFonts w:hint="eastAsia" w:ascii="宋体" w:hAnsi="宋体" w:eastAsia="宋体" w:cs="宋体"/>
                <w:color w:val="000000"/>
                <w:kern w:val="2"/>
                <w:sz w:val="21"/>
                <w:szCs w:val="21"/>
                <w:lang w:eastAsia="zh-CN" w:bidi="ar-SA"/>
              </w:rPr>
            </w:pPr>
            <w:r>
              <w:rPr>
                <w:rFonts w:hint="eastAsia" w:ascii="宋体" w:hAnsi="宋体" w:eastAsia="宋体" w:cs="宋体"/>
                <w:color w:val="auto"/>
                <w:kern w:val="2"/>
                <w:sz w:val="21"/>
                <w:szCs w:val="21"/>
                <w:lang w:val="en-US" w:eastAsia="zh-CN" w:bidi="ar-SA"/>
              </w:rPr>
              <w:t>3、为保证本项目的核心产品教学一体机产品的售后服务质量，所投教学一体机投标人或所投产品厂商提供售后服务体系认证证书五星级</w:t>
            </w:r>
            <w:r>
              <w:rPr>
                <w:rFonts w:hint="eastAsia" w:ascii="宋体" w:hAnsi="宋体" w:eastAsia="宋体" w:cs="宋体"/>
                <w:color w:val="auto"/>
                <w:kern w:val="2"/>
                <w:sz w:val="21"/>
                <w:szCs w:val="21"/>
                <w:lang w:val="zh-CN" w:eastAsia="zh-CN" w:bidi="ar-SA"/>
              </w:rPr>
              <w:t>得</w:t>
            </w:r>
            <w:r>
              <w:rPr>
                <w:rFonts w:hint="eastAsia" w:ascii="宋体" w:hAnsi="宋体" w:eastAsia="宋体" w:cs="宋体"/>
                <w:color w:val="auto"/>
                <w:kern w:val="2"/>
                <w:sz w:val="21"/>
                <w:szCs w:val="21"/>
                <w:lang w:val="en-US" w:eastAsia="zh-CN" w:bidi="ar-SA"/>
              </w:rPr>
              <w:t>3</w:t>
            </w:r>
            <w:r>
              <w:rPr>
                <w:rFonts w:hint="eastAsia" w:ascii="宋体" w:hAnsi="宋体" w:eastAsia="宋体" w:cs="宋体"/>
                <w:color w:val="auto"/>
                <w:kern w:val="2"/>
                <w:sz w:val="21"/>
                <w:szCs w:val="21"/>
                <w:lang w:val="zh-CN" w:eastAsia="zh-CN" w:bidi="ar-SA"/>
              </w:rPr>
              <w:t>分，四</w:t>
            </w:r>
            <w:r>
              <w:rPr>
                <w:rFonts w:hint="eastAsia" w:ascii="宋体" w:hAnsi="宋体" w:eastAsia="宋体" w:cs="宋体"/>
                <w:color w:val="auto"/>
                <w:kern w:val="2"/>
                <w:sz w:val="21"/>
                <w:szCs w:val="21"/>
                <w:lang w:val="en-US" w:eastAsia="zh-CN" w:bidi="ar-SA"/>
              </w:rPr>
              <w:t>星级</w:t>
            </w:r>
            <w:r>
              <w:rPr>
                <w:rFonts w:hint="eastAsia" w:ascii="宋体" w:hAnsi="宋体" w:eastAsia="宋体" w:cs="宋体"/>
                <w:color w:val="auto"/>
                <w:kern w:val="2"/>
                <w:sz w:val="21"/>
                <w:szCs w:val="21"/>
                <w:lang w:val="zh-CN" w:eastAsia="zh-CN" w:bidi="ar-SA"/>
              </w:rPr>
              <w:t>得</w:t>
            </w:r>
            <w:r>
              <w:rPr>
                <w:rFonts w:hint="eastAsia" w:ascii="宋体" w:hAnsi="宋体" w:eastAsia="宋体" w:cs="宋体"/>
                <w:color w:val="auto"/>
                <w:kern w:val="2"/>
                <w:sz w:val="21"/>
                <w:szCs w:val="21"/>
                <w:lang w:val="en-US" w:eastAsia="zh-CN" w:bidi="ar-SA"/>
              </w:rPr>
              <w:t>2</w:t>
            </w:r>
            <w:r>
              <w:rPr>
                <w:rFonts w:hint="eastAsia" w:ascii="宋体" w:hAnsi="宋体" w:eastAsia="宋体" w:cs="宋体"/>
                <w:color w:val="auto"/>
                <w:kern w:val="2"/>
                <w:sz w:val="21"/>
                <w:szCs w:val="21"/>
                <w:lang w:val="zh-CN" w:eastAsia="zh-CN" w:bidi="ar-SA"/>
              </w:rPr>
              <w:t>分，三</w:t>
            </w:r>
            <w:r>
              <w:rPr>
                <w:rFonts w:hint="eastAsia" w:ascii="宋体" w:hAnsi="宋体" w:eastAsia="宋体" w:cs="宋体"/>
                <w:color w:val="auto"/>
                <w:kern w:val="2"/>
                <w:sz w:val="21"/>
                <w:szCs w:val="21"/>
                <w:lang w:val="en-US" w:eastAsia="zh-CN" w:bidi="ar-SA"/>
              </w:rPr>
              <w:t>星级</w:t>
            </w:r>
            <w:r>
              <w:rPr>
                <w:rFonts w:hint="eastAsia" w:ascii="宋体" w:hAnsi="宋体" w:eastAsia="宋体" w:cs="宋体"/>
                <w:color w:val="auto"/>
                <w:kern w:val="2"/>
                <w:sz w:val="21"/>
                <w:szCs w:val="21"/>
                <w:lang w:val="zh-CN" w:eastAsia="zh-CN" w:bidi="ar-SA"/>
              </w:rPr>
              <w:t>得</w:t>
            </w: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kern w:val="2"/>
                <w:sz w:val="21"/>
                <w:szCs w:val="21"/>
                <w:lang w:val="zh-CN" w:eastAsia="zh-CN" w:bidi="ar-SA"/>
              </w:rPr>
              <w:t>分，不提供不得分</w:t>
            </w:r>
            <w:r>
              <w:rPr>
                <w:rFonts w:hint="eastAsia" w:ascii="宋体" w:hAnsi="宋体" w:cs="宋体"/>
                <w:color w:val="auto"/>
                <w:sz w:val="24"/>
                <w:szCs w:val="24"/>
                <w:highlight w:val="none"/>
                <w:lang w:val="zh-CN" w:eastAsia="zh-CN"/>
              </w:rPr>
              <w:t>。</w:t>
            </w:r>
          </w:p>
        </w:tc>
      </w:tr>
      <w:tr w14:paraId="4800A992">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520" w:hRule="atLeast"/>
          <w:jc w:val="center"/>
        </w:trPr>
        <w:tc>
          <w:tcPr>
            <w:tcW w:w="1267" w:type="dxa"/>
            <w:vMerge w:val="continue"/>
            <w:tcBorders>
              <w:left w:val="single" w:color="auto" w:sz="2" w:space="0"/>
              <w:right w:val="single" w:color="auto" w:sz="2" w:space="0"/>
            </w:tcBorders>
            <w:noWrap w:val="0"/>
            <w:tcMar>
              <w:left w:w="108" w:type="dxa"/>
            </w:tcMar>
            <w:vAlign w:val="center"/>
          </w:tcPr>
          <w:p w14:paraId="3B49C5FD"/>
        </w:tc>
        <w:tc>
          <w:tcPr>
            <w:tcW w:w="1223" w:type="dxa"/>
            <w:tcBorders>
              <w:top w:val="single" w:color="auto" w:sz="2" w:space="0"/>
              <w:left w:val="single" w:color="auto" w:sz="2" w:space="0"/>
              <w:bottom w:val="single" w:color="auto" w:sz="2" w:space="0"/>
              <w:right w:val="single" w:color="auto" w:sz="2" w:space="0"/>
            </w:tcBorders>
            <w:noWrap w:val="0"/>
            <w:tcMar>
              <w:left w:w="108" w:type="dxa"/>
            </w:tcMar>
            <w:vAlign w:val="center"/>
          </w:tcPr>
          <w:p w14:paraId="6B08E686">
            <w:pPr>
              <w:pStyle w:val="17"/>
              <w:spacing w:before="0" w:beforeAutospacing="0" w:after="0" w:afterAutospacing="0"/>
              <w:jc w:val="center"/>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实施方案</w:t>
            </w:r>
          </w:p>
          <w:p w14:paraId="24E5714E">
            <w:pPr>
              <w:pStyle w:val="17"/>
              <w:spacing w:before="0" w:beforeAutospacing="0" w:after="0" w:afterAutospacing="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bidi="ar-SA"/>
              </w:rPr>
              <w:t>（</w:t>
            </w:r>
            <w:r>
              <w:rPr>
                <w:rFonts w:hint="eastAsia" w:cs="宋体"/>
                <w:color w:val="000000"/>
                <w:kern w:val="2"/>
                <w:sz w:val="21"/>
                <w:szCs w:val="21"/>
                <w:lang w:val="en-US" w:eastAsia="zh-CN" w:bidi="ar-SA"/>
              </w:rPr>
              <w:t>8</w:t>
            </w:r>
            <w:r>
              <w:rPr>
                <w:rFonts w:hint="eastAsia" w:ascii="宋体" w:hAnsi="宋体" w:eastAsia="宋体" w:cs="宋体"/>
                <w:color w:val="000000"/>
                <w:kern w:val="2"/>
                <w:sz w:val="21"/>
                <w:szCs w:val="21"/>
                <w:lang w:bidi="ar-SA"/>
              </w:rPr>
              <w:t>分）</w:t>
            </w:r>
          </w:p>
        </w:tc>
        <w:tc>
          <w:tcPr>
            <w:tcW w:w="6032" w:type="dxa"/>
            <w:tcBorders>
              <w:top w:val="single" w:color="auto" w:sz="2" w:space="0"/>
              <w:left w:val="single" w:color="auto" w:sz="2" w:space="0"/>
              <w:bottom w:val="single" w:color="auto" w:sz="2" w:space="0"/>
              <w:right w:val="single" w:color="auto" w:sz="2" w:space="0"/>
            </w:tcBorders>
            <w:noWrap w:val="0"/>
            <w:tcMar>
              <w:left w:w="108" w:type="dxa"/>
            </w:tcMar>
            <w:vAlign w:val="center"/>
          </w:tcPr>
          <w:p w14:paraId="7167595B">
            <w:pPr>
              <w:pStyle w:val="17"/>
              <w:spacing w:before="0" w:beforeAutospacing="0" w:after="0" w:afterAutospacing="0"/>
              <w:rPr>
                <w:rFonts w:hint="eastAsia" w:ascii="宋体" w:hAnsi="宋体" w:eastAsia="宋体" w:cs="宋体"/>
                <w:color w:val="000000"/>
                <w:kern w:val="2"/>
                <w:sz w:val="21"/>
                <w:szCs w:val="21"/>
                <w:lang w:eastAsia="zh-CN" w:bidi="ar-SA"/>
              </w:rPr>
            </w:pPr>
            <w:r>
              <w:rPr>
                <w:rFonts w:hint="eastAsia" w:ascii="宋体" w:hAnsi="宋体" w:eastAsia="宋体" w:cs="宋体"/>
                <w:color w:val="000000"/>
                <w:kern w:val="2"/>
                <w:sz w:val="21"/>
                <w:szCs w:val="21"/>
                <w:lang w:eastAsia="zh-CN" w:bidi="ar-SA"/>
              </w:rPr>
              <w:t xml:space="preserve">1、投标人提供的实施方案（包括但不限于及时供货、进度保证、设备调试安装以及保障措施）内容全面、详细、可行的得 </w:t>
            </w:r>
            <w:r>
              <w:rPr>
                <w:rFonts w:hint="eastAsia" w:cs="宋体"/>
                <w:color w:val="000000"/>
                <w:kern w:val="2"/>
                <w:sz w:val="21"/>
                <w:szCs w:val="21"/>
                <w:lang w:val="en-US" w:eastAsia="zh-CN" w:bidi="ar-SA"/>
              </w:rPr>
              <w:t>4</w:t>
            </w:r>
            <w:r>
              <w:rPr>
                <w:rFonts w:hint="eastAsia" w:ascii="宋体" w:hAnsi="宋体" w:eastAsia="宋体" w:cs="宋体"/>
                <w:color w:val="000000"/>
                <w:kern w:val="2"/>
                <w:sz w:val="21"/>
                <w:szCs w:val="21"/>
                <w:lang w:eastAsia="zh-CN" w:bidi="ar-SA"/>
              </w:rPr>
              <w:t xml:space="preserve">分，仅简单描述且不缺项者得 </w:t>
            </w:r>
            <w:r>
              <w:rPr>
                <w:rFonts w:hint="eastAsia" w:cs="宋体"/>
                <w:color w:val="000000"/>
                <w:kern w:val="2"/>
                <w:sz w:val="21"/>
                <w:szCs w:val="21"/>
                <w:lang w:val="en-US" w:eastAsia="zh-CN" w:bidi="ar-SA"/>
              </w:rPr>
              <w:t>2</w:t>
            </w:r>
            <w:r>
              <w:rPr>
                <w:rFonts w:hint="eastAsia" w:ascii="宋体" w:hAnsi="宋体" w:eastAsia="宋体" w:cs="宋体"/>
                <w:color w:val="000000"/>
                <w:kern w:val="2"/>
                <w:sz w:val="21"/>
                <w:szCs w:val="21"/>
                <w:lang w:eastAsia="zh-CN" w:bidi="ar-SA"/>
              </w:rPr>
              <w:t>分，缺项或不提供的不得分。</w:t>
            </w:r>
          </w:p>
          <w:p w14:paraId="451AE511">
            <w:pPr>
              <w:pStyle w:val="17"/>
              <w:spacing w:before="0" w:beforeAutospacing="0" w:after="0" w:afterAutospacing="0"/>
              <w:rPr>
                <w:rFonts w:hint="eastAsia" w:ascii="宋体" w:hAnsi="宋体" w:eastAsia="宋体" w:cs="宋体"/>
                <w:color w:val="000000"/>
                <w:kern w:val="2"/>
                <w:sz w:val="21"/>
                <w:szCs w:val="21"/>
                <w:lang w:eastAsia="zh-CN" w:bidi="ar-SA"/>
              </w:rPr>
            </w:pPr>
            <w:r>
              <w:rPr>
                <w:rFonts w:hint="eastAsia" w:ascii="宋体" w:hAnsi="宋体" w:eastAsia="宋体" w:cs="宋体"/>
                <w:color w:val="000000"/>
                <w:kern w:val="2"/>
                <w:sz w:val="21"/>
                <w:szCs w:val="21"/>
                <w:lang w:eastAsia="zh-CN" w:bidi="ar-SA"/>
              </w:rPr>
              <w:t>2、投标人提供的质量保障方案（包括但不限于产品质量保证措施、</w:t>
            </w:r>
          </w:p>
          <w:p w14:paraId="39497849">
            <w:pPr>
              <w:pStyle w:val="17"/>
              <w:spacing w:before="0" w:beforeAutospacing="0" w:after="0" w:afterAutospacing="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eastAsia="zh-CN" w:bidi="ar-SA"/>
              </w:rPr>
              <w:t>设备安装质量保证措施、质量保证承诺）内容全面、详细、可行的得</w:t>
            </w:r>
            <w:r>
              <w:rPr>
                <w:rFonts w:hint="eastAsia" w:cs="宋体"/>
                <w:color w:val="000000"/>
                <w:kern w:val="2"/>
                <w:sz w:val="21"/>
                <w:szCs w:val="21"/>
                <w:lang w:val="en-US" w:eastAsia="zh-CN" w:bidi="ar-SA"/>
              </w:rPr>
              <w:t>4</w:t>
            </w:r>
            <w:r>
              <w:rPr>
                <w:rFonts w:hint="eastAsia" w:ascii="宋体" w:hAnsi="宋体" w:eastAsia="宋体" w:cs="宋体"/>
                <w:color w:val="000000"/>
                <w:kern w:val="2"/>
                <w:sz w:val="21"/>
                <w:szCs w:val="21"/>
                <w:lang w:eastAsia="zh-CN" w:bidi="ar-SA"/>
              </w:rPr>
              <w:t xml:space="preserve">分，仅简单描述且不缺项者得 </w:t>
            </w:r>
            <w:r>
              <w:rPr>
                <w:rFonts w:hint="eastAsia" w:cs="宋体"/>
                <w:color w:val="000000"/>
                <w:kern w:val="2"/>
                <w:sz w:val="21"/>
                <w:szCs w:val="21"/>
                <w:lang w:val="en-US" w:eastAsia="zh-CN" w:bidi="ar-SA"/>
              </w:rPr>
              <w:t>2</w:t>
            </w:r>
            <w:r>
              <w:rPr>
                <w:rFonts w:hint="eastAsia" w:ascii="宋体" w:hAnsi="宋体" w:eastAsia="宋体" w:cs="宋体"/>
                <w:color w:val="000000"/>
                <w:kern w:val="2"/>
                <w:sz w:val="21"/>
                <w:szCs w:val="21"/>
                <w:lang w:eastAsia="zh-CN" w:bidi="ar-SA"/>
              </w:rPr>
              <w:t xml:space="preserve"> 分，缺项或不提供的不得分。</w:t>
            </w:r>
          </w:p>
        </w:tc>
      </w:tr>
      <w:tr w14:paraId="04852598">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575" w:hRule="atLeast"/>
          <w:jc w:val="center"/>
        </w:trPr>
        <w:tc>
          <w:tcPr>
            <w:tcW w:w="1267" w:type="dxa"/>
            <w:vMerge w:val="restart"/>
            <w:tcBorders>
              <w:top w:val="single" w:color="auto" w:sz="2" w:space="0"/>
              <w:left w:val="single" w:color="auto" w:sz="2" w:space="0"/>
              <w:right w:val="single" w:color="auto" w:sz="2" w:space="0"/>
            </w:tcBorders>
            <w:noWrap w:val="0"/>
            <w:tcMar>
              <w:left w:w="108" w:type="dxa"/>
            </w:tcMar>
            <w:vAlign w:val="center"/>
          </w:tcPr>
          <w:p w14:paraId="58FCBE2B">
            <w:pPr>
              <w:pStyle w:val="17"/>
              <w:spacing w:before="0" w:beforeAutospacing="0" w:after="0" w:afterAutospacing="0"/>
              <w:jc w:val="center"/>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商务部分</w:t>
            </w:r>
          </w:p>
          <w:p w14:paraId="284F0F4C">
            <w:pPr>
              <w:pStyle w:val="17"/>
              <w:spacing w:before="0" w:beforeAutospacing="0" w:after="0" w:afterAutospacing="0"/>
              <w:jc w:val="center"/>
              <w:rPr>
                <w:rFonts w:hint="eastAsia" w:cs="宋体"/>
                <w:color w:val="000000"/>
                <w:kern w:val="2"/>
                <w:sz w:val="21"/>
                <w:szCs w:val="21"/>
                <w:lang w:val="en-US" w:eastAsia="zh-CN" w:bidi="ar-SA"/>
              </w:rPr>
            </w:pPr>
            <w:r>
              <w:rPr>
                <w:rFonts w:hint="eastAsia" w:cs="宋体"/>
                <w:color w:val="000000"/>
                <w:kern w:val="2"/>
                <w:sz w:val="21"/>
                <w:szCs w:val="21"/>
                <w:lang w:val="en-US" w:eastAsia="zh-CN" w:bidi="ar-SA"/>
              </w:rPr>
              <w:t>（17</w:t>
            </w:r>
            <w:r>
              <w:rPr>
                <w:rFonts w:hint="eastAsia" w:ascii="宋体" w:hAnsi="宋体" w:eastAsia="宋体" w:cs="宋体"/>
                <w:color w:val="000000"/>
                <w:kern w:val="2"/>
                <w:sz w:val="21"/>
                <w:szCs w:val="21"/>
                <w:lang w:bidi="ar-SA"/>
              </w:rPr>
              <w:t>分）</w:t>
            </w:r>
          </w:p>
          <w:p w14:paraId="1396B2BF">
            <w:pPr>
              <w:pStyle w:val="17"/>
              <w:spacing w:before="0" w:beforeAutospacing="0" w:after="0" w:afterAutospacing="0"/>
              <w:ind w:firstLine="210" w:firstLineChars="100"/>
              <w:jc w:val="both"/>
              <w:rPr>
                <w:rFonts w:hint="eastAsia" w:ascii="宋体" w:hAnsi="宋体" w:eastAsia="宋体" w:cs="宋体"/>
                <w:color w:val="000000"/>
                <w:kern w:val="2"/>
                <w:sz w:val="21"/>
                <w:szCs w:val="21"/>
                <w:lang w:bidi="ar-SA"/>
              </w:rPr>
            </w:pPr>
          </w:p>
        </w:tc>
        <w:tc>
          <w:tcPr>
            <w:tcW w:w="1223" w:type="dxa"/>
            <w:tcBorders>
              <w:top w:val="single" w:color="auto" w:sz="2" w:space="0"/>
              <w:left w:val="single" w:color="auto" w:sz="2" w:space="0"/>
              <w:bottom w:val="single" w:color="auto" w:sz="2" w:space="0"/>
              <w:right w:val="single" w:color="auto" w:sz="2" w:space="0"/>
            </w:tcBorders>
            <w:noWrap w:val="0"/>
            <w:tcMar>
              <w:left w:w="108" w:type="dxa"/>
            </w:tcMar>
            <w:vAlign w:val="center"/>
          </w:tcPr>
          <w:p w14:paraId="30C4EAA3">
            <w:pPr>
              <w:keepNext w:val="0"/>
              <w:keepLines w:val="0"/>
              <w:widowControl w:val="0"/>
              <w:suppressLineNumbers w:val="0"/>
              <w:spacing w:before="0" w:beforeAutospacing="0" w:after="0" w:afterAutospacing="0"/>
              <w:ind w:left="0" w:firstLine="0"/>
              <w:jc w:val="center"/>
              <w:rPr>
                <w:rFonts w:hint="eastAsia" w:ascii="宋体" w:hAnsi="宋体" w:eastAsia="宋体" w:cs="宋体"/>
                <w:color w:val="000000"/>
                <w:kern w:val="2"/>
                <w:sz w:val="21"/>
                <w:szCs w:val="21"/>
                <w:lang w:val="zh-CN" w:eastAsia="zh-CN" w:bidi="ar-SA"/>
              </w:rPr>
            </w:pPr>
            <w:r>
              <w:rPr>
                <w:rFonts w:hint="eastAsia" w:ascii="宋体" w:hAnsi="宋体" w:eastAsia="宋体" w:cs="宋体"/>
                <w:color w:val="auto"/>
                <w:kern w:val="2"/>
                <w:sz w:val="21"/>
                <w:szCs w:val="21"/>
                <w:highlight w:val="none"/>
                <w:vertAlign w:val="baseline"/>
                <w:lang w:val="en-US" w:eastAsia="zh-CN" w:bidi="ar-SA"/>
              </w:rPr>
              <w:t>企业业绩</w:t>
            </w:r>
            <w:r>
              <w:rPr>
                <w:rFonts w:hint="eastAsia" w:ascii="宋体" w:cs="宋体"/>
                <w:color w:val="auto"/>
                <w:kern w:val="2"/>
                <w:sz w:val="21"/>
                <w:szCs w:val="21"/>
                <w:highlight w:val="none"/>
                <w:vertAlign w:val="baseline"/>
                <w:lang w:val="en-US" w:eastAsia="zh-CN" w:bidi="ar-SA"/>
              </w:rPr>
              <w:t>（4）</w:t>
            </w:r>
          </w:p>
        </w:tc>
        <w:tc>
          <w:tcPr>
            <w:tcW w:w="6032" w:type="dxa"/>
            <w:tcBorders>
              <w:top w:val="single" w:color="auto" w:sz="2" w:space="0"/>
              <w:left w:val="single" w:color="auto" w:sz="2" w:space="0"/>
              <w:bottom w:val="single" w:color="auto" w:sz="2" w:space="0"/>
              <w:right w:val="single" w:color="auto" w:sz="2" w:space="0"/>
            </w:tcBorders>
            <w:noWrap w:val="0"/>
            <w:tcMar>
              <w:left w:w="108" w:type="dxa"/>
            </w:tcMar>
            <w:vAlign w:val="center"/>
          </w:tcPr>
          <w:p w14:paraId="51FF1A60">
            <w:pPr>
              <w:keepNext w:val="0"/>
              <w:keepLines w:val="0"/>
              <w:widowControl w:val="0"/>
              <w:suppressLineNumbers w:val="0"/>
              <w:spacing w:before="0" w:beforeAutospacing="0" w:after="0" w:afterAutospacing="0"/>
              <w:ind w:left="0" w:firstLine="0"/>
              <w:jc w:val="both"/>
              <w:rPr>
                <w:rFonts w:hint="eastAsia" w:ascii="宋体" w:hAnsi="宋体" w:eastAsia="宋体" w:cs="宋体"/>
                <w:color w:val="000000"/>
                <w:kern w:val="2"/>
                <w:sz w:val="21"/>
                <w:szCs w:val="21"/>
                <w:lang w:val="en-US" w:eastAsia="zh-CN" w:bidi="ar-SA"/>
              </w:rPr>
            </w:pPr>
            <w:r>
              <w:rPr>
                <w:rFonts w:hint="eastAsia" w:ascii="宋体" w:cs="宋体"/>
                <w:color w:val="auto"/>
                <w:kern w:val="2"/>
                <w:sz w:val="21"/>
                <w:szCs w:val="21"/>
                <w:highlight w:val="none"/>
                <w:vertAlign w:val="baseline"/>
                <w:lang w:val="en-US" w:eastAsia="zh-CN" w:bidi="ar-SA"/>
              </w:rPr>
              <w:t>投标单位</w:t>
            </w:r>
            <w:r>
              <w:rPr>
                <w:rFonts w:hint="eastAsia" w:ascii="宋体" w:hAnsi="宋体" w:eastAsia="宋体" w:cs="宋体"/>
                <w:color w:val="auto"/>
                <w:kern w:val="2"/>
                <w:sz w:val="21"/>
                <w:szCs w:val="21"/>
                <w:highlight w:val="none"/>
                <w:vertAlign w:val="baseline"/>
                <w:lang w:val="en-US" w:eastAsia="zh-CN" w:bidi="ar-SA"/>
              </w:rPr>
              <w:t>202</w:t>
            </w:r>
            <w:r>
              <w:rPr>
                <w:rFonts w:hint="eastAsia" w:ascii="宋体" w:cs="宋体"/>
                <w:color w:val="auto"/>
                <w:kern w:val="2"/>
                <w:sz w:val="21"/>
                <w:szCs w:val="21"/>
                <w:highlight w:val="none"/>
                <w:vertAlign w:val="baseline"/>
                <w:lang w:val="en-US" w:eastAsia="zh-CN" w:bidi="ar-SA"/>
              </w:rPr>
              <w:t>1</w:t>
            </w:r>
            <w:r>
              <w:rPr>
                <w:rFonts w:hint="eastAsia" w:ascii="宋体" w:hAnsi="宋体" w:eastAsia="宋体" w:cs="宋体"/>
                <w:color w:val="auto"/>
                <w:kern w:val="2"/>
                <w:sz w:val="21"/>
                <w:szCs w:val="21"/>
                <w:highlight w:val="none"/>
                <w:vertAlign w:val="baseline"/>
                <w:lang w:val="en-US" w:eastAsia="zh-CN" w:bidi="ar-SA"/>
              </w:rPr>
              <w:t>年1月以来具有类似</w:t>
            </w:r>
            <w:r>
              <w:rPr>
                <w:rFonts w:hint="eastAsia" w:ascii="宋体" w:cs="宋体"/>
                <w:color w:val="auto"/>
                <w:kern w:val="2"/>
                <w:sz w:val="21"/>
                <w:szCs w:val="21"/>
                <w:highlight w:val="none"/>
                <w:vertAlign w:val="baseline"/>
                <w:lang w:val="en-US" w:eastAsia="zh-CN" w:bidi="ar-SA"/>
              </w:rPr>
              <w:t>项目</w:t>
            </w:r>
            <w:r>
              <w:rPr>
                <w:rFonts w:hint="eastAsia" w:ascii="宋体" w:hAnsi="宋体" w:eastAsia="宋体" w:cs="宋体"/>
                <w:color w:val="auto"/>
                <w:kern w:val="2"/>
                <w:sz w:val="21"/>
                <w:szCs w:val="21"/>
                <w:highlight w:val="none"/>
                <w:vertAlign w:val="baseline"/>
                <w:lang w:val="en-US" w:eastAsia="zh-CN" w:bidi="ar-SA"/>
              </w:rPr>
              <w:t>业绩，</w:t>
            </w:r>
            <w:r>
              <w:rPr>
                <w:rFonts w:hint="eastAsia" w:ascii="宋体" w:cs="宋体"/>
                <w:color w:val="auto"/>
                <w:kern w:val="2"/>
                <w:sz w:val="21"/>
                <w:szCs w:val="21"/>
                <w:highlight w:val="none"/>
                <w:vertAlign w:val="baseline"/>
                <w:lang w:val="en-US" w:eastAsia="zh-CN" w:bidi="ar-SA"/>
              </w:rPr>
              <w:t>每提供一个</w:t>
            </w:r>
            <w:r>
              <w:rPr>
                <w:rFonts w:hint="eastAsia" w:ascii="宋体" w:hAnsi="宋体" w:eastAsia="宋体" w:cs="宋体"/>
                <w:color w:val="auto"/>
                <w:kern w:val="2"/>
                <w:sz w:val="21"/>
                <w:szCs w:val="21"/>
                <w:highlight w:val="none"/>
                <w:vertAlign w:val="baseline"/>
                <w:lang w:val="en-US" w:eastAsia="zh-CN" w:bidi="ar-SA"/>
              </w:rPr>
              <w:t>业绩得2分，本项最多得</w:t>
            </w:r>
            <w:r>
              <w:rPr>
                <w:rFonts w:hint="eastAsia" w:ascii="宋体" w:cs="宋体"/>
                <w:color w:val="auto"/>
                <w:kern w:val="2"/>
                <w:sz w:val="21"/>
                <w:szCs w:val="21"/>
                <w:highlight w:val="none"/>
                <w:vertAlign w:val="baseline"/>
                <w:lang w:val="en-US" w:eastAsia="zh-CN" w:bidi="ar-SA"/>
              </w:rPr>
              <w:t>4</w:t>
            </w:r>
            <w:r>
              <w:rPr>
                <w:rFonts w:hint="eastAsia" w:ascii="宋体" w:hAnsi="宋体" w:eastAsia="宋体" w:cs="宋体"/>
                <w:color w:val="auto"/>
                <w:kern w:val="2"/>
                <w:sz w:val="21"/>
                <w:szCs w:val="21"/>
                <w:highlight w:val="none"/>
                <w:vertAlign w:val="baseline"/>
                <w:lang w:val="en-US" w:eastAsia="zh-CN" w:bidi="ar-SA"/>
              </w:rPr>
              <w:t>分。应提供法定媒介中标（成交）公示网页截图、合同、中标通知书、缺一项不得分）</w:t>
            </w:r>
          </w:p>
        </w:tc>
      </w:tr>
      <w:tr w14:paraId="5816ABB0">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575" w:hRule="atLeast"/>
          <w:jc w:val="center"/>
        </w:trPr>
        <w:tc>
          <w:tcPr>
            <w:tcW w:w="1267" w:type="dxa"/>
            <w:vMerge w:val="continue"/>
            <w:tcBorders>
              <w:left w:val="single" w:color="auto" w:sz="2" w:space="0"/>
              <w:right w:val="single" w:color="auto" w:sz="2" w:space="0"/>
            </w:tcBorders>
            <w:noWrap w:val="0"/>
            <w:tcMar>
              <w:left w:w="108" w:type="dxa"/>
            </w:tcMar>
            <w:vAlign w:val="center"/>
          </w:tcPr>
          <w:p w14:paraId="26BCE52B"/>
        </w:tc>
        <w:tc>
          <w:tcPr>
            <w:tcW w:w="1223" w:type="dxa"/>
            <w:tcBorders>
              <w:top w:val="single" w:color="auto" w:sz="2" w:space="0"/>
              <w:left w:val="single" w:color="auto" w:sz="2" w:space="0"/>
              <w:bottom w:val="single" w:color="auto" w:sz="2" w:space="0"/>
              <w:right w:val="single" w:color="auto" w:sz="2" w:space="0"/>
            </w:tcBorders>
            <w:noWrap w:val="0"/>
            <w:tcMar>
              <w:left w:w="108" w:type="dxa"/>
            </w:tcMar>
            <w:vAlign w:val="center"/>
          </w:tcPr>
          <w:p w14:paraId="7DC2F281">
            <w:pPr>
              <w:pStyle w:val="17"/>
              <w:spacing w:before="0" w:beforeAutospacing="0" w:after="0" w:afterAutospacing="0"/>
              <w:jc w:val="center"/>
              <w:rPr>
                <w:rFonts w:hint="eastAsia" w:cs="宋体"/>
                <w:color w:val="000000"/>
                <w:kern w:val="2"/>
                <w:sz w:val="21"/>
                <w:szCs w:val="21"/>
                <w:lang w:eastAsia="zh-CN" w:bidi="ar-SA"/>
              </w:rPr>
            </w:pPr>
            <w:r>
              <w:rPr>
                <w:rFonts w:hint="eastAsia" w:cs="宋体"/>
                <w:color w:val="000000"/>
                <w:kern w:val="2"/>
                <w:sz w:val="21"/>
                <w:szCs w:val="21"/>
                <w:lang w:eastAsia="zh-CN" w:bidi="ar-SA"/>
              </w:rPr>
              <w:t>管理体系</w:t>
            </w:r>
          </w:p>
          <w:p w14:paraId="68266BEB">
            <w:pPr>
              <w:pStyle w:val="17"/>
              <w:spacing w:before="0" w:beforeAutospacing="0" w:after="0" w:afterAutospacing="0"/>
              <w:jc w:val="center"/>
              <w:rPr>
                <w:rFonts w:hint="eastAsia" w:cs="宋体"/>
                <w:color w:val="000000"/>
                <w:kern w:val="2"/>
                <w:sz w:val="21"/>
                <w:szCs w:val="21"/>
                <w:lang w:eastAsia="zh-CN" w:bidi="ar-SA"/>
              </w:rPr>
            </w:pPr>
            <w:r>
              <w:rPr>
                <w:rFonts w:hint="eastAsia" w:cs="宋体"/>
                <w:color w:val="000000"/>
                <w:kern w:val="2"/>
                <w:sz w:val="21"/>
                <w:szCs w:val="21"/>
                <w:lang w:eastAsia="zh-CN" w:bidi="ar-SA"/>
              </w:rPr>
              <w:t>认证</w:t>
            </w:r>
          </w:p>
          <w:p w14:paraId="21E555D0">
            <w:pPr>
              <w:pStyle w:val="17"/>
              <w:spacing w:before="0" w:beforeAutospacing="0" w:after="0" w:afterAutospacing="0"/>
              <w:jc w:val="center"/>
              <w:rPr>
                <w:rFonts w:hint="eastAsia" w:ascii="宋体" w:hAnsi="宋体" w:eastAsia="宋体" w:cs="宋体"/>
                <w:color w:val="000000"/>
                <w:kern w:val="2"/>
                <w:sz w:val="21"/>
                <w:szCs w:val="21"/>
                <w:lang w:val="en-US" w:eastAsia="zh-CN" w:bidi="ar-SA"/>
              </w:rPr>
            </w:pPr>
            <w:r>
              <w:rPr>
                <w:rFonts w:hint="eastAsia" w:cs="宋体"/>
                <w:color w:val="000000"/>
                <w:kern w:val="2"/>
                <w:sz w:val="21"/>
                <w:szCs w:val="21"/>
                <w:lang w:eastAsia="zh-CN" w:bidi="ar-SA"/>
              </w:rPr>
              <w:t>（</w:t>
            </w:r>
            <w:r>
              <w:rPr>
                <w:rFonts w:hint="eastAsia" w:cs="宋体"/>
                <w:color w:val="000000"/>
                <w:kern w:val="2"/>
                <w:sz w:val="21"/>
                <w:szCs w:val="21"/>
                <w:lang w:val="en-US" w:eastAsia="zh-CN" w:bidi="ar-SA"/>
              </w:rPr>
              <w:t>3分</w:t>
            </w:r>
            <w:r>
              <w:rPr>
                <w:rFonts w:hint="eastAsia" w:cs="宋体"/>
                <w:color w:val="000000"/>
                <w:kern w:val="2"/>
                <w:sz w:val="21"/>
                <w:szCs w:val="21"/>
                <w:lang w:eastAsia="zh-CN" w:bidi="ar-SA"/>
              </w:rPr>
              <w:t>）</w:t>
            </w:r>
          </w:p>
        </w:tc>
        <w:tc>
          <w:tcPr>
            <w:tcW w:w="6032" w:type="dxa"/>
            <w:tcBorders>
              <w:top w:val="single" w:color="auto" w:sz="2" w:space="0"/>
              <w:left w:val="single" w:color="auto" w:sz="2" w:space="0"/>
              <w:bottom w:val="single" w:color="auto" w:sz="2" w:space="0"/>
              <w:right w:val="single" w:color="auto" w:sz="2" w:space="0"/>
            </w:tcBorders>
            <w:noWrap w:val="0"/>
            <w:tcMar>
              <w:left w:w="108" w:type="dxa"/>
            </w:tcMar>
            <w:vAlign w:val="center"/>
          </w:tcPr>
          <w:p w14:paraId="653E309E">
            <w:pPr>
              <w:pStyle w:val="17"/>
              <w:spacing w:before="0" w:beforeAutospacing="0" w:after="0" w:afterAutospacing="0"/>
              <w:rPr>
                <w:rFonts w:hint="eastAsia" w:ascii="宋体" w:hAnsi="宋体" w:eastAsia="宋体" w:cs="宋体"/>
                <w:color w:val="000000"/>
                <w:kern w:val="2"/>
                <w:sz w:val="21"/>
                <w:szCs w:val="21"/>
                <w:lang w:eastAsia="zh-CN" w:bidi="ar-SA"/>
              </w:rPr>
            </w:pPr>
            <w:r>
              <w:rPr>
                <w:rFonts w:hint="eastAsia" w:ascii="宋体" w:hAnsi="宋体" w:eastAsia="宋体" w:cs="宋体"/>
                <w:color w:val="000000"/>
                <w:kern w:val="2"/>
                <w:sz w:val="21"/>
                <w:szCs w:val="21"/>
                <w:lang w:val="en-US" w:eastAsia="zh-CN" w:bidi="ar-SA"/>
              </w:rPr>
              <w:t>1、</w:t>
            </w:r>
            <w:r>
              <w:rPr>
                <w:rFonts w:hint="eastAsia" w:ascii="宋体" w:hAnsi="宋体" w:eastAsia="宋体" w:cs="宋体"/>
                <w:color w:val="auto"/>
                <w:kern w:val="2"/>
                <w:sz w:val="21"/>
                <w:szCs w:val="21"/>
                <w:lang w:val="en-US" w:eastAsia="zh-CN" w:bidi="ar-SA"/>
              </w:rPr>
              <w:t>投标人或所投产品厂商</w:t>
            </w:r>
            <w:r>
              <w:rPr>
                <w:rFonts w:hint="eastAsia" w:ascii="宋体" w:hAnsi="宋体" w:eastAsia="宋体" w:cs="宋体"/>
                <w:color w:val="000000"/>
                <w:kern w:val="2"/>
                <w:sz w:val="21"/>
                <w:szCs w:val="21"/>
                <w:lang w:eastAsia="zh-CN" w:bidi="ar-SA"/>
              </w:rPr>
              <w:t>具有国家认证认可监督管理委员会认可的从业机构出具的有效期内 IS09001 质量管理体系认证证书得 1 分（如认证证书注明应进行年度监审，须附监审标识或年审报告等有关证明材料）。</w:t>
            </w:r>
          </w:p>
          <w:p w14:paraId="22365459">
            <w:pPr>
              <w:pStyle w:val="17"/>
              <w:spacing w:before="0" w:beforeAutospacing="0" w:after="0" w:afterAutospacing="0"/>
              <w:rPr>
                <w:rFonts w:hint="eastAsia" w:ascii="宋体" w:hAnsi="宋体" w:eastAsia="宋体" w:cs="宋体"/>
                <w:color w:val="000000"/>
                <w:kern w:val="2"/>
                <w:sz w:val="21"/>
                <w:szCs w:val="21"/>
                <w:lang w:eastAsia="zh-CN" w:bidi="ar-SA"/>
              </w:rPr>
            </w:pPr>
            <w:r>
              <w:rPr>
                <w:rFonts w:hint="eastAsia" w:ascii="宋体" w:hAnsi="宋体" w:eastAsia="宋体" w:cs="宋体"/>
                <w:color w:val="000000"/>
                <w:kern w:val="2"/>
                <w:sz w:val="21"/>
                <w:szCs w:val="21"/>
                <w:lang w:val="en-US" w:eastAsia="zh-CN" w:bidi="ar-SA"/>
              </w:rPr>
              <w:t>2、</w:t>
            </w:r>
            <w:r>
              <w:rPr>
                <w:rFonts w:hint="eastAsia" w:ascii="宋体" w:hAnsi="宋体" w:eastAsia="宋体" w:cs="宋体"/>
                <w:color w:val="auto"/>
                <w:kern w:val="2"/>
                <w:sz w:val="21"/>
                <w:szCs w:val="21"/>
                <w:lang w:val="en-US" w:eastAsia="zh-CN" w:bidi="ar-SA"/>
              </w:rPr>
              <w:t>投标人或所投产品厂商</w:t>
            </w:r>
            <w:r>
              <w:rPr>
                <w:rFonts w:hint="eastAsia" w:ascii="宋体" w:hAnsi="宋体" w:eastAsia="宋体" w:cs="宋体"/>
                <w:color w:val="000000"/>
                <w:kern w:val="2"/>
                <w:sz w:val="21"/>
                <w:szCs w:val="21"/>
                <w:lang w:eastAsia="zh-CN" w:bidi="ar-SA"/>
              </w:rPr>
              <w:t>具有国家认证认可监督管理委员会认可的从业机构出具的有效期内 ISO14001 环境管理体系认证证书得 1 分（如认证证书注明应进行年度监审，须附监审标识或年审报告等有关证明材料）。</w:t>
            </w:r>
          </w:p>
          <w:p w14:paraId="7EB80D74">
            <w:pPr>
              <w:pStyle w:val="17"/>
              <w:spacing w:before="0" w:beforeAutospacing="0" w:after="0" w:afterAutospacing="0"/>
              <w:rPr>
                <w:rFonts w:hint="eastAsia" w:ascii="宋体" w:hAnsi="宋体" w:eastAsia="宋体" w:cs="宋体"/>
                <w:color w:val="000000"/>
                <w:kern w:val="2"/>
                <w:sz w:val="21"/>
                <w:szCs w:val="21"/>
                <w:lang w:eastAsia="zh-CN" w:bidi="ar-SA"/>
              </w:rPr>
            </w:pPr>
            <w:r>
              <w:rPr>
                <w:rFonts w:hint="eastAsia" w:ascii="宋体" w:hAnsi="宋体" w:eastAsia="宋体" w:cs="宋体"/>
                <w:color w:val="000000"/>
                <w:kern w:val="2"/>
                <w:sz w:val="21"/>
                <w:szCs w:val="21"/>
                <w:lang w:val="en-US" w:eastAsia="zh-CN" w:bidi="ar-SA"/>
              </w:rPr>
              <w:t>3、</w:t>
            </w:r>
            <w:r>
              <w:rPr>
                <w:rFonts w:hint="eastAsia" w:ascii="宋体" w:hAnsi="宋体" w:eastAsia="宋体" w:cs="宋体"/>
                <w:color w:val="auto"/>
                <w:kern w:val="2"/>
                <w:sz w:val="21"/>
                <w:szCs w:val="21"/>
                <w:lang w:val="en-US" w:eastAsia="zh-CN" w:bidi="ar-SA"/>
              </w:rPr>
              <w:t>投标人或所投产品厂商</w:t>
            </w:r>
            <w:r>
              <w:rPr>
                <w:rFonts w:hint="eastAsia" w:ascii="宋体" w:hAnsi="宋体" w:eastAsia="宋体" w:cs="宋体"/>
                <w:color w:val="000000"/>
                <w:kern w:val="2"/>
                <w:sz w:val="21"/>
                <w:szCs w:val="21"/>
                <w:lang w:eastAsia="zh-CN" w:bidi="ar-SA"/>
              </w:rPr>
              <w:t>具有国家认证认可监督管理委员会认可的从业机构出具的有效期内 ISO45001 职业健康安全管理体系认证证书得 1 分（如认证证书注明应进行年度监审，须附监审标识或年审报告等有关证明材料）。</w:t>
            </w:r>
          </w:p>
          <w:p w14:paraId="6E71B2CF">
            <w:pPr>
              <w:pStyle w:val="17"/>
              <w:spacing w:before="0" w:beforeAutospacing="0" w:after="0" w:afterAutospacing="0"/>
              <w:rPr>
                <w:rFonts w:hint="eastAsia" w:ascii="宋体" w:hAnsi="宋体" w:eastAsia="宋体" w:cs="宋体"/>
                <w:color w:val="FF0000"/>
                <w:kern w:val="2"/>
                <w:sz w:val="21"/>
                <w:szCs w:val="21"/>
                <w:lang w:val="en-US" w:eastAsia="zh-CN" w:bidi="ar-SA"/>
              </w:rPr>
            </w:pPr>
            <w:r>
              <w:rPr>
                <w:rFonts w:hint="eastAsia" w:ascii="宋体" w:hAnsi="宋体" w:eastAsia="宋体" w:cs="宋体"/>
                <w:b/>
                <w:bCs/>
                <w:color w:val="000000"/>
                <w:kern w:val="2"/>
                <w:sz w:val="21"/>
                <w:szCs w:val="21"/>
                <w:lang w:eastAsia="zh-CN" w:bidi="ar-SA"/>
              </w:rPr>
              <w:t>以上证明文件须加盖投标单位公章的扫描件</w:t>
            </w:r>
          </w:p>
        </w:tc>
      </w:tr>
      <w:tr w14:paraId="257A9D95">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575" w:hRule="atLeast"/>
          <w:jc w:val="center"/>
        </w:trPr>
        <w:tc>
          <w:tcPr>
            <w:tcW w:w="1267" w:type="dxa"/>
            <w:vMerge w:val="continue"/>
            <w:tcBorders>
              <w:left w:val="single" w:color="auto" w:sz="2" w:space="0"/>
              <w:right w:val="single" w:color="auto" w:sz="2" w:space="0"/>
            </w:tcBorders>
            <w:noWrap w:val="0"/>
            <w:tcMar>
              <w:left w:w="108" w:type="dxa"/>
            </w:tcMar>
            <w:vAlign w:val="center"/>
          </w:tcPr>
          <w:p w14:paraId="2A58E359"/>
        </w:tc>
        <w:tc>
          <w:tcPr>
            <w:tcW w:w="1223" w:type="dxa"/>
            <w:tcBorders>
              <w:top w:val="single" w:color="auto" w:sz="2" w:space="0"/>
              <w:left w:val="single" w:color="auto" w:sz="2" w:space="0"/>
              <w:bottom w:val="single" w:color="auto" w:sz="2" w:space="0"/>
              <w:right w:val="single" w:color="auto" w:sz="2" w:space="0"/>
            </w:tcBorders>
            <w:noWrap w:val="0"/>
            <w:tcMar>
              <w:left w:w="108" w:type="dxa"/>
            </w:tcMar>
            <w:vAlign w:val="center"/>
          </w:tcPr>
          <w:p w14:paraId="7F95F7B1">
            <w:pPr>
              <w:pStyle w:val="17"/>
              <w:spacing w:before="0" w:beforeAutospacing="0" w:after="0" w:afterAutospacing="0"/>
              <w:jc w:val="center"/>
              <w:rPr>
                <w:rFonts w:hint="eastAsia" w:ascii="宋体" w:hAnsi="宋体" w:eastAsia="宋体" w:cs="宋体"/>
                <w:color w:val="000000"/>
                <w:kern w:val="2"/>
                <w:sz w:val="21"/>
                <w:szCs w:val="21"/>
                <w:lang w:val="zh-CN" w:eastAsia="zh-CN" w:bidi="ar-SA"/>
              </w:rPr>
            </w:pPr>
            <w:r>
              <w:rPr>
                <w:rFonts w:hint="eastAsia" w:ascii="宋体" w:hAnsi="宋体" w:eastAsia="宋体" w:cs="宋体"/>
                <w:color w:val="000000"/>
                <w:kern w:val="2"/>
                <w:sz w:val="21"/>
                <w:szCs w:val="21"/>
                <w:lang w:val="zh-CN" w:eastAsia="zh-CN" w:bidi="ar-SA"/>
              </w:rPr>
              <w:t>节约能源、保护环境优先采购政策</w:t>
            </w:r>
          </w:p>
          <w:p w14:paraId="421D06AB">
            <w:pPr>
              <w:pStyle w:val="17"/>
              <w:spacing w:before="0" w:beforeAutospacing="0" w:after="0" w:afterAutospacing="0"/>
              <w:jc w:val="center"/>
              <w:rPr>
                <w:rFonts w:hint="eastAsia" w:ascii="宋体" w:hAnsi="宋体" w:eastAsia="宋体" w:cs="宋体"/>
                <w:color w:val="000000"/>
                <w:kern w:val="2"/>
                <w:sz w:val="21"/>
                <w:szCs w:val="21"/>
                <w:lang w:val="zh-CN" w:eastAsia="zh-CN" w:bidi="ar-SA"/>
              </w:rPr>
            </w:pPr>
            <w:r>
              <w:rPr>
                <w:rFonts w:hint="eastAsia" w:ascii="宋体" w:hAnsi="宋体" w:eastAsia="宋体" w:cs="宋体"/>
                <w:color w:val="000000"/>
                <w:kern w:val="2"/>
                <w:sz w:val="21"/>
                <w:szCs w:val="21"/>
                <w:lang w:val="zh-CN" w:eastAsia="zh-CN" w:bidi="ar-SA"/>
              </w:rPr>
              <w:t>（</w:t>
            </w:r>
            <w:r>
              <w:rPr>
                <w:rFonts w:hint="eastAsia" w:ascii="宋体" w:hAnsi="宋体" w:eastAsia="宋体" w:cs="宋体"/>
                <w:color w:val="000000"/>
                <w:kern w:val="2"/>
                <w:sz w:val="21"/>
                <w:szCs w:val="21"/>
                <w:lang w:val="en-US" w:eastAsia="zh-CN" w:bidi="ar-SA"/>
              </w:rPr>
              <w:t>5分</w:t>
            </w:r>
            <w:r>
              <w:rPr>
                <w:rFonts w:hint="eastAsia" w:ascii="宋体" w:hAnsi="宋体" w:eastAsia="宋体" w:cs="宋体"/>
                <w:color w:val="000000"/>
                <w:kern w:val="2"/>
                <w:sz w:val="21"/>
                <w:szCs w:val="21"/>
                <w:lang w:val="zh-CN" w:eastAsia="zh-CN" w:bidi="ar-SA"/>
              </w:rPr>
              <w:t>）</w:t>
            </w:r>
          </w:p>
        </w:tc>
        <w:tc>
          <w:tcPr>
            <w:tcW w:w="6032" w:type="dxa"/>
            <w:tcBorders>
              <w:top w:val="single" w:color="auto" w:sz="2" w:space="0"/>
              <w:left w:val="single" w:color="auto" w:sz="2" w:space="0"/>
              <w:bottom w:val="single" w:color="auto" w:sz="2" w:space="0"/>
              <w:right w:val="single" w:color="auto" w:sz="2" w:space="0"/>
            </w:tcBorders>
            <w:noWrap w:val="0"/>
            <w:tcMar>
              <w:left w:w="108" w:type="dxa"/>
            </w:tcMar>
            <w:vAlign w:val="center"/>
          </w:tcPr>
          <w:p w14:paraId="2029F6AD">
            <w:pPr>
              <w:pStyle w:val="17"/>
              <w:spacing w:before="0" w:beforeAutospacing="0" w:after="0" w:afterAutospacing="0"/>
              <w:rPr>
                <w:rFonts w:hint="eastAsia" w:ascii="宋体" w:hAnsi="宋体" w:eastAsia="宋体" w:cs="宋体"/>
                <w:color w:val="000000"/>
                <w:kern w:val="2"/>
                <w:sz w:val="21"/>
                <w:szCs w:val="21"/>
                <w:lang w:eastAsia="zh-CN" w:bidi="ar-SA"/>
              </w:rPr>
            </w:pPr>
            <w:r>
              <w:rPr>
                <w:rFonts w:hint="eastAsia" w:cs="宋体"/>
                <w:color w:val="000000"/>
                <w:kern w:val="2"/>
                <w:sz w:val="21"/>
                <w:szCs w:val="21"/>
                <w:lang w:val="en-US" w:eastAsia="zh-CN" w:bidi="ar-SA"/>
              </w:rPr>
              <w:t>1</w:t>
            </w:r>
            <w:r>
              <w:rPr>
                <w:rFonts w:hint="eastAsia" w:ascii="宋体" w:hAnsi="宋体" w:eastAsia="宋体" w:cs="宋体"/>
                <w:color w:val="000000"/>
                <w:kern w:val="2"/>
                <w:sz w:val="21"/>
                <w:szCs w:val="21"/>
                <w:lang w:val="en-US" w:eastAsia="zh-CN" w:bidi="ar-SA"/>
              </w:rPr>
              <w:t>、</w:t>
            </w:r>
            <w:r>
              <w:rPr>
                <w:rFonts w:hint="eastAsia" w:ascii="宋体" w:hAnsi="宋体" w:eastAsia="宋体" w:cs="宋体"/>
                <w:color w:val="000000"/>
                <w:kern w:val="2"/>
                <w:sz w:val="21"/>
                <w:szCs w:val="21"/>
                <w:lang w:eastAsia="zh-CN" w:bidi="ar-SA"/>
              </w:rPr>
              <w:t>除政府强制采购的节能产品外，投标人所投产品属于“节能产品政府采购品目清单”优先采购产品，投标文件中提供具有国家确定的认证机构出具的、处于有效期之内的节能产品认证证书；</w:t>
            </w:r>
          </w:p>
          <w:p w14:paraId="2F7F8786">
            <w:pPr>
              <w:pStyle w:val="17"/>
              <w:spacing w:before="0" w:beforeAutospacing="0" w:after="0" w:afterAutospacing="0"/>
              <w:rPr>
                <w:rFonts w:hint="eastAsia" w:ascii="宋体" w:hAnsi="宋体" w:eastAsia="宋体" w:cs="宋体"/>
                <w:color w:val="000000"/>
                <w:kern w:val="2"/>
                <w:sz w:val="21"/>
                <w:szCs w:val="21"/>
                <w:lang w:eastAsia="zh-CN" w:bidi="ar-SA"/>
              </w:rPr>
            </w:pPr>
            <w:r>
              <w:rPr>
                <w:rFonts w:hint="eastAsia" w:cs="宋体"/>
                <w:color w:val="000000"/>
                <w:kern w:val="2"/>
                <w:sz w:val="21"/>
                <w:szCs w:val="21"/>
                <w:lang w:val="en-US" w:eastAsia="zh-CN" w:bidi="ar-SA"/>
              </w:rPr>
              <w:t>2</w:t>
            </w:r>
            <w:r>
              <w:rPr>
                <w:rFonts w:hint="eastAsia" w:ascii="宋体" w:hAnsi="宋体" w:eastAsia="宋体" w:cs="宋体"/>
                <w:color w:val="000000"/>
                <w:kern w:val="2"/>
                <w:sz w:val="21"/>
                <w:szCs w:val="21"/>
                <w:lang w:val="en-US" w:eastAsia="zh-CN" w:bidi="ar-SA"/>
              </w:rPr>
              <w:t>、</w:t>
            </w:r>
            <w:r>
              <w:rPr>
                <w:rFonts w:hint="eastAsia" w:ascii="宋体" w:hAnsi="宋体" w:eastAsia="宋体" w:cs="宋体"/>
                <w:color w:val="000000"/>
                <w:kern w:val="2"/>
                <w:sz w:val="21"/>
                <w:szCs w:val="21"/>
                <w:lang w:eastAsia="zh-CN" w:bidi="ar-SA"/>
              </w:rPr>
              <w:t>投标人所投产品属于“环境标志产品政府采购品目清单”内产品，投标文件中提供具有国家确定的认证机构出具的、处于有效期之内的环境标志产品认证证书。</w:t>
            </w:r>
          </w:p>
          <w:p w14:paraId="7A805601">
            <w:pPr>
              <w:pStyle w:val="17"/>
              <w:spacing w:before="0" w:beforeAutospacing="0" w:after="0" w:afterAutospacing="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eastAsia="zh-CN" w:bidi="ar-SA"/>
              </w:rPr>
              <w:t>以上两项证书每提供一个加</w:t>
            </w:r>
            <w:r>
              <w:rPr>
                <w:rFonts w:hint="eastAsia" w:ascii="宋体" w:hAnsi="宋体" w:eastAsia="宋体" w:cs="宋体"/>
                <w:color w:val="000000"/>
                <w:kern w:val="2"/>
                <w:sz w:val="21"/>
                <w:szCs w:val="21"/>
                <w:lang w:val="en-US" w:eastAsia="zh-CN" w:bidi="ar-SA"/>
              </w:rPr>
              <w:t>1</w:t>
            </w:r>
            <w:r>
              <w:rPr>
                <w:rFonts w:hint="eastAsia" w:ascii="宋体" w:hAnsi="宋体" w:eastAsia="宋体" w:cs="宋体"/>
                <w:color w:val="000000"/>
                <w:kern w:val="2"/>
                <w:sz w:val="21"/>
                <w:szCs w:val="21"/>
                <w:lang w:eastAsia="zh-CN" w:bidi="ar-SA"/>
              </w:rPr>
              <w:t>分，最多加5分；不提供者不得分。</w:t>
            </w:r>
          </w:p>
        </w:tc>
      </w:tr>
      <w:tr w14:paraId="2FF82A12">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400" w:hRule="atLeast"/>
          <w:jc w:val="center"/>
        </w:trPr>
        <w:tc>
          <w:tcPr>
            <w:tcW w:w="1267" w:type="dxa"/>
            <w:vMerge w:val="continue"/>
            <w:tcBorders>
              <w:left w:val="single" w:color="auto" w:sz="2" w:space="0"/>
              <w:bottom w:val="single" w:color="auto" w:sz="2" w:space="0"/>
              <w:right w:val="single" w:color="auto" w:sz="2" w:space="0"/>
            </w:tcBorders>
            <w:noWrap w:val="0"/>
            <w:tcMar>
              <w:left w:w="108" w:type="dxa"/>
            </w:tcMar>
            <w:vAlign w:val="center"/>
          </w:tcPr>
          <w:p w14:paraId="3BF89640"/>
        </w:tc>
        <w:tc>
          <w:tcPr>
            <w:tcW w:w="1223" w:type="dxa"/>
            <w:tcBorders>
              <w:top w:val="single" w:color="auto" w:sz="2" w:space="0"/>
              <w:left w:val="single" w:color="auto" w:sz="2" w:space="0"/>
              <w:bottom w:val="single" w:color="auto" w:sz="2" w:space="0"/>
              <w:right w:val="single" w:color="auto" w:sz="2" w:space="0"/>
            </w:tcBorders>
            <w:noWrap w:val="0"/>
            <w:tcMar>
              <w:left w:w="108" w:type="dxa"/>
            </w:tcMar>
            <w:vAlign w:val="center"/>
          </w:tcPr>
          <w:p w14:paraId="3B1B442A">
            <w:pPr>
              <w:pStyle w:val="17"/>
              <w:spacing w:before="0" w:beforeAutospacing="0" w:after="0" w:afterAutospacing="0"/>
              <w:jc w:val="center"/>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售后服务</w:t>
            </w:r>
          </w:p>
          <w:p w14:paraId="63D82823">
            <w:pPr>
              <w:pStyle w:val="17"/>
              <w:spacing w:before="0" w:beforeAutospacing="0" w:after="0" w:afterAutospacing="0"/>
              <w:jc w:val="center"/>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w:t>
            </w:r>
            <w:r>
              <w:rPr>
                <w:rFonts w:hint="eastAsia" w:cs="宋体"/>
                <w:color w:val="000000"/>
                <w:kern w:val="2"/>
                <w:sz w:val="21"/>
                <w:szCs w:val="21"/>
                <w:lang w:val="en-US" w:eastAsia="zh-CN" w:bidi="ar-SA"/>
              </w:rPr>
              <w:t>5</w:t>
            </w:r>
            <w:r>
              <w:rPr>
                <w:rFonts w:hint="eastAsia" w:ascii="宋体" w:hAnsi="宋体" w:eastAsia="宋体" w:cs="宋体"/>
                <w:color w:val="000000"/>
                <w:kern w:val="2"/>
                <w:sz w:val="21"/>
                <w:szCs w:val="21"/>
                <w:lang w:bidi="ar-SA"/>
              </w:rPr>
              <w:t xml:space="preserve"> 分）</w:t>
            </w:r>
          </w:p>
          <w:p w14:paraId="1E61FD98">
            <w:pPr>
              <w:pStyle w:val="17"/>
              <w:spacing w:before="0" w:beforeAutospacing="0" w:after="0" w:afterAutospacing="0"/>
              <w:ind w:firstLine="210" w:firstLineChars="100"/>
              <w:jc w:val="center"/>
              <w:rPr>
                <w:rFonts w:hint="eastAsia" w:ascii="宋体" w:hAnsi="宋体" w:eastAsia="宋体" w:cs="宋体"/>
                <w:color w:val="000000"/>
                <w:kern w:val="2"/>
                <w:sz w:val="21"/>
                <w:szCs w:val="21"/>
                <w:lang w:bidi="ar-SA"/>
              </w:rPr>
            </w:pPr>
          </w:p>
        </w:tc>
        <w:tc>
          <w:tcPr>
            <w:tcW w:w="6032" w:type="dxa"/>
            <w:tcBorders>
              <w:top w:val="single" w:color="auto" w:sz="2" w:space="0"/>
              <w:left w:val="single" w:color="auto" w:sz="2" w:space="0"/>
              <w:bottom w:val="single" w:color="auto" w:sz="2" w:space="0"/>
              <w:right w:val="single" w:color="auto" w:sz="2" w:space="0"/>
            </w:tcBorders>
            <w:noWrap w:val="0"/>
            <w:tcMar>
              <w:left w:w="108" w:type="dxa"/>
            </w:tcMar>
            <w:vAlign w:val="center"/>
          </w:tcPr>
          <w:p w14:paraId="41EC6CEC">
            <w:pPr>
              <w:pStyle w:val="17"/>
              <w:numPr>
                <w:ilvl w:val="0"/>
                <w:numId w:val="22"/>
              </w:numPr>
              <w:spacing w:before="0" w:beforeAutospacing="0" w:after="0" w:afterAutospacing="0"/>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投标人针对本项目的售后服务方案包括</w:t>
            </w:r>
          </w:p>
          <w:p w14:paraId="3EFA7798">
            <w:pPr>
              <w:pStyle w:val="17"/>
              <w:spacing w:before="0" w:beforeAutospacing="0" w:after="0" w:afterAutospacing="0"/>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①质保期内服务内容（含故障响应时间、故障解决方式、故障解决时间、质保期内服务承诺）</w:t>
            </w:r>
          </w:p>
          <w:p w14:paraId="545AF466">
            <w:pPr>
              <w:pStyle w:val="17"/>
              <w:spacing w:before="0" w:beforeAutospacing="0" w:after="0" w:afterAutospacing="0"/>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②质保期外服务内容（含服务内容、收费标准、持续优化服务的措施）</w:t>
            </w:r>
          </w:p>
          <w:p w14:paraId="36D6C6EF">
            <w:pPr>
              <w:pStyle w:val="17"/>
              <w:spacing w:before="0" w:beforeAutospacing="0" w:after="0" w:afterAutospacing="0"/>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③售后服务保障体系（含售后服务团队及机构信息），</w:t>
            </w:r>
          </w:p>
          <w:p w14:paraId="4A0764DC">
            <w:pPr>
              <w:pStyle w:val="17"/>
              <w:spacing w:before="0" w:beforeAutospacing="0" w:after="0" w:afterAutospacing="0"/>
              <w:rPr>
                <w:rFonts w:hint="eastAsia" w:ascii="宋体" w:hAnsi="宋体" w:eastAsia="宋体" w:cs="宋体"/>
                <w:color w:val="000000"/>
                <w:kern w:val="2"/>
                <w:sz w:val="21"/>
                <w:szCs w:val="21"/>
                <w:lang w:bidi="ar-SA"/>
              </w:rPr>
            </w:pPr>
            <w:r>
              <w:rPr>
                <w:rFonts w:hint="eastAsia" w:cs="宋体"/>
                <w:color w:val="000000"/>
                <w:kern w:val="2"/>
                <w:sz w:val="21"/>
                <w:szCs w:val="21"/>
                <w:lang w:eastAsia="zh-CN" w:bidi="ar-SA"/>
              </w:rPr>
              <w:t>以上方案</w:t>
            </w:r>
            <w:r>
              <w:rPr>
                <w:rFonts w:hint="eastAsia" w:ascii="宋体" w:hAnsi="宋体" w:eastAsia="宋体" w:cs="宋体"/>
                <w:color w:val="000000"/>
                <w:kern w:val="2"/>
                <w:sz w:val="21"/>
                <w:szCs w:val="21"/>
                <w:lang w:bidi="ar-SA"/>
              </w:rPr>
              <w:t>内容完整、详细者得</w:t>
            </w:r>
            <w:r>
              <w:rPr>
                <w:rFonts w:hint="eastAsia" w:cs="宋体"/>
                <w:color w:val="000000"/>
                <w:kern w:val="2"/>
                <w:sz w:val="21"/>
                <w:szCs w:val="21"/>
                <w:lang w:val="en-US" w:eastAsia="zh-CN" w:bidi="ar-SA"/>
              </w:rPr>
              <w:t>3</w:t>
            </w:r>
            <w:r>
              <w:rPr>
                <w:rFonts w:hint="eastAsia" w:ascii="宋体" w:hAnsi="宋体" w:eastAsia="宋体" w:cs="宋体"/>
                <w:color w:val="000000"/>
                <w:kern w:val="2"/>
                <w:sz w:val="21"/>
                <w:szCs w:val="21"/>
                <w:lang w:bidi="ar-SA"/>
              </w:rPr>
              <w:t>分，仅简单描述且不缺项者得</w:t>
            </w:r>
            <w:r>
              <w:rPr>
                <w:rFonts w:hint="eastAsia" w:cs="宋体"/>
                <w:color w:val="000000"/>
                <w:kern w:val="2"/>
                <w:sz w:val="21"/>
                <w:szCs w:val="21"/>
                <w:lang w:val="en-US" w:eastAsia="zh-CN" w:bidi="ar-SA"/>
              </w:rPr>
              <w:t>1</w:t>
            </w:r>
            <w:r>
              <w:rPr>
                <w:rFonts w:hint="eastAsia" w:ascii="宋体" w:hAnsi="宋体" w:eastAsia="宋体" w:cs="宋体"/>
                <w:color w:val="000000"/>
                <w:kern w:val="2"/>
                <w:sz w:val="21"/>
                <w:szCs w:val="21"/>
                <w:lang w:bidi="ar-SA"/>
              </w:rPr>
              <w:t xml:space="preserve"> 分，缺项或不提供的不得分。</w:t>
            </w:r>
          </w:p>
          <w:p w14:paraId="3638D1D6">
            <w:pPr>
              <w:pStyle w:val="17"/>
              <w:spacing w:before="0" w:beforeAutospacing="0" w:after="0" w:afterAutospacing="0"/>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2、投标人提供所投全部产品免费质量保障，在满足</w:t>
            </w:r>
            <w:r>
              <w:rPr>
                <w:rFonts w:hint="eastAsia" w:cs="宋体"/>
                <w:color w:val="000000"/>
                <w:kern w:val="2"/>
                <w:sz w:val="21"/>
                <w:szCs w:val="21"/>
                <w:lang w:eastAsia="zh-CN" w:bidi="ar-SA"/>
              </w:rPr>
              <w:t>要求</w:t>
            </w:r>
            <w:r>
              <w:rPr>
                <w:rFonts w:hint="eastAsia" w:ascii="宋体" w:hAnsi="宋体" w:eastAsia="宋体" w:cs="宋体"/>
                <w:color w:val="000000"/>
                <w:kern w:val="2"/>
                <w:sz w:val="21"/>
                <w:szCs w:val="21"/>
                <w:lang w:bidi="ar-SA"/>
              </w:rPr>
              <w:t xml:space="preserve">免费质保的基础上，每延长 1 年得 </w:t>
            </w:r>
            <w:r>
              <w:rPr>
                <w:rFonts w:hint="eastAsia" w:cs="宋体"/>
                <w:color w:val="000000"/>
                <w:kern w:val="2"/>
                <w:sz w:val="21"/>
                <w:szCs w:val="21"/>
                <w:lang w:val="en-US" w:eastAsia="zh-CN" w:bidi="ar-SA"/>
              </w:rPr>
              <w:t>1</w:t>
            </w:r>
            <w:r>
              <w:rPr>
                <w:rFonts w:hint="eastAsia" w:ascii="宋体" w:hAnsi="宋体" w:eastAsia="宋体" w:cs="宋体"/>
                <w:color w:val="000000"/>
                <w:kern w:val="2"/>
                <w:sz w:val="21"/>
                <w:szCs w:val="21"/>
                <w:lang w:bidi="ar-SA"/>
              </w:rPr>
              <w:t>分</w:t>
            </w:r>
            <w:r>
              <w:rPr>
                <w:rFonts w:hint="eastAsia" w:cs="宋体"/>
                <w:color w:val="000000"/>
                <w:kern w:val="2"/>
                <w:sz w:val="21"/>
                <w:szCs w:val="21"/>
                <w:lang w:eastAsia="zh-CN" w:bidi="ar-SA"/>
              </w:rPr>
              <w:t>，</w:t>
            </w:r>
            <w:r>
              <w:rPr>
                <w:rFonts w:hint="eastAsia" w:cs="宋体"/>
                <w:color w:val="000000"/>
                <w:kern w:val="2"/>
                <w:sz w:val="21"/>
                <w:szCs w:val="21"/>
                <w:lang w:val="en-US" w:eastAsia="zh-CN" w:bidi="ar-SA"/>
              </w:rPr>
              <w:t xml:space="preserve"> </w:t>
            </w:r>
            <w:r>
              <w:rPr>
                <w:rFonts w:hint="eastAsia" w:cs="宋体"/>
                <w:color w:val="000000"/>
                <w:kern w:val="2"/>
                <w:sz w:val="21"/>
                <w:szCs w:val="21"/>
                <w:lang w:eastAsia="zh-CN" w:bidi="ar-SA"/>
              </w:rPr>
              <w:t>最多得</w:t>
            </w:r>
            <w:r>
              <w:rPr>
                <w:rFonts w:hint="eastAsia" w:cs="宋体"/>
                <w:color w:val="000000"/>
                <w:kern w:val="2"/>
                <w:sz w:val="21"/>
                <w:szCs w:val="21"/>
                <w:lang w:val="en-US" w:eastAsia="zh-CN" w:bidi="ar-SA"/>
              </w:rPr>
              <w:t>2</w:t>
            </w:r>
            <w:r>
              <w:rPr>
                <w:rFonts w:hint="eastAsia" w:ascii="宋体" w:hAnsi="宋体" w:eastAsia="宋体" w:cs="宋体"/>
                <w:color w:val="000000"/>
                <w:kern w:val="2"/>
                <w:sz w:val="21"/>
                <w:szCs w:val="21"/>
                <w:lang w:bidi="ar-SA"/>
              </w:rPr>
              <w:t>分。</w:t>
            </w:r>
          </w:p>
        </w:tc>
      </w:tr>
    </w:tbl>
    <w:p w14:paraId="4C03B9B4">
      <w:pPr>
        <w:spacing w:line="360" w:lineRule="auto"/>
        <w:rPr>
          <w:rFonts w:ascii="宋体" w:hAnsi="宋体" w:cs="仿宋_GB2312"/>
          <w:b/>
          <w:lang w:val="zh-CN"/>
        </w:rPr>
      </w:pPr>
      <w:r>
        <w:rPr>
          <w:rFonts w:hint="eastAsia" w:hAnsi="宋体" w:cs="仿宋_GB2312"/>
          <w:b/>
          <w:sz w:val="24"/>
          <w:szCs w:val="24"/>
          <w:lang w:val="zh-CN"/>
        </w:rPr>
        <w:t>注：评标标准中所涉及到的证书及材料不需提供原件，均应在电子响应文件中提供原件扫描件（或图片）</w:t>
      </w:r>
    </w:p>
    <w:p w14:paraId="46E87F5F">
      <w:pPr>
        <w:spacing w:line="360" w:lineRule="auto"/>
        <w:ind w:firstLine="422" w:firstLineChars="200"/>
        <w:rPr>
          <w:rFonts w:ascii="宋体" w:hAnsi="宋体" w:cs="仿宋_GB2312"/>
          <w:b/>
          <w:lang w:val="zh-CN"/>
        </w:rPr>
      </w:pPr>
      <w:r>
        <w:rPr>
          <w:rFonts w:hint="eastAsia" w:ascii="宋体" w:hAnsi="宋体" w:cs="仿宋_GB2312"/>
          <w:b/>
          <w:lang w:val="zh-CN"/>
        </w:rPr>
        <w:t>其中：价格分计算（落实政府采购政策价格调整部分）</w:t>
      </w:r>
    </w:p>
    <w:tbl>
      <w:tblPr>
        <w:tblStyle w:val="19"/>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823"/>
        <w:gridCol w:w="2552"/>
        <w:gridCol w:w="2835"/>
      </w:tblGrid>
      <w:tr w14:paraId="2DAE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21" w:type="dxa"/>
            <w:noWrap w:val="0"/>
            <w:vAlign w:val="center"/>
          </w:tcPr>
          <w:p w14:paraId="2B800ED4">
            <w:pPr>
              <w:jc w:val="center"/>
              <w:rPr>
                <w:rFonts w:ascii="宋体" w:hAnsi="宋体"/>
                <w:b/>
                <w:sz w:val="24"/>
              </w:rPr>
            </w:pPr>
            <w:r>
              <w:rPr>
                <w:rFonts w:hint="eastAsia" w:ascii="宋体" w:hAnsi="宋体"/>
                <w:b/>
                <w:sz w:val="24"/>
              </w:rPr>
              <w:t>序号</w:t>
            </w:r>
          </w:p>
        </w:tc>
        <w:tc>
          <w:tcPr>
            <w:tcW w:w="2823" w:type="dxa"/>
            <w:noWrap w:val="0"/>
            <w:vAlign w:val="center"/>
          </w:tcPr>
          <w:p w14:paraId="2CE3287C">
            <w:pPr>
              <w:jc w:val="center"/>
              <w:rPr>
                <w:rFonts w:ascii="宋体" w:hAnsi="宋体"/>
                <w:b/>
                <w:sz w:val="24"/>
              </w:rPr>
            </w:pPr>
            <w:r>
              <w:rPr>
                <w:rFonts w:hint="eastAsia" w:ascii="宋体" w:hAnsi="宋体"/>
                <w:b/>
                <w:sz w:val="24"/>
              </w:rPr>
              <w:t>情形</w:t>
            </w:r>
          </w:p>
        </w:tc>
        <w:tc>
          <w:tcPr>
            <w:tcW w:w="2552" w:type="dxa"/>
            <w:noWrap w:val="0"/>
            <w:vAlign w:val="center"/>
          </w:tcPr>
          <w:p w14:paraId="3304892A">
            <w:pPr>
              <w:jc w:val="center"/>
              <w:rPr>
                <w:rFonts w:ascii="宋体" w:hAnsi="宋体"/>
                <w:b/>
                <w:sz w:val="24"/>
              </w:rPr>
            </w:pPr>
            <w:r>
              <w:rPr>
                <w:rFonts w:hint="eastAsia" w:ascii="宋体" w:hAnsi="宋体"/>
                <w:b/>
                <w:sz w:val="24"/>
              </w:rPr>
              <w:t>价格扣除比例</w:t>
            </w:r>
          </w:p>
        </w:tc>
        <w:tc>
          <w:tcPr>
            <w:tcW w:w="2835" w:type="dxa"/>
            <w:noWrap w:val="0"/>
            <w:vAlign w:val="center"/>
          </w:tcPr>
          <w:p w14:paraId="3FC15440">
            <w:pPr>
              <w:jc w:val="center"/>
              <w:rPr>
                <w:rFonts w:ascii="宋体" w:hAnsi="宋体"/>
                <w:b/>
                <w:sz w:val="24"/>
              </w:rPr>
            </w:pPr>
            <w:r>
              <w:rPr>
                <w:rFonts w:hint="eastAsia" w:ascii="宋体" w:hAnsi="宋体"/>
                <w:b/>
                <w:sz w:val="24"/>
              </w:rPr>
              <w:t>计算公式</w:t>
            </w:r>
          </w:p>
        </w:tc>
      </w:tr>
      <w:tr w14:paraId="4FAF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721" w:type="dxa"/>
            <w:noWrap w:val="0"/>
            <w:vAlign w:val="center"/>
          </w:tcPr>
          <w:p w14:paraId="6EF10653">
            <w:pPr>
              <w:jc w:val="center"/>
              <w:rPr>
                <w:rFonts w:ascii="宋体" w:hAnsi="宋体"/>
                <w:b/>
                <w:sz w:val="24"/>
              </w:rPr>
            </w:pPr>
            <w:r>
              <w:rPr>
                <w:rFonts w:hint="eastAsia" w:ascii="宋体" w:hAnsi="宋体"/>
                <w:b/>
                <w:sz w:val="24"/>
              </w:rPr>
              <w:t>1</w:t>
            </w:r>
          </w:p>
        </w:tc>
        <w:tc>
          <w:tcPr>
            <w:tcW w:w="2823" w:type="dxa"/>
            <w:tcBorders>
              <w:left w:val="single" w:color="auto" w:sz="4" w:space="0"/>
            </w:tcBorders>
            <w:noWrap w:val="0"/>
            <w:vAlign w:val="center"/>
          </w:tcPr>
          <w:p w14:paraId="26CA8BD0">
            <w:pPr>
              <w:jc w:val="center"/>
              <w:rPr>
                <w:rFonts w:ascii="宋体" w:hAnsi="宋体"/>
                <w:b/>
                <w:sz w:val="24"/>
              </w:rPr>
            </w:pPr>
            <w:r>
              <w:rPr>
                <w:rFonts w:hint="eastAsia" w:ascii="宋体" w:hAnsi="宋体"/>
                <w:sz w:val="24"/>
              </w:rPr>
              <w:t>非联合体投标人</w:t>
            </w:r>
          </w:p>
        </w:tc>
        <w:tc>
          <w:tcPr>
            <w:tcW w:w="2552" w:type="dxa"/>
            <w:tcBorders>
              <w:left w:val="single" w:color="auto" w:sz="4" w:space="0"/>
            </w:tcBorders>
            <w:noWrap w:val="0"/>
            <w:vAlign w:val="center"/>
          </w:tcPr>
          <w:p w14:paraId="05FB8DC6">
            <w:pPr>
              <w:jc w:val="center"/>
              <w:rPr>
                <w:rFonts w:ascii="ˎ̥" w:hAnsi="ˎ̥"/>
                <w:sz w:val="24"/>
              </w:rPr>
            </w:pPr>
            <w:r>
              <w:rPr>
                <w:rFonts w:hint="eastAsia" w:ascii="ˎ̥" w:hAnsi="ˎ̥"/>
                <w:sz w:val="24"/>
              </w:rPr>
              <w:t>对小型和微型企业报价</w:t>
            </w:r>
          </w:p>
          <w:p w14:paraId="0F257C14">
            <w:pPr>
              <w:jc w:val="center"/>
              <w:rPr>
                <w:rFonts w:ascii="宋体" w:hAnsi="宋体"/>
                <w:b/>
                <w:sz w:val="24"/>
              </w:rPr>
            </w:pPr>
            <w:r>
              <w:rPr>
                <w:rFonts w:hint="eastAsia" w:ascii="ˎ̥" w:hAnsi="ˎ̥"/>
                <w:sz w:val="24"/>
              </w:rPr>
              <w:t>扣除20%</w:t>
            </w:r>
          </w:p>
        </w:tc>
        <w:tc>
          <w:tcPr>
            <w:tcW w:w="2835" w:type="dxa"/>
            <w:vMerge w:val="restart"/>
            <w:tcBorders>
              <w:left w:val="single" w:color="auto" w:sz="4" w:space="0"/>
            </w:tcBorders>
            <w:noWrap w:val="0"/>
            <w:vAlign w:val="center"/>
          </w:tcPr>
          <w:p w14:paraId="0D1799E9">
            <w:pPr>
              <w:jc w:val="center"/>
              <w:rPr>
                <w:sz w:val="24"/>
              </w:rPr>
            </w:pPr>
            <w:r>
              <w:rPr>
                <w:rFonts w:hint="eastAsia"/>
                <w:sz w:val="24"/>
              </w:rPr>
              <w:t>评标价格＝</w:t>
            </w:r>
            <w:r>
              <w:rPr>
                <w:rFonts w:hint="eastAsia" w:ascii="ˎ̥" w:hAnsi="ˎ̥"/>
                <w:sz w:val="24"/>
              </w:rPr>
              <w:t>小型和微型企业报价</w:t>
            </w:r>
            <w:r>
              <w:rPr>
                <w:rFonts w:hint="eastAsia" w:ascii="宋体" w:hAnsi="宋体"/>
                <w:sz w:val="24"/>
              </w:rPr>
              <w:t>×（1-</w:t>
            </w:r>
            <w:r>
              <w:rPr>
                <w:rFonts w:hint="eastAsia" w:ascii="ˎ̥" w:hAnsi="ˎ̥"/>
                <w:sz w:val="24"/>
              </w:rPr>
              <w:t>20</w:t>
            </w:r>
            <w:r>
              <w:rPr>
                <w:rFonts w:hint="eastAsia"/>
                <w:sz w:val="24"/>
              </w:rPr>
              <w:t>%</w:t>
            </w:r>
            <w:r>
              <w:rPr>
                <w:rFonts w:hint="eastAsia" w:ascii="宋体" w:hAnsi="宋体"/>
                <w:sz w:val="24"/>
              </w:rPr>
              <w:t>）</w:t>
            </w:r>
          </w:p>
          <w:p w14:paraId="2902FB16">
            <w:pPr>
              <w:jc w:val="center"/>
              <w:rPr>
                <w:rFonts w:ascii="宋体" w:hAnsi="宋体"/>
                <w:b/>
                <w:sz w:val="24"/>
              </w:rPr>
            </w:pPr>
          </w:p>
        </w:tc>
      </w:tr>
      <w:tr w14:paraId="5D8CE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721" w:type="dxa"/>
            <w:noWrap w:val="0"/>
            <w:vAlign w:val="center"/>
          </w:tcPr>
          <w:p w14:paraId="6747CDEA">
            <w:pPr>
              <w:jc w:val="center"/>
              <w:rPr>
                <w:rFonts w:ascii="宋体" w:hAnsi="宋体"/>
                <w:b/>
                <w:sz w:val="24"/>
              </w:rPr>
            </w:pPr>
            <w:r>
              <w:rPr>
                <w:rFonts w:hint="eastAsia" w:ascii="宋体" w:hAnsi="宋体"/>
                <w:b/>
                <w:sz w:val="24"/>
              </w:rPr>
              <w:t>2</w:t>
            </w:r>
          </w:p>
        </w:tc>
        <w:tc>
          <w:tcPr>
            <w:tcW w:w="2823" w:type="dxa"/>
            <w:tcBorders>
              <w:left w:val="single" w:color="auto" w:sz="4" w:space="0"/>
            </w:tcBorders>
            <w:noWrap w:val="0"/>
            <w:vAlign w:val="center"/>
          </w:tcPr>
          <w:p w14:paraId="16B6BC1F">
            <w:pPr>
              <w:jc w:val="center"/>
              <w:rPr>
                <w:rFonts w:ascii="宋体" w:hAnsi="宋体"/>
                <w:sz w:val="24"/>
              </w:rPr>
            </w:pPr>
            <w:r>
              <w:rPr>
                <w:rFonts w:hint="eastAsia" w:ascii="宋体" w:hAnsi="宋体"/>
                <w:sz w:val="24"/>
              </w:rPr>
              <w:t>联合体各方均为</w:t>
            </w:r>
          </w:p>
          <w:p w14:paraId="7A7912C9">
            <w:pPr>
              <w:jc w:val="center"/>
              <w:rPr>
                <w:rFonts w:ascii="宋体" w:hAnsi="宋体"/>
                <w:b/>
                <w:sz w:val="24"/>
              </w:rPr>
            </w:pPr>
            <w:r>
              <w:rPr>
                <w:rFonts w:hint="eastAsia" w:ascii="宋体" w:hAnsi="宋体"/>
                <w:sz w:val="24"/>
              </w:rPr>
              <w:t>小型、微型企业</w:t>
            </w:r>
          </w:p>
        </w:tc>
        <w:tc>
          <w:tcPr>
            <w:tcW w:w="2552" w:type="dxa"/>
            <w:tcBorders>
              <w:left w:val="single" w:color="auto" w:sz="4" w:space="0"/>
            </w:tcBorders>
            <w:noWrap w:val="0"/>
            <w:vAlign w:val="center"/>
          </w:tcPr>
          <w:p w14:paraId="0E143CFB">
            <w:pPr>
              <w:jc w:val="center"/>
              <w:rPr>
                <w:rFonts w:ascii="宋体" w:hAnsi="宋体"/>
                <w:sz w:val="24"/>
              </w:rPr>
            </w:pPr>
            <w:r>
              <w:rPr>
                <w:rFonts w:hint="eastAsia" w:ascii="ˎ̥" w:hAnsi="ˎ̥"/>
                <w:sz w:val="24"/>
              </w:rPr>
              <w:t>对小型和微型企业报价</w:t>
            </w:r>
          </w:p>
          <w:p w14:paraId="4F484E7C">
            <w:pPr>
              <w:jc w:val="center"/>
              <w:rPr>
                <w:rFonts w:ascii="宋体" w:hAnsi="宋体"/>
                <w:sz w:val="24"/>
              </w:rPr>
            </w:pPr>
            <w:r>
              <w:rPr>
                <w:rFonts w:hint="eastAsia" w:ascii="宋体" w:hAnsi="宋体"/>
                <w:sz w:val="24"/>
              </w:rPr>
              <w:t>扣除</w:t>
            </w:r>
            <w:r>
              <w:rPr>
                <w:rFonts w:hint="eastAsia" w:ascii="ˎ̥" w:hAnsi="ˎ̥"/>
                <w:sz w:val="24"/>
              </w:rPr>
              <w:t>20</w:t>
            </w:r>
            <w:r>
              <w:rPr>
                <w:rFonts w:hint="eastAsia" w:ascii="宋体" w:hAnsi="宋体"/>
                <w:sz w:val="24"/>
              </w:rPr>
              <w:t>%</w:t>
            </w:r>
          </w:p>
          <w:p w14:paraId="266BAB22">
            <w:pPr>
              <w:jc w:val="center"/>
              <w:rPr>
                <w:rFonts w:ascii="宋体" w:hAnsi="宋体"/>
                <w:b/>
                <w:sz w:val="24"/>
              </w:rPr>
            </w:pPr>
            <w:r>
              <w:rPr>
                <w:rFonts w:hint="eastAsia" w:ascii="宋体" w:hAnsi="宋体"/>
                <w:sz w:val="24"/>
              </w:rPr>
              <w:t>（不再享受序号3的价格折扣）</w:t>
            </w:r>
          </w:p>
        </w:tc>
        <w:tc>
          <w:tcPr>
            <w:tcW w:w="2835" w:type="dxa"/>
            <w:vMerge w:val="continue"/>
            <w:tcBorders>
              <w:left w:val="single" w:color="auto" w:sz="4" w:space="0"/>
            </w:tcBorders>
            <w:noWrap w:val="0"/>
            <w:vAlign w:val="top"/>
          </w:tcPr>
          <w:p w14:paraId="5A74C16E"/>
        </w:tc>
      </w:tr>
      <w:tr w14:paraId="1446A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noWrap w:val="0"/>
            <w:vAlign w:val="center"/>
          </w:tcPr>
          <w:p w14:paraId="27AF8120">
            <w:pPr>
              <w:jc w:val="center"/>
              <w:rPr>
                <w:rFonts w:ascii="宋体" w:hAnsi="宋体"/>
                <w:b/>
                <w:sz w:val="24"/>
              </w:rPr>
            </w:pPr>
            <w:r>
              <w:rPr>
                <w:rFonts w:hint="eastAsia" w:ascii="宋体" w:hAnsi="宋体"/>
                <w:b/>
                <w:sz w:val="24"/>
              </w:rPr>
              <w:t>3</w:t>
            </w:r>
          </w:p>
        </w:tc>
        <w:tc>
          <w:tcPr>
            <w:tcW w:w="2823" w:type="dxa"/>
            <w:tcBorders>
              <w:left w:val="single" w:color="auto" w:sz="4" w:space="0"/>
            </w:tcBorders>
            <w:noWrap w:val="0"/>
            <w:vAlign w:val="center"/>
          </w:tcPr>
          <w:p w14:paraId="6CE35A70">
            <w:pPr>
              <w:jc w:val="center"/>
              <w:rPr>
                <w:rFonts w:ascii="宋体" w:hAnsi="宋体"/>
                <w:b/>
                <w:sz w:val="24"/>
              </w:rPr>
            </w:pPr>
            <w:r>
              <w:rPr>
                <w:rFonts w:ascii="ˎ̥" w:hAnsi="ˎ̥"/>
                <w:sz w:val="24"/>
              </w:rPr>
              <w:t>接受大中型企业与小微企业组成联合体或者允许大中型企业向一家或者多家小微企业分包的采购项目，对于联合协议或者分包意向协议约定小微企业的合同份额占到合同总金额 30%以上</w:t>
            </w:r>
          </w:p>
        </w:tc>
        <w:tc>
          <w:tcPr>
            <w:tcW w:w="2552" w:type="dxa"/>
            <w:tcBorders>
              <w:left w:val="single" w:color="auto" w:sz="4" w:space="0"/>
            </w:tcBorders>
            <w:noWrap w:val="0"/>
            <w:vAlign w:val="center"/>
          </w:tcPr>
          <w:p w14:paraId="70A66AA7">
            <w:pPr>
              <w:jc w:val="center"/>
              <w:rPr>
                <w:rFonts w:ascii="宋体" w:hAnsi="宋体"/>
                <w:b/>
                <w:sz w:val="24"/>
              </w:rPr>
            </w:pPr>
            <w:r>
              <w:rPr>
                <w:rFonts w:ascii="ˎ̥" w:hAnsi="ˎ̥"/>
                <w:sz w:val="24"/>
              </w:rPr>
              <w:t>对联合体或者大中型企业的报价</w:t>
            </w:r>
            <w:r>
              <w:rPr>
                <w:rFonts w:hint="eastAsia" w:ascii="宋体" w:hAnsi="宋体"/>
                <w:sz w:val="24"/>
              </w:rPr>
              <w:t>扣除</w:t>
            </w:r>
            <w:r>
              <w:rPr>
                <w:rFonts w:hint="eastAsia" w:ascii="ˎ̥" w:hAnsi="ˎ̥"/>
                <w:sz w:val="24"/>
              </w:rPr>
              <w:t>6</w:t>
            </w:r>
            <w:r>
              <w:rPr>
                <w:rFonts w:hint="eastAsia" w:ascii="宋体" w:hAnsi="宋体"/>
                <w:sz w:val="24"/>
              </w:rPr>
              <w:t>%</w:t>
            </w:r>
          </w:p>
        </w:tc>
        <w:tc>
          <w:tcPr>
            <w:tcW w:w="2835" w:type="dxa"/>
            <w:tcBorders>
              <w:left w:val="single" w:color="auto" w:sz="4" w:space="0"/>
            </w:tcBorders>
            <w:noWrap w:val="0"/>
            <w:vAlign w:val="center"/>
          </w:tcPr>
          <w:p w14:paraId="72C5A7E3">
            <w:pPr>
              <w:jc w:val="center"/>
              <w:rPr>
                <w:rFonts w:ascii="宋体" w:hAnsi="宋体"/>
                <w:b/>
                <w:sz w:val="24"/>
              </w:rPr>
            </w:pPr>
            <w:r>
              <w:rPr>
                <w:rFonts w:hint="eastAsia" w:ascii="宋体" w:hAnsi="宋体"/>
                <w:sz w:val="24"/>
              </w:rPr>
              <w:t>评标价格＝投标报价×(1-6</w:t>
            </w:r>
            <w:r>
              <w:rPr>
                <w:rFonts w:hint="eastAsia"/>
                <w:sz w:val="24"/>
              </w:rPr>
              <w:t>%)</w:t>
            </w:r>
          </w:p>
        </w:tc>
      </w:tr>
      <w:tr w14:paraId="15C19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noWrap w:val="0"/>
            <w:vAlign w:val="center"/>
          </w:tcPr>
          <w:p w14:paraId="66B4BDCF">
            <w:pPr>
              <w:jc w:val="center"/>
              <w:rPr>
                <w:rFonts w:ascii="宋体" w:hAnsi="宋体"/>
                <w:b/>
                <w:sz w:val="24"/>
              </w:rPr>
            </w:pPr>
            <w:r>
              <w:rPr>
                <w:rFonts w:hint="eastAsia" w:ascii="宋体" w:hAnsi="宋体"/>
                <w:b/>
                <w:sz w:val="24"/>
              </w:rPr>
              <w:t>4</w:t>
            </w:r>
          </w:p>
        </w:tc>
        <w:tc>
          <w:tcPr>
            <w:tcW w:w="2823" w:type="dxa"/>
            <w:tcBorders>
              <w:left w:val="single" w:color="auto" w:sz="4" w:space="0"/>
            </w:tcBorders>
            <w:noWrap w:val="0"/>
            <w:vAlign w:val="center"/>
          </w:tcPr>
          <w:p w14:paraId="733D37A5">
            <w:pPr>
              <w:jc w:val="center"/>
              <w:rPr>
                <w:rFonts w:ascii="宋体" w:hAnsi="宋体"/>
                <w:sz w:val="24"/>
              </w:rPr>
            </w:pPr>
            <w:r>
              <w:rPr>
                <w:rFonts w:hint="eastAsia" w:ascii="宋体" w:hAnsi="宋体"/>
                <w:sz w:val="24"/>
              </w:rPr>
              <w:t>监狱企业</w:t>
            </w:r>
          </w:p>
        </w:tc>
        <w:tc>
          <w:tcPr>
            <w:tcW w:w="2552" w:type="dxa"/>
            <w:tcBorders>
              <w:left w:val="single" w:color="auto" w:sz="4" w:space="0"/>
            </w:tcBorders>
            <w:noWrap w:val="0"/>
            <w:vAlign w:val="center"/>
          </w:tcPr>
          <w:p w14:paraId="00857321">
            <w:pPr>
              <w:jc w:val="center"/>
              <w:rPr>
                <w:rFonts w:ascii="宋体" w:hAnsi="宋体"/>
                <w:sz w:val="24"/>
              </w:rPr>
            </w:pPr>
            <w:r>
              <w:rPr>
                <w:rFonts w:hint="eastAsia" w:ascii="宋体" w:hAnsi="宋体"/>
                <w:sz w:val="24"/>
              </w:rPr>
              <w:t>对监狱企业产品价格扣除</w:t>
            </w:r>
            <w:r>
              <w:rPr>
                <w:rFonts w:hint="eastAsia" w:ascii="ˎ̥" w:hAnsi="ˎ̥"/>
                <w:sz w:val="24"/>
              </w:rPr>
              <w:t>20</w:t>
            </w:r>
            <w:r>
              <w:rPr>
                <w:rFonts w:hint="eastAsia" w:ascii="宋体" w:hAnsi="宋体"/>
                <w:sz w:val="24"/>
              </w:rPr>
              <w:t>%</w:t>
            </w:r>
          </w:p>
        </w:tc>
        <w:tc>
          <w:tcPr>
            <w:tcW w:w="2835" w:type="dxa"/>
            <w:tcBorders>
              <w:left w:val="single" w:color="auto" w:sz="4" w:space="0"/>
            </w:tcBorders>
            <w:noWrap w:val="0"/>
            <w:vAlign w:val="center"/>
          </w:tcPr>
          <w:p w14:paraId="5C032DC6">
            <w:pPr>
              <w:jc w:val="center"/>
              <w:rPr>
                <w:rFonts w:ascii="宋体" w:hAnsi="宋体"/>
                <w:sz w:val="24"/>
              </w:rPr>
            </w:pPr>
            <w:r>
              <w:rPr>
                <w:rFonts w:hint="eastAsia"/>
                <w:sz w:val="24"/>
              </w:rPr>
              <w:t>评标价格＝投标报价—监狱企业产品的价格</w:t>
            </w:r>
            <w:r>
              <w:rPr>
                <w:rFonts w:hint="eastAsia" w:ascii="宋体" w:hAnsi="宋体"/>
                <w:sz w:val="24"/>
              </w:rPr>
              <w:t>×</w:t>
            </w:r>
            <w:r>
              <w:rPr>
                <w:rFonts w:hint="eastAsia" w:ascii="ˎ̥" w:hAnsi="ˎ̥"/>
                <w:sz w:val="24"/>
              </w:rPr>
              <w:t>20</w:t>
            </w:r>
            <w:r>
              <w:rPr>
                <w:rFonts w:hint="eastAsia"/>
                <w:sz w:val="24"/>
              </w:rPr>
              <w:t>%</w:t>
            </w:r>
          </w:p>
        </w:tc>
      </w:tr>
      <w:tr w14:paraId="4FD3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noWrap w:val="0"/>
            <w:vAlign w:val="center"/>
          </w:tcPr>
          <w:p w14:paraId="7FF2A15A">
            <w:pPr>
              <w:jc w:val="center"/>
              <w:rPr>
                <w:rFonts w:ascii="宋体" w:hAnsi="宋体"/>
                <w:b/>
                <w:sz w:val="24"/>
              </w:rPr>
            </w:pPr>
            <w:r>
              <w:rPr>
                <w:rFonts w:hint="eastAsia" w:ascii="宋体" w:hAnsi="宋体"/>
                <w:b/>
                <w:sz w:val="24"/>
              </w:rPr>
              <w:t>5</w:t>
            </w:r>
          </w:p>
        </w:tc>
        <w:tc>
          <w:tcPr>
            <w:tcW w:w="2823" w:type="dxa"/>
            <w:tcBorders>
              <w:left w:val="single" w:color="auto" w:sz="4" w:space="0"/>
            </w:tcBorders>
            <w:noWrap w:val="0"/>
            <w:vAlign w:val="center"/>
          </w:tcPr>
          <w:p w14:paraId="26163EAF">
            <w:pPr>
              <w:jc w:val="center"/>
              <w:rPr>
                <w:rFonts w:ascii="宋体" w:hAnsi="宋体"/>
                <w:sz w:val="24"/>
              </w:rPr>
            </w:pPr>
            <w:r>
              <w:rPr>
                <w:rFonts w:hint="eastAsia" w:ascii="宋体" w:hAnsi="宋体"/>
                <w:sz w:val="24"/>
              </w:rPr>
              <w:t>残疾人福利性单位</w:t>
            </w:r>
          </w:p>
        </w:tc>
        <w:tc>
          <w:tcPr>
            <w:tcW w:w="2552" w:type="dxa"/>
            <w:tcBorders>
              <w:left w:val="single" w:color="auto" w:sz="4" w:space="0"/>
            </w:tcBorders>
            <w:noWrap w:val="0"/>
            <w:vAlign w:val="center"/>
          </w:tcPr>
          <w:p w14:paraId="741358DA">
            <w:pPr>
              <w:jc w:val="center"/>
              <w:rPr>
                <w:rFonts w:ascii="宋体" w:hAnsi="宋体"/>
                <w:sz w:val="24"/>
              </w:rPr>
            </w:pPr>
            <w:r>
              <w:rPr>
                <w:rFonts w:hint="eastAsia" w:ascii="宋体" w:hAnsi="宋体"/>
                <w:sz w:val="24"/>
              </w:rPr>
              <w:t>对残疾人福利性单位产品价格扣除</w:t>
            </w:r>
            <w:r>
              <w:rPr>
                <w:rFonts w:hint="eastAsia" w:ascii="ˎ̥" w:hAnsi="ˎ̥"/>
                <w:sz w:val="24"/>
              </w:rPr>
              <w:t>20</w:t>
            </w:r>
            <w:r>
              <w:rPr>
                <w:rFonts w:hint="eastAsia" w:ascii="宋体" w:hAnsi="宋体"/>
                <w:sz w:val="24"/>
              </w:rPr>
              <w:t>%</w:t>
            </w:r>
          </w:p>
        </w:tc>
        <w:tc>
          <w:tcPr>
            <w:tcW w:w="2835" w:type="dxa"/>
            <w:tcBorders>
              <w:left w:val="single" w:color="auto" w:sz="4" w:space="0"/>
            </w:tcBorders>
            <w:noWrap w:val="0"/>
            <w:vAlign w:val="center"/>
          </w:tcPr>
          <w:p w14:paraId="4BFA40B6">
            <w:pPr>
              <w:jc w:val="center"/>
              <w:rPr>
                <w:sz w:val="24"/>
              </w:rPr>
            </w:pPr>
            <w:r>
              <w:rPr>
                <w:rFonts w:hint="eastAsia"/>
                <w:sz w:val="24"/>
              </w:rPr>
              <w:t>评标价格＝投标报价—残疾人福利性单位产品的价格</w:t>
            </w:r>
            <w:r>
              <w:rPr>
                <w:rFonts w:hint="eastAsia" w:ascii="宋体" w:hAnsi="宋体"/>
                <w:sz w:val="24"/>
              </w:rPr>
              <w:t>×</w:t>
            </w:r>
            <w:r>
              <w:rPr>
                <w:rFonts w:hint="eastAsia" w:ascii="ˎ̥" w:hAnsi="ˎ̥"/>
                <w:sz w:val="24"/>
              </w:rPr>
              <w:t>20</w:t>
            </w:r>
            <w:r>
              <w:rPr>
                <w:rFonts w:hint="eastAsia"/>
                <w:sz w:val="24"/>
              </w:rPr>
              <w:t>%</w:t>
            </w:r>
          </w:p>
        </w:tc>
      </w:tr>
      <w:tr w14:paraId="29D6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931" w:type="dxa"/>
            <w:gridSpan w:val="4"/>
            <w:noWrap w:val="0"/>
            <w:vAlign w:val="center"/>
          </w:tcPr>
          <w:p w14:paraId="4415318E">
            <w:pPr>
              <w:widowControl/>
              <w:adjustRightInd w:val="0"/>
              <w:spacing w:line="360" w:lineRule="auto"/>
              <w:ind w:left="-2" w:firstLine="480" w:firstLineChars="200"/>
              <w:jc w:val="left"/>
              <w:rPr>
                <w:rFonts w:ascii="宋体" w:hAnsi="宋体" w:cs="仿宋_GB2312"/>
                <w:sz w:val="24"/>
                <w:lang w:val="zh-CN"/>
              </w:rPr>
            </w:pPr>
            <w:r>
              <w:rPr>
                <w:rFonts w:hint="eastAsia" w:ascii="宋体" w:hAnsi="宋体" w:cs="仿宋_GB2312"/>
                <w:sz w:val="24"/>
                <w:lang w:val="zh-CN"/>
              </w:rPr>
              <w:t>1、中小企业应在投标文件提供《中小企业声明函》。监狱企业应当在投标文件中提供由省级以上监狱管理局、戒毒管理局(含新疆生产建设兵团)出具的属于监狱企业的证明文件。残疾人福利性单位应当在投标文件中提供《残疾人福利性单位声明函》。</w:t>
            </w:r>
          </w:p>
          <w:p w14:paraId="586A179F">
            <w:pPr>
              <w:widowControl/>
              <w:adjustRightInd w:val="0"/>
              <w:spacing w:line="360" w:lineRule="auto"/>
              <w:ind w:left="-2" w:firstLine="480" w:firstLineChars="200"/>
              <w:jc w:val="left"/>
              <w:rPr>
                <w:rFonts w:ascii="宋体" w:hAnsi="宋体" w:cs="仿宋_GB2312"/>
                <w:sz w:val="24"/>
                <w:lang w:val="zh-CN"/>
              </w:rPr>
            </w:pPr>
            <w:r>
              <w:rPr>
                <w:rFonts w:hint="eastAsia" w:ascii="宋体" w:hAnsi="宋体" w:cs="仿宋_GB2312"/>
                <w:sz w:val="24"/>
                <w:lang w:val="zh-CN"/>
              </w:rPr>
              <w:t>2、</w:t>
            </w:r>
            <w:r>
              <w:rPr>
                <w:rFonts w:ascii="宋体" w:hAnsi="宋体" w:cs="仿宋_GB2312"/>
                <w:sz w:val="24"/>
                <w:lang w:val="zh-CN"/>
              </w:rPr>
              <w:t>经评标委员会</w:t>
            </w:r>
            <w:r>
              <w:rPr>
                <w:rFonts w:hint="eastAsia" w:ascii="宋体" w:hAnsi="宋体" w:cs="仿宋_GB2312"/>
                <w:sz w:val="24"/>
                <w:lang w:val="zh-CN"/>
              </w:rPr>
              <w:t>审查、评价</w:t>
            </w:r>
            <w:r>
              <w:rPr>
                <w:rFonts w:ascii="宋体" w:hAnsi="宋体" w:cs="仿宋_GB2312"/>
                <w:sz w:val="24"/>
                <w:lang w:val="zh-CN"/>
              </w:rPr>
              <w:t>，</w:t>
            </w:r>
            <w:r>
              <w:rPr>
                <w:rFonts w:hint="eastAsia" w:ascii="宋体" w:hAnsi="宋体" w:cs="仿宋_GB2312"/>
                <w:sz w:val="24"/>
                <w:lang w:val="zh-CN"/>
              </w:rPr>
              <w:t>投标文件符合</w:t>
            </w:r>
            <w:r>
              <w:rPr>
                <w:rFonts w:ascii="宋体" w:hAnsi="宋体" w:cs="仿宋_GB2312"/>
                <w:sz w:val="24"/>
                <w:lang w:val="zh-CN"/>
              </w:rPr>
              <w:t>招标文件</w:t>
            </w:r>
            <w:r>
              <w:rPr>
                <w:rFonts w:hint="eastAsia" w:ascii="宋体" w:hAnsi="宋体" w:cs="仿宋_GB2312"/>
                <w:sz w:val="24"/>
                <w:lang w:val="zh-CN"/>
              </w:rPr>
              <w:t>实质性</w:t>
            </w:r>
            <w:r>
              <w:rPr>
                <w:rFonts w:ascii="宋体" w:hAnsi="宋体" w:cs="仿宋_GB2312"/>
                <w:sz w:val="24"/>
                <w:lang w:val="zh-CN"/>
              </w:rPr>
              <w:t>要求且</w:t>
            </w:r>
            <w:r>
              <w:rPr>
                <w:rFonts w:hint="eastAsia" w:ascii="宋体" w:hAnsi="宋体" w:cs="仿宋_GB2312"/>
                <w:sz w:val="24"/>
                <w:lang w:val="zh-CN"/>
              </w:rPr>
              <w:t>进行了政策性价格扣除后，</w:t>
            </w:r>
            <w:r>
              <w:rPr>
                <w:rFonts w:ascii="宋体" w:hAnsi="宋体" w:cs="仿宋_GB2312"/>
                <w:sz w:val="24"/>
                <w:lang w:val="zh-CN"/>
              </w:rPr>
              <w:t>以</w:t>
            </w:r>
            <w:r>
              <w:rPr>
                <w:rFonts w:hint="eastAsia" w:ascii="宋体" w:hAnsi="宋体" w:cs="仿宋_GB2312"/>
                <w:sz w:val="24"/>
                <w:lang w:val="zh-CN"/>
              </w:rPr>
              <w:t>评标价格的</w:t>
            </w:r>
            <w:r>
              <w:rPr>
                <w:rFonts w:ascii="宋体" w:hAnsi="宋体" w:cs="仿宋_GB2312"/>
                <w:sz w:val="24"/>
                <w:lang w:val="zh-CN"/>
              </w:rPr>
              <w:t>最低价者定为评标基准价，其价格分为满分。其他投标人的价格分统一按下列公式</w:t>
            </w:r>
            <w:r>
              <w:rPr>
                <w:rFonts w:hint="eastAsia" w:ascii="宋体" w:hAnsi="宋体" w:cs="仿宋_GB2312"/>
                <w:sz w:val="24"/>
                <w:lang w:val="zh-CN"/>
              </w:rPr>
              <w:t>计算</w:t>
            </w:r>
            <w:r>
              <w:rPr>
                <w:rFonts w:ascii="宋体" w:hAnsi="宋体" w:cs="仿宋_GB2312"/>
                <w:sz w:val="24"/>
                <w:lang w:val="zh-CN"/>
              </w:rPr>
              <w:t>。即：</w:t>
            </w:r>
          </w:p>
          <w:p w14:paraId="5545935E">
            <w:pPr>
              <w:widowControl/>
              <w:adjustRightInd w:val="0"/>
              <w:spacing w:line="360" w:lineRule="auto"/>
              <w:ind w:left="-88" w:leftChars="-42" w:firstLine="513" w:firstLineChars="214"/>
              <w:jc w:val="left"/>
              <w:rPr>
                <w:rFonts w:ascii="宋体" w:hAnsi="宋体" w:cs="仿宋_GB2312"/>
                <w:sz w:val="24"/>
                <w:lang w:val="zh-CN"/>
              </w:rPr>
            </w:pPr>
            <w:r>
              <w:rPr>
                <w:rFonts w:ascii="宋体" w:hAnsi="宋体" w:cs="仿宋_GB2312"/>
                <w:sz w:val="24"/>
                <w:lang w:val="zh-CN"/>
              </w:rPr>
              <w:t>评标基准价</w:t>
            </w:r>
            <w:r>
              <w:rPr>
                <w:rFonts w:hint="eastAsia" w:ascii="宋体" w:hAnsi="宋体" w:cs="仿宋_GB2312"/>
                <w:sz w:val="24"/>
                <w:lang w:val="zh-CN"/>
              </w:rPr>
              <w:t>=评标价格的最低价</w:t>
            </w:r>
          </w:p>
          <w:p w14:paraId="230B896A">
            <w:pPr>
              <w:widowControl/>
              <w:spacing w:line="360" w:lineRule="auto"/>
              <w:ind w:firstLine="480" w:firstLineChars="200"/>
              <w:jc w:val="left"/>
              <w:rPr>
                <w:lang w:val="zh-CN"/>
              </w:rPr>
            </w:pPr>
            <w:r>
              <w:rPr>
                <w:rFonts w:ascii="宋体" w:hAnsi="宋体" w:cs="仿宋_GB2312"/>
                <w:sz w:val="24"/>
                <w:lang w:val="zh-CN"/>
              </w:rPr>
              <w:t>其他投标报价得分</w:t>
            </w:r>
            <w:r>
              <w:rPr>
                <w:rFonts w:hint="eastAsia" w:ascii="宋体" w:hAnsi="宋体" w:cs="仿宋_GB2312"/>
                <w:sz w:val="24"/>
                <w:lang w:val="zh-CN"/>
              </w:rPr>
              <w:t>=（</w:t>
            </w:r>
            <w:r>
              <w:rPr>
                <w:rFonts w:ascii="宋体" w:hAnsi="宋体" w:cs="仿宋_GB2312"/>
                <w:sz w:val="24"/>
                <w:lang w:val="zh-CN"/>
              </w:rPr>
              <w:t>评标基准价</w:t>
            </w:r>
            <w:r>
              <w:rPr>
                <w:rFonts w:hint="eastAsia" w:ascii="宋体" w:hAnsi="宋体" w:cs="仿宋_GB2312"/>
                <w:sz w:val="24"/>
                <w:lang w:val="zh-CN"/>
              </w:rPr>
              <w:t>/评标价格）</w:t>
            </w:r>
            <w:r>
              <w:rPr>
                <w:rFonts w:ascii="宋体" w:hAnsi="宋体" w:cs="仿宋_GB2312"/>
                <w:sz w:val="24"/>
                <w:lang w:val="zh-CN"/>
              </w:rPr>
              <w:t>×</w:t>
            </w:r>
            <w:r>
              <w:rPr>
                <w:rFonts w:hint="eastAsia" w:ascii="宋体" w:hAnsi="宋体" w:cs="仿宋_GB2312"/>
                <w:sz w:val="24"/>
                <w:lang w:val="zh-CN"/>
              </w:rPr>
              <w:t>评标标准中价格分值</w:t>
            </w:r>
          </w:p>
          <w:p w14:paraId="50388289">
            <w:pPr>
              <w:widowControl/>
              <w:spacing w:line="360" w:lineRule="auto"/>
              <w:jc w:val="left"/>
            </w:pPr>
            <w:r>
              <w:rPr>
                <w:rFonts w:hint="eastAsia" w:ascii="宋体" w:hAnsi="宋体" w:cs="宋体"/>
                <w:b/>
                <w:bCs/>
                <w:kern w:val="0"/>
                <w:sz w:val="22"/>
                <w:szCs w:val="22"/>
              </w:rPr>
              <w:t xml:space="preserve">注：因落实政府采购政策进行价格调整的，以调整后的价格参与评标，但不作为合同签订 </w:t>
            </w:r>
          </w:p>
          <w:p w14:paraId="2AE80D0F">
            <w:pPr>
              <w:widowControl/>
              <w:spacing w:line="360" w:lineRule="auto"/>
              <w:jc w:val="left"/>
              <w:rPr>
                <w:rFonts w:ascii="宋体" w:hAnsi="宋体" w:cs="仿宋_GB2312"/>
                <w:sz w:val="24"/>
                <w:lang w:val="zh-CN"/>
              </w:rPr>
            </w:pPr>
            <w:r>
              <w:rPr>
                <w:rFonts w:hint="eastAsia" w:ascii="宋体" w:hAnsi="宋体" w:cs="宋体"/>
                <w:b/>
                <w:bCs/>
                <w:kern w:val="0"/>
                <w:sz w:val="22"/>
                <w:szCs w:val="22"/>
              </w:rPr>
              <w:t>价。合同签订价仍以</w:t>
            </w:r>
            <w:r>
              <w:rPr>
                <w:rFonts w:hint="eastAsia" w:ascii="宋体" w:hAnsi="宋体" w:cs="宋体"/>
                <w:b/>
                <w:bCs/>
                <w:kern w:val="0"/>
                <w:sz w:val="22"/>
                <w:szCs w:val="22"/>
                <w:lang w:eastAsia="zh-CN"/>
              </w:rPr>
              <w:t>投标人</w:t>
            </w:r>
            <w:r>
              <w:rPr>
                <w:rFonts w:hint="eastAsia" w:ascii="宋体" w:hAnsi="宋体" w:cs="宋体"/>
                <w:b/>
                <w:bCs/>
                <w:kern w:val="0"/>
                <w:sz w:val="22"/>
                <w:szCs w:val="22"/>
              </w:rPr>
              <w:t>的最后报价为准。</w:t>
            </w:r>
          </w:p>
        </w:tc>
      </w:tr>
    </w:tbl>
    <w:p w14:paraId="054B9FF3">
      <w:pPr>
        <w:spacing w:line="360" w:lineRule="auto"/>
        <w:rPr>
          <w:rFonts w:ascii="宋体" w:hAnsi="宋体"/>
          <w:bCs/>
          <w:sz w:val="24"/>
        </w:rPr>
      </w:pPr>
      <w:r>
        <w:rPr>
          <w:rFonts w:hint="eastAsia" w:ascii="宋体" w:hAnsi="宋体"/>
          <w:bCs/>
          <w:sz w:val="24"/>
        </w:rPr>
        <w:t>备注：</w:t>
      </w:r>
    </w:p>
    <w:p w14:paraId="162B07F1">
      <w:pPr>
        <w:spacing w:line="360" w:lineRule="auto"/>
        <w:ind w:firstLine="480" w:firstLineChars="200"/>
        <w:rPr>
          <w:sz w:val="24"/>
        </w:rPr>
      </w:pPr>
      <w:r>
        <w:rPr>
          <w:rFonts w:hint="eastAsia" w:ascii="宋体" w:hAnsi="宋体"/>
          <w:bCs/>
          <w:sz w:val="24"/>
        </w:rPr>
        <w:t>a、不接受联合体投标的项目，</w:t>
      </w:r>
      <w:r>
        <w:rPr>
          <w:rFonts w:hint="eastAsia"/>
          <w:sz w:val="24"/>
        </w:rPr>
        <w:t>本表中第2项、第3项情形不适用。</w:t>
      </w:r>
    </w:p>
    <w:p w14:paraId="611B6889">
      <w:pPr>
        <w:spacing w:line="360" w:lineRule="auto"/>
        <w:ind w:firstLine="480" w:firstLineChars="200"/>
        <w:rPr>
          <w:rFonts w:ascii="宋体" w:hAnsi="宋体"/>
          <w:bCs/>
          <w:sz w:val="24"/>
        </w:rPr>
      </w:pPr>
      <w:r>
        <w:rPr>
          <w:rFonts w:hint="eastAsia" w:ascii="宋体" w:hAnsi="宋体"/>
          <w:bCs/>
          <w:sz w:val="24"/>
        </w:rPr>
        <w:t>b、</w:t>
      </w:r>
      <w:r>
        <w:rPr>
          <w:sz w:val="24"/>
        </w:rPr>
        <w:t>在货物采购项目中，货物由中小企业制造，即货物由中小企业生产且使用该中小企业商号或者注册商标</w:t>
      </w:r>
      <w:r>
        <w:rPr>
          <w:rFonts w:hint="eastAsia" w:ascii="宋体" w:hAnsi="宋体"/>
          <w:bCs/>
          <w:sz w:val="24"/>
        </w:rPr>
        <w:t>。</w:t>
      </w:r>
      <w:r>
        <w:rPr>
          <w:sz w:val="24"/>
        </w:rPr>
        <w:t>在货物采购项目中，</w:t>
      </w:r>
      <w:r>
        <w:rPr>
          <w:rFonts w:hint="eastAsia"/>
          <w:sz w:val="24"/>
          <w:lang w:eastAsia="zh-CN"/>
        </w:rPr>
        <w:t>投标人</w:t>
      </w:r>
      <w:r>
        <w:rPr>
          <w:sz w:val="24"/>
        </w:rPr>
        <w:t>提供的货物既有中小企业制造货物，也有大型企业制造货物的，不享受中小企业扶持政策。在工程采购项目中，工程由中小企业承建，即工程施工单位为中小企业；在服务采购项目中，服务由中小企业承接，即提供服务的人员为中小企业依照《中华人民共和国劳动合同法》订立劳动合同的从业人员。</w:t>
      </w:r>
    </w:p>
    <w:p w14:paraId="31C4F9E8">
      <w:pPr>
        <w:spacing w:line="360" w:lineRule="auto"/>
        <w:ind w:firstLine="480" w:firstLineChars="200"/>
        <w:rPr>
          <w:rFonts w:ascii="宋体" w:hAnsi="宋体"/>
          <w:bCs/>
          <w:sz w:val="24"/>
        </w:rPr>
      </w:pPr>
      <w:r>
        <w:rPr>
          <w:rFonts w:hint="eastAsia" w:ascii="宋体" w:hAnsi="宋体"/>
          <w:bCs/>
          <w:sz w:val="24"/>
        </w:rPr>
        <w:t>c、中小企业、残疾人福利性单位提供其他企业制造的货物的，则该货物的制造商也必须为上述企业，否则不能享受价格优惠。</w:t>
      </w:r>
    </w:p>
    <w:p w14:paraId="17FFB2A7">
      <w:pPr>
        <w:spacing w:line="360" w:lineRule="auto"/>
        <w:ind w:firstLine="480" w:firstLineChars="200"/>
        <w:jc w:val="left"/>
        <w:rPr>
          <w:rFonts w:ascii="宋体" w:hAnsi="宋体"/>
          <w:bCs/>
          <w:sz w:val="24"/>
        </w:rPr>
      </w:pPr>
      <w:r>
        <w:rPr>
          <w:rFonts w:hint="eastAsia" w:ascii="宋体" w:hAnsi="宋体"/>
          <w:bCs/>
          <w:sz w:val="24"/>
        </w:rPr>
        <w:t>d、残疾人福利性单位属于小型、微型企业的，不重复享受政策。</w:t>
      </w:r>
    </w:p>
    <w:p w14:paraId="7882E0A4">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享受政府采购支持政策的残疾人福利性单位应当同时满足以下条件：</w:t>
      </w:r>
    </w:p>
    <w:p w14:paraId="1D749268">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（一）安置的残疾人占本单位在职职工人数的比例不低于 25%（含 25%），并且安置的残疾人人数不少于 10 人（含 10 人）；</w:t>
      </w:r>
    </w:p>
    <w:p w14:paraId="36699C24">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（二）依法与安置的每位残疾人签订了一年以上（含一年）的劳动合同或服务协议；</w:t>
      </w:r>
    </w:p>
    <w:p w14:paraId="2F2E09BE">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（三）为安置的每位残疾人按月足额缴纳了基本养老保险、基本医疗保险、失业保险、工伤保险和生育保险等社会保险费；</w:t>
      </w:r>
    </w:p>
    <w:p w14:paraId="7548A787">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（四）通过银行等金融机构向安置的每位残疾人，按月支付了不低于单位所在区县适用的经省级人民政府批准的月最低工资标准的工资；</w:t>
      </w:r>
    </w:p>
    <w:p w14:paraId="37C82C91">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（五）提供本单位制造的货物、承担的工程或者服务（以下简称产品），或者提供其他残疾人福利性单位制造的货物（不包括使用非残疾人福利性单位注册商标的货物）。</w:t>
      </w:r>
    </w:p>
    <w:p w14:paraId="08C33662">
      <w:pPr>
        <w:spacing w:line="360" w:lineRule="auto"/>
        <w:ind w:firstLine="480" w:firstLineChars="200"/>
        <w:jc w:val="left"/>
        <w:rPr>
          <w:rFonts w:ascii="宋体" w:hAnsi="宋体"/>
          <w:bCs/>
          <w:sz w:val="24"/>
        </w:rPr>
      </w:pPr>
      <w:r>
        <w:rPr>
          <w:rFonts w:hint="eastAsia" w:ascii="宋体" w:hAnsi="宋体" w:cs="宋体"/>
          <w:sz w:val="24"/>
          <w:szCs w:val="24"/>
          <w:lang w:val="zh-CN"/>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6587D519">
      <w:pPr>
        <w:numPr>
          <w:ilvl w:val="0"/>
          <w:numId w:val="23"/>
        </w:numPr>
        <w:spacing w:line="360" w:lineRule="auto"/>
        <w:ind w:left="0" w:firstLine="480" w:firstLineChars="200"/>
        <w:rPr>
          <w:rFonts w:ascii="宋体" w:hAnsi="宋体"/>
          <w:bCs/>
          <w:sz w:val="24"/>
        </w:rPr>
      </w:pPr>
      <w:r>
        <w:rPr>
          <w:rFonts w:hint="eastAsia" w:ascii="宋体" w:hAnsi="宋体"/>
          <w:bCs/>
          <w:sz w:val="24"/>
        </w:rPr>
        <w:t>小型和微型企业不包括民办非企业单位。</w:t>
      </w:r>
    </w:p>
    <w:p w14:paraId="42477D5A">
      <w:pPr>
        <w:spacing w:line="360" w:lineRule="auto"/>
        <w:ind w:firstLine="480" w:firstLineChars="200"/>
        <w:rPr>
          <w:rFonts w:ascii="宋体" w:hAnsi="宋体"/>
          <w:bCs/>
          <w:sz w:val="24"/>
        </w:rPr>
      </w:pPr>
      <w:r>
        <w:rPr>
          <w:rFonts w:hint="eastAsia" w:ascii="宋体" w:hAnsi="宋体" w:cs="宋体"/>
          <w:sz w:val="24"/>
          <w:szCs w:val="24"/>
        </w:rPr>
        <w:t>F、符合中小企业划分标准的个体工商户，在政府采购活动中视同中小企业。</w:t>
      </w:r>
    </w:p>
    <w:p w14:paraId="1C56F40C">
      <w:pPr>
        <w:pStyle w:val="13"/>
        <w:spacing w:line="360" w:lineRule="auto"/>
        <w:ind w:firstLine="482" w:firstLineChars="200"/>
        <w:contextualSpacing/>
        <w:rPr>
          <w:rFonts w:ascii="宋体" w:hAnsi="宋体" w:cs="仿宋_GB2312"/>
          <w:szCs w:val="21"/>
          <w:lang w:val="zh-CN"/>
        </w:rPr>
      </w:pPr>
      <w:r>
        <w:rPr>
          <w:rFonts w:hint="eastAsia" w:ascii="宋体" w:hAnsi="宋体" w:cs="仿宋_GB2312"/>
          <w:b/>
          <w:szCs w:val="21"/>
          <w:lang w:val="zh-CN"/>
        </w:rPr>
        <w:t>（7）</w:t>
      </w:r>
      <w:r>
        <w:rPr>
          <w:rFonts w:ascii="宋体" w:hAnsi="宋体" w:cs="仿宋_GB2312"/>
          <w:b/>
          <w:szCs w:val="21"/>
          <w:lang w:val="zh-CN"/>
        </w:rPr>
        <w:t>评标结果汇总完成后，除下列情形外，任何人不得修改评标结果：</w:t>
      </w:r>
    </w:p>
    <w:p w14:paraId="36A2245D">
      <w:pPr>
        <w:tabs>
          <w:tab w:val="left" w:pos="1260"/>
        </w:tabs>
        <w:autoSpaceDE w:val="0"/>
        <w:autoSpaceDN w:val="0"/>
        <w:spacing w:line="360" w:lineRule="auto"/>
        <w:ind w:firstLine="480" w:firstLineChars="200"/>
        <w:contextualSpacing/>
        <w:rPr>
          <w:rFonts w:ascii="宋体" w:hAnsi="宋体" w:cs="仿宋_GB2312"/>
          <w:sz w:val="24"/>
          <w:lang w:val="zh-CN"/>
        </w:rPr>
      </w:pPr>
      <w:r>
        <w:rPr>
          <w:rFonts w:hint="eastAsia" w:ascii="宋体" w:hAnsi="宋体" w:cs="仿宋_GB2312"/>
          <w:sz w:val="24"/>
          <w:lang w:val="zh-CN"/>
        </w:rPr>
        <w:t xml:space="preserve">1） </w:t>
      </w:r>
      <w:r>
        <w:rPr>
          <w:rFonts w:ascii="宋体" w:hAnsi="宋体" w:cs="仿宋_GB2312"/>
          <w:sz w:val="24"/>
          <w:lang w:val="zh-CN"/>
        </w:rPr>
        <w:t>分值汇总计算错误的；</w:t>
      </w:r>
    </w:p>
    <w:p w14:paraId="0C7A1D15">
      <w:pPr>
        <w:tabs>
          <w:tab w:val="left" w:pos="1260"/>
        </w:tabs>
        <w:autoSpaceDE w:val="0"/>
        <w:autoSpaceDN w:val="0"/>
        <w:spacing w:line="360" w:lineRule="auto"/>
        <w:ind w:firstLine="480" w:firstLineChars="200"/>
        <w:contextualSpacing/>
        <w:rPr>
          <w:rFonts w:ascii="宋体" w:hAnsi="宋体" w:cs="仿宋_GB2312"/>
          <w:sz w:val="24"/>
          <w:lang w:val="zh-CN"/>
        </w:rPr>
      </w:pPr>
      <w:r>
        <w:rPr>
          <w:rFonts w:hint="eastAsia" w:ascii="宋体" w:hAnsi="宋体" w:cs="仿宋_GB2312"/>
          <w:sz w:val="24"/>
          <w:lang w:val="zh-CN"/>
        </w:rPr>
        <w:t xml:space="preserve">2） </w:t>
      </w:r>
      <w:r>
        <w:rPr>
          <w:rFonts w:ascii="宋体" w:hAnsi="宋体" w:cs="仿宋_GB2312"/>
          <w:sz w:val="24"/>
          <w:lang w:val="zh-CN"/>
        </w:rPr>
        <w:t>分项评分超出评分标准范围的；</w:t>
      </w:r>
    </w:p>
    <w:p w14:paraId="1E8224A9">
      <w:pPr>
        <w:tabs>
          <w:tab w:val="left" w:pos="1260"/>
        </w:tabs>
        <w:autoSpaceDE w:val="0"/>
        <w:autoSpaceDN w:val="0"/>
        <w:spacing w:line="360" w:lineRule="auto"/>
        <w:ind w:firstLine="480" w:firstLineChars="200"/>
        <w:contextualSpacing/>
        <w:rPr>
          <w:rFonts w:ascii="宋体" w:hAnsi="宋体" w:cs="仿宋_GB2312"/>
          <w:sz w:val="24"/>
          <w:lang w:val="zh-CN"/>
        </w:rPr>
      </w:pPr>
      <w:r>
        <w:rPr>
          <w:rFonts w:hint="eastAsia" w:ascii="宋体" w:hAnsi="宋体" w:cs="仿宋_GB2312"/>
          <w:sz w:val="24"/>
          <w:lang w:val="zh-CN"/>
        </w:rPr>
        <w:t xml:space="preserve">3） </w:t>
      </w:r>
      <w:r>
        <w:rPr>
          <w:rFonts w:ascii="宋体" w:hAnsi="宋体" w:cs="仿宋_GB2312"/>
          <w:sz w:val="24"/>
          <w:lang w:val="zh-CN"/>
        </w:rPr>
        <w:t>评标委员会成员对客观评审因素评分不一致的；</w:t>
      </w:r>
    </w:p>
    <w:p w14:paraId="1358AAA4">
      <w:pPr>
        <w:tabs>
          <w:tab w:val="left" w:pos="1260"/>
        </w:tabs>
        <w:autoSpaceDE w:val="0"/>
        <w:autoSpaceDN w:val="0"/>
        <w:spacing w:line="360" w:lineRule="auto"/>
        <w:ind w:firstLine="480" w:firstLineChars="200"/>
        <w:contextualSpacing/>
        <w:rPr>
          <w:rFonts w:ascii="宋体" w:hAnsi="宋体" w:cs="仿宋_GB2312"/>
          <w:sz w:val="24"/>
          <w:lang w:val="zh-CN"/>
        </w:rPr>
      </w:pPr>
      <w:r>
        <w:rPr>
          <w:rFonts w:hint="eastAsia" w:ascii="宋体" w:hAnsi="宋体" w:cs="仿宋_GB2312"/>
          <w:sz w:val="24"/>
          <w:lang w:val="zh-CN"/>
        </w:rPr>
        <w:t xml:space="preserve">4） </w:t>
      </w:r>
      <w:r>
        <w:rPr>
          <w:rFonts w:ascii="宋体" w:hAnsi="宋体" w:cs="仿宋_GB2312"/>
          <w:sz w:val="24"/>
          <w:lang w:val="zh-CN"/>
        </w:rPr>
        <w:t>经评标委员会认定评分畸高、畸低的。</w:t>
      </w:r>
    </w:p>
    <w:p w14:paraId="04678365">
      <w:pPr>
        <w:tabs>
          <w:tab w:val="left" w:pos="1260"/>
        </w:tabs>
        <w:autoSpaceDE w:val="0"/>
        <w:autoSpaceDN w:val="0"/>
        <w:spacing w:line="360" w:lineRule="auto"/>
        <w:ind w:firstLine="480" w:firstLineChars="200"/>
        <w:contextualSpacing/>
        <w:rPr>
          <w:rFonts w:ascii="宋体" w:hAnsi="宋体" w:cs="仿宋_GB2312"/>
          <w:sz w:val="24"/>
          <w:lang w:val="zh-CN"/>
        </w:rPr>
      </w:pPr>
      <w:r>
        <w:rPr>
          <w:rFonts w:ascii="宋体" w:hAnsi="宋体" w:cs="仿宋_GB2312"/>
          <w:sz w:val="24"/>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7CD3E890">
      <w:pPr>
        <w:tabs>
          <w:tab w:val="left" w:pos="1260"/>
        </w:tabs>
        <w:autoSpaceDE w:val="0"/>
        <w:autoSpaceDN w:val="0"/>
        <w:spacing w:line="360" w:lineRule="auto"/>
        <w:ind w:firstLine="480" w:firstLineChars="200"/>
        <w:contextualSpacing/>
        <w:rPr>
          <w:rFonts w:ascii="宋体" w:hAnsi="宋体" w:cs="仿宋_GB2312"/>
          <w:sz w:val="24"/>
          <w:lang w:val="zh-CN"/>
        </w:rPr>
      </w:pPr>
      <w:r>
        <w:rPr>
          <w:rFonts w:ascii="宋体" w:hAnsi="宋体" w:cs="仿宋_GB2312"/>
          <w:sz w:val="24"/>
          <w:lang w:val="zh-CN"/>
        </w:rPr>
        <w:t>投标人对本条第一款情形提出质疑的，采购人或者采购代理机构可以组织原评标委员会进行重新评审，重新评审改变评标结果的，应当书面报告本级财政部门。</w:t>
      </w:r>
    </w:p>
    <w:p w14:paraId="407A5A77">
      <w:pPr>
        <w:wordWrap w:val="0"/>
        <w:spacing w:line="360" w:lineRule="auto"/>
        <w:ind w:firstLine="482" w:firstLineChars="200"/>
        <w:contextualSpacing/>
        <w:rPr>
          <w:rFonts w:ascii="宋体" w:hAnsi="宋体" w:cs="仿宋_GB2312"/>
          <w:b/>
          <w:bCs/>
          <w:sz w:val="24"/>
          <w:lang w:val="zh-CN"/>
        </w:rPr>
      </w:pPr>
      <w:r>
        <w:rPr>
          <w:rFonts w:hint="eastAsia" w:ascii="宋体" w:hAnsi="宋体" w:cs="仿宋_GB2312"/>
          <w:b/>
          <w:bCs/>
          <w:sz w:val="24"/>
          <w:lang w:val="zh-CN"/>
        </w:rPr>
        <w:t>（8）采购小组编写评审报告</w:t>
      </w:r>
    </w:p>
    <w:p w14:paraId="149EC5A0">
      <w:pPr>
        <w:wordWrap w:val="0"/>
        <w:spacing w:line="360" w:lineRule="auto"/>
        <w:ind w:firstLine="480" w:firstLineChars="200"/>
        <w:contextualSpacing/>
        <w:rPr>
          <w:rFonts w:ascii="宋体" w:hAnsi="宋体" w:cs="仿宋_GB2312"/>
          <w:lang w:val="zh-CN"/>
        </w:rPr>
      </w:pPr>
      <w:r>
        <w:rPr>
          <w:rFonts w:hint="eastAsia" w:ascii="宋体" w:hAnsi="宋体" w:cs="仿宋_GB2312"/>
          <w:sz w:val="24"/>
          <w:lang w:val="zh-CN"/>
        </w:rPr>
        <w:t>按照《关于推进全流程电子化交易和在线监管工作有关问题的通知》（许公管办[2019]3号）规定：评标专家应严格按照要求查看“硬件特征码”相关信息并进行评审，在评审报告中显示“不同投标人电子投标文件制作硬件特征码”是否雷同的分析及判定结果。</w:t>
      </w:r>
    </w:p>
    <w:p w14:paraId="59CD1F8C">
      <w:pPr>
        <w:tabs>
          <w:tab w:val="left" w:pos="1260"/>
        </w:tabs>
        <w:autoSpaceDE w:val="0"/>
        <w:autoSpaceDN w:val="0"/>
        <w:spacing w:line="360" w:lineRule="auto"/>
        <w:ind w:firstLine="482" w:firstLineChars="200"/>
        <w:contextualSpacing/>
        <w:rPr>
          <w:rFonts w:ascii="宋体" w:hAnsi="宋体" w:cs="仿宋_GB2312"/>
          <w:b/>
          <w:sz w:val="24"/>
          <w:szCs w:val="24"/>
          <w:lang w:val="zh-CN"/>
        </w:rPr>
      </w:pPr>
      <w:r>
        <w:rPr>
          <w:rFonts w:hint="eastAsia" w:ascii="宋体" w:hAnsi="宋体" w:cs="仿宋_GB2312"/>
          <w:b/>
          <w:sz w:val="24"/>
          <w:szCs w:val="24"/>
          <w:lang w:val="zh-CN"/>
        </w:rPr>
        <w:t>（9）争议处理</w:t>
      </w:r>
    </w:p>
    <w:p w14:paraId="305A31BE">
      <w:pPr>
        <w:tabs>
          <w:tab w:val="left" w:pos="1260"/>
        </w:tabs>
        <w:autoSpaceDE w:val="0"/>
        <w:autoSpaceDN w:val="0"/>
        <w:spacing w:line="360" w:lineRule="auto"/>
        <w:ind w:firstLine="480" w:firstLineChars="200"/>
        <w:contextualSpacing/>
        <w:rPr>
          <w:rFonts w:ascii="宋体" w:hAnsi="宋体" w:cs="仿宋_GB2312"/>
          <w:sz w:val="24"/>
          <w:szCs w:val="24"/>
          <w:lang w:val="zh-CN"/>
        </w:rPr>
      </w:pPr>
      <w:r>
        <w:rPr>
          <w:rFonts w:ascii="宋体" w:hAnsi="宋体" w:cs="仿宋_GB2312"/>
          <w:sz w:val="24"/>
          <w:szCs w:val="24"/>
          <w:lang w:val="zh-CN"/>
        </w:rPr>
        <w:t>评标委员会成员对需要共同认定的事项存在争议的，应当按照少数服从多数的原则作出结论。持不同意见的评标委员会成员应当在评标报告上签署不同意见及理由，否则视为同意评标报告。</w:t>
      </w:r>
    </w:p>
    <w:p w14:paraId="64A3F168">
      <w:pPr>
        <w:numPr>
          <w:ilvl w:val="0"/>
          <w:numId w:val="24"/>
        </w:numPr>
        <w:ind w:left="0" w:firstLine="465"/>
        <w:rPr>
          <w:rFonts w:ascii="宋体" w:hAnsi="宋体" w:cs="仿宋_GB2312"/>
          <w:b/>
          <w:sz w:val="24"/>
          <w:szCs w:val="24"/>
          <w:lang w:val="zh-CN"/>
        </w:rPr>
      </w:pPr>
      <w:r>
        <w:rPr>
          <w:rFonts w:ascii="宋体" w:hAnsi="宋体" w:cs="仿宋_GB2312"/>
          <w:b/>
          <w:sz w:val="24"/>
          <w:szCs w:val="24"/>
          <w:lang w:val="zh-CN"/>
        </w:rPr>
        <w:t>确定中标候选人名单</w:t>
      </w:r>
      <w:r>
        <w:rPr>
          <w:rFonts w:hint="eastAsia" w:ascii="宋体" w:hAnsi="宋体" w:cs="仿宋_GB2312"/>
          <w:b/>
          <w:sz w:val="24"/>
          <w:szCs w:val="24"/>
          <w:lang w:val="zh-CN"/>
        </w:rPr>
        <w:t>。</w:t>
      </w:r>
    </w:p>
    <w:p w14:paraId="41BDB4A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b/>
          <w:kern w:val="0"/>
        </w:rPr>
      </w:pPr>
      <w:r>
        <w:rPr>
          <w:rFonts w:hint="eastAsia" w:ascii="宋体" w:hAnsi="宋体" w:eastAsia="宋体" w:cs="仿宋_GB2312"/>
          <w:sz w:val="24"/>
          <w:szCs w:val="24"/>
          <w:lang w:val="zh-CN"/>
        </w:rPr>
        <w:t>从质量和服务均能满足采购文件实质性响应要求的投标人中，按照评分由高到底的顺序提出3名成交候选人。根据规定，采购人按照成交候选人排名顺序确定成交</w:t>
      </w:r>
      <w:r>
        <w:rPr>
          <w:rFonts w:hint="eastAsia" w:ascii="宋体" w:hAnsi="宋体" w:eastAsia="宋体" w:cs="仿宋_GB2312"/>
          <w:sz w:val="24"/>
          <w:szCs w:val="24"/>
          <w:lang w:val="zh-CN" w:eastAsia="zh-CN"/>
        </w:rPr>
        <w:t>投标人</w:t>
      </w:r>
      <w:r>
        <w:rPr>
          <w:rFonts w:hint="eastAsia" w:ascii="宋体" w:hAnsi="宋体" w:eastAsia="宋体" w:cs="仿宋_GB2312"/>
          <w:sz w:val="24"/>
          <w:szCs w:val="24"/>
          <w:lang w:val="zh-CN"/>
        </w:rPr>
        <w:t>。</w:t>
      </w:r>
      <w:r>
        <w:rPr>
          <w:rFonts w:cs="仿宋_GB2312"/>
          <w:b/>
          <w:lang w:val="zh-CN" w:eastAsia="zh-CN" w:bidi="ar-SA"/>
        </w:rPr>
        <w:br w:type="page"/>
      </w:r>
      <w:r>
        <w:rPr>
          <w:rFonts w:hint="eastAsia" w:ascii="宋体"/>
          <w:b/>
          <w:kern w:val="0"/>
          <w:sz w:val="28"/>
          <w:szCs w:val="28"/>
        </w:rPr>
        <w:t>第七章 拟签订的合同文本</w:t>
      </w:r>
    </w:p>
    <w:p w14:paraId="08D65585">
      <w:pPr>
        <w:spacing w:line="360" w:lineRule="auto"/>
        <w:jc w:val="center"/>
        <w:rPr>
          <w:rFonts w:hint="eastAsia" w:ascii="宋体"/>
          <w:b/>
          <w:bCs/>
        </w:rPr>
      </w:pPr>
      <w:r>
        <w:rPr>
          <w:rFonts w:hint="eastAsia" w:ascii="宋体"/>
          <w:b/>
          <w:bCs/>
        </w:rPr>
        <w:t>（此合同仅供参考。以最终招标人与成交投标人</w:t>
      </w:r>
      <w:r>
        <w:rPr>
          <w:rFonts w:hint="eastAsia" w:ascii="宋体"/>
          <w:b/>
          <w:bCs/>
          <w:lang w:eastAsia="zh-CN"/>
        </w:rPr>
        <w:t>签订的</w:t>
      </w:r>
      <w:r>
        <w:rPr>
          <w:rFonts w:hint="eastAsia" w:ascii="宋体"/>
          <w:b/>
          <w:bCs/>
        </w:rPr>
        <w:t>合同条款为准进行公示，</w:t>
      </w:r>
    </w:p>
    <w:p w14:paraId="54547464">
      <w:pPr>
        <w:spacing w:line="360" w:lineRule="auto"/>
        <w:jc w:val="center"/>
        <w:rPr>
          <w:rFonts w:hint="eastAsia" w:ascii="宋体"/>
          <w:b/>
          <w:bCs/>
        </w:rPr>
      </w:pPr>
      <w:r>
        <w:rPr>
          <w:rFonts w:hint="eastAsia" w:ascii="宋体"/>
          <w:b/>
          <w:bCs/>
        </w:rPr>
        <w:t>最终</w:t>
      </w:r>
      <w:r>
        <w:rPr>
          <w:rFonts w:hint="eastAsia" w:ascii="宋体"/>
          <w:b/>
          <w:bCs/>
          <w:lang w:eastAsia="zh-CN"/>
        </w:rPr>
        <w:t>签订合同</w:t>
      </w:r>
      <w:r>
        <w:rPr>
          <w:rFonts w:hint="eastAsia" w:ascii="宋体"/>
          <w:b/>
          <w:bCs/>
        </w:rPr>
        <w:t>的主要条款不能与招标文件有冲突）</w:t>
      </w:r>
    </w:p>
    <w:p w14:paraId="5D29A6BC">
      <w:pPr>
        <w:autoSpaceDE w:val="0"/>
        <w:autoSpaceDN w:val="0"/>
        <w:adjustRightInd w:val="0"/>
        <w:spacing w:line="360" w:lineRule="auto"/>
        <w:contextualSpacing/>
        <w:rPr>
          <w:rFonts w:hint="eastAsia"/>
        </w:rPr>
      </w:pPr>
      <w:r>
        <w:rPr>
          <w:rFonts w:hint="eastAsia"/>
        </w:rPr>
        <w:t>甲方：（采购人全称）</w:t>
      </w:r>
    </w:p>
    <w:p w14:paraId="75C03C79">
      <w:pPr>
        <w:autoSpaceDE w:val="0"/>
        <w:autoSpaceDN w:val="0"/>
        <w:adjustRightInd w:val="0"/>
        <w:spacing w:line="360" w:lineRule="auto"/>
        <w:contextualSpacing/>
        <w:rPr>
          <w:rFonts w:hint="eastAsia"/>
        </w:rPr>
      </w:pPr>
      <w:r>
        <w:rPr>
          <w:rFonts w:hint="eastAsia"/>
        </w:rPr>
        <w:t>乙方：（中标人全称）</w:t>
      </w:r>
    </w:p>
    <w:p w14:paraId="45D35ED0">
      <w:pPr>
        <w:autoSpaceDE w:val="0"/>
        <w:autoSpaceDN w:val="0"/>
        <w:adjustRightInd w:val="0"/>
        <w:spacing w:line="360" w:lineRule="auto"/>
        <w:contextualSpacing/>
        <w:rPr>
          <w:rFonts w:hint="eastAsia"/>
        </w:rPr>
      </w:pPr>
      <w:r>
        <w:rPr>
          <w:rFonts w:hint="eastAsia"/>
        </w:rPr>
        <w:t>根据项目编号为</w:t>
      </w:r>
      <w:r>
        <w:rPr>
          <w:rFonts w:hint="eastAsia"/>
          <w:u w:val="single"/>
        </w:rPr>
        <w:t xml:space="preserve">            </w:t>
      </w:r>
      <w:r>
        <w:rPr>
          <w:rFonts w:hint="eastAsia"/>
        </w:rPr>
        <w:t>的</w:t>
      </w:r>
      <w:r>
        <w:rPr>
          <w:rFonts w:hint="eastAsia"/>
          <w:u w:val="single"/>
        </w:rPr>
        <w:t xml:space="preserve">（以下简称：“本项目”）             </w:t>
      </w:r>
      <w:r>
        <w:rPr>
          <w:rFonts w:hint="eastAsia"/>
        </w:rPr>
        <w:t>的招标结果，乙方为</w:t>
      </w:r>
    </w:p>
    <w:p w14:paraId="2B3798E9">
      <w:pPr>
        <w:autoSpaceDE w:val="0"/>
        <w:autoSpaceDN w:val="0"/>
        <w:adjustRightInd w:val="0"/>
        <w:spacing w:line="360" w:lineRule="auto"/>
        <w:contextualSpacing/>
        <w:rPr>
          <w:rFonts w:hint="eastAsia"/>
        </w:rPr>
      </w:pPr>
      <w:r>
        <w:rPr>
          <w:rFonts w:hint="eastAsia"/>
        </w:rPr>
        <w:t>中标人。现经甲乙双方友好协商，就以下事项达成一致并签订本合同：</w:t>
      </w:r>
    </w:p>
    <w:p w14:paraId="5BB33793">
      <w:pPr>
        <w:autoSpaceDE w:val="0"/>
        <w:autoSpaceDN w:val="0"/>
        <w:adjustRightInd w:val="0"/>
        <w:spacing w:line="360" w:lineRule="auto"/>
        <w:contextualSpacing/>
        <w:rPr>
          <w:rFonts w:hint="eastAsia"/>
        </w:rPr>
      </w:pPr>
      <w:r>
        <w:rPr>
          <w:rFonts w:hint="eastAsia"/>
        </w:rPr>
        <w:t>1、合同标的</w:t>
      </w:r>
    </w:p>
    <w:p w14:paraId="7C2A41B7">
      <w:pPr>
        <w:autoSpaceDE w:val="0"/>
        <w:autoSpaceDN w:val="0"/>
        <w:adjustRightInd w:val="0"/>
        <w:spacing w:line="360" w:lineRule="auto"/>
        <w:contextualSpacing/>
        <w:rPr>
          <w:rFonts w:hint="eastAsia"/>
        </w:rPr>
      </w:pPr>
      <w:r>
        <w:rPr>
          <w:rFonts w:hint="eastAsia"/>
        </w:rPr>
        <w:t>合同标的应符合招标文件、乙方投标文件的规定或约定，具体如下：（按照实际情况编制填写，可以是表格或文字描述）。</w:t>
      </w:r>
    </w:p>
    <w:p w14:paraId="37D17F43">
      <w:pPr>
        <w:autoSpaceDE w:val="0"/>
        <w:autoSpaceDN w:val="0"/>
        <w:adjustRightInd w:val="0"/>
        <w:spacing w:line="360" w:lineRule="auto"/>
        <w:contextualSpacing/>
        <w:rPr>
          <w:rFonts w:hint="eastAsia"/>
        </w:rPr>
      </w:pPr>
      <w:r>
        <w:rPr>
          <w:rFonts w:hint="eastAsia"/>
        </w:rPr>
        <w:t>2、合同总金额</w:t>
      </w:r>
    </w:p>
    <w:p w14:paraId="5879BA50">
      <w:pPr>
        <w:autoSpaceDE w:val="0"/>
        <w:autoSpaceDN w:val="0"/>
        <w:adjustRightInd w:val="0"/>
        <w:spacing w:line="360" w:lineRule="auto"/>
        <w:contextualSpacing/>
        <w:rPr>
          <w:u w:val="single"/>
        </w:rPr>
      </w:pPr>
      <w:r>
        <w:rPr>
          <w:rFonts w:hint="eastAsia"/>
        </w:rPr>
        <w:t>2.1 合同总金额为人民币大写：</w:t>
      </w:r>
      <w:r>
        <w:rPr>
          <w:rFonts w:hint="eastAsia"/>
          <w:u w:val="single"/>
        </w:rPr>
        <w:t xml:space="preserve">            元</w:t>
      </w:r>
      <w:r>
        <w:rPr>
          <w:rFonts w:hint="eastAsia"/>
        </w:rPr>
        <w:t>（￥</w:t>
      </w:r>
      <w:r>
        <w:rPr>
          <w:rFonts w:hint="eastAsia"/>
          <w:u w:val="single"/>
        </w:rPr>
        <w:t xml:space="preserve">              </w:t>
      </w:r>
      <w:r>
        <w:rPr>
          <w:rFonts w:hint="eastAsia"/>
        </w:rPr>
        <w:t>）。</w:t>
      </w:r>
    </w:p>
    <w:p w14:paraId="700A95BD">
      <w:pPr>
        <w:autoSpaceDE w:val="0"/>
        <w:autoSpaceDN w:val="0"/>
        <w:adjustRightInd w:val="0"/>
        <w:spacing w:line="360" w:lineRule="auto"/>
        <w:contextualSpacing/>
        <w:rPr>
          <w:rFonts w:hint="eastAsia"/>
        </w:rPr>
      </w:pPr>
      <w:r>
        <w:rPr>
          <w:rFonts w:hint="eastAsia"/>
        </w:rPr>
        <w:t>3、合同标的交付时间、地点和条件</w:t>
      </w:r>
    </w:p>
    <w:p w14:paraId="71F2B6A8">
      <w:pPr>
        <w:autoSpaceDE w:val="0"/>
        <w:autoSpaceDN w:val="0"/>
        <w:adjustRightInd w:val="0"/>
        <w:spacing w:line="360" w:lineRule="auto"/>
        <w:contextualSpacing/>
        <w:rPr>
          <w:rFonts w:hint="eastAsia"/>
          <w:u w:val="single"/>
        </w:rPr>
      </w:pPr>
      <w:r>
        <w:rPr>
          <w:rFonts w:hint="eastAsia"/>
        </w:rPr>
        <w:t>3.1 交付时间：</w:t>
      </w:r>
      <w:r>
        <w:rPr>
          <w:rFonts w:hint="eastAsia"/>
          <w:u w:val="single"/>
        </w:rPr>
        <w:t xml:space="preserve">            </w:t>
      </w:r>
    </w:p>
    <w:p w14:paraId="677B16A9">
      <w:pPr>
        <w:autoSpaceDE w:val="0"/>
        <w:autoSpaceDN w:val="0"/>
        <w:adjustRightInd w:val="0"/>
        <w:spacing w:line="360" w:lineRule="auto"/>
        <w:contextualSpacing/>
        <w:rPr>
          <w:rFonts w:hint="eastAsia"/>
        </w:rPr>
      </w:pPr>
      <w:r>
        <w:rPr>
          <w:rFonts w:hint="eastAsia"/>
        </w:rPr>
        <w:t>3.2 交付地点：</w:t>
      </w:r>
      <w:r>
        <w:rPr>
          <w:rFonts w:hint="eastAsia"/>
          <w:u w:val="single"/>
        </w:rPr>
        <w:t xml:space="preserve">            </w:t>
      </w:r>
    </w:p>
    <w:p w14:paraId="029BB93C">
      <w:pPr>
        <w:autoSpaceDE w:val="0"/>
        <w:autoSpaceDN w:val="0"/>
        <w:adjustRightInd w:val="0"/>
        <w:spacing w:line="360" w:lineRule="auto"/>
        <w:contextualSpacing/>
        <w:rPr>
          <w:rFonts w:hint="eastAsia"/>
        </w:rPr>
      </w:pPr>
      <w:r>
        <w:rPr>
          <w:rFonts w:hint="eastAsia"/>
        </w:rPr>
        <w:t>3.3 交付质量：</w:t>
      </w:r>
      <w:r>
        <w:rPr>
          <w:rFonts w:hint="eastAsia"/>
          <w:u w:val="single"/>
        </w:rPr>
        <w:t xml:space="preserve">            </w:t>
      </w:r>
    </w:p>
    <w:p w14:paraId="00516851">
      <w:pPr>
        <w:autoSpaceDE w:val="0"/>
        <w:autoSpaceDN w:val="0"/>
        <w:adjustRightInd w:val="0"/>
        <w:spacing w:line="360" w:lineRule="auto"/>
        <w:contextualSpacing/>
        <w:rPr>
          <w:rFonts w:hint="eastAsia"/>
        </w:rPr>
      </w:pPr>
      <w:r>
        <w:rPr>
          <w:rFonts w:hint="eastAsia"/>
        </w:rPr>
        <w:t>3.4 交付条件：</w:t>
      </w:r>
      <w:r>
        <w:rPr>
          <w:rFonts w:hint="eastAsia"/>
          <w:u w:val="single"/>
        </w:rPr>
        <w:t xml:space="preserve">            </w:t>
      </w:r>
    </w:p>
    <w:p w14:paraId="134066B8">
      <w:pPr>
        <w:autoSpaceDE w:val="0"/>
        <w:autoSpaceDN w:val="0"/>
        <w:adjustRightInd w:val="0"/>
        <w:spacing w:line="360" w:lineRule="auto"/>
        <w:contextualSpacing/>
        <w:rPr>
          <w:rFonts w:hint="eastAsia"/>
          <w:lang w:val="en-US" w:eastAsia="zh-CN"/>
        </w:rPr>
      </w:pPr>
      <w:r>
        <w:rPr>
          <w:rFonts w:hint="eastAsia"/>
          <w:lang w:val="en-US" w:eastAsia="zh-CN"/>
        </w:rPr>
        <w:t>4、验收</w:t>
      </w:r>
    </w:p>
    <w:p w14:paraId="081C3224">
      <w:pPr>
        <w:autoSpaceDE w:val="0"/>
        <w:autoSpaceDN w:val="0"/>
        <w:adjustRightInd w:val="0"/>
        <w:spacing w:line="360" w:lineRule="auto"/>
        <w:contextualSpacing/>
        <w:rPr>
          <w:rFonts w:hint="eastAsia"/>
        </w:rPr>
      </w:pPr>
      <w:r>
        <w:rPr>
          <w:rFonts w:hint="eastAsia"/>
        </w:rPr>
        <w:t>（按照实际情况编制填写。招标文件已有规定的，双方均不得变更或调整；招标文件未作规定的，双方可通过友好协商进行约定）。</w:t>
      </w:r>
    </w:p>
    <w:p w14:paraId="61A80ACC">
      <w:pPr>
        <w:autoSpaceDE w:val="0"/>
        <w:autoSpaceDN w:val="0"/>
        <w:adjustRightInd w:val="0"/>
        <w:spacing w:line="360" w:lineRule="auto"/>
        <w:contextualSpacing/>
        <w:rPr>
          <w:rFonts w:hint="eastAsia" w:eastAsia="宋体"/>
          <w:lang w:eastAsia="zh-CN"/>
        </w:rPr>
      </w:pPr>
      <w:r>
        <w:rPr>
          <w:rFonts w:hint="eastAsia"/>
          <w:lang w:val="en-US" w:eastAsia="zh-CN"/>
        </w:rPr>
        <w:t>5</w:t>
      </w:r>
      <w:r>
        <w:rPr>
          <w:rFonts w:hint="eastAsia"/>
        </w:rPr>
        <w:t>、合同款项的支付</w:t>
      </w:r>
      <w:r>
        <w:rPr>
          <w:rFonts w:hint="eastAsia"/>
          <w:lang w:eastAsia="zh-CN"/>
        </w:rPr>
        <w:t>：</w:t>
      </w:r>
      <w:r>
        <w:rPr>
          <w:rFonts w:hint="eastAsia"/>
        </w:rPr>
        <w:t>（按照实际情况编制填写。招标文件已有规定的，双方均不得变更或调整；招标文件未作规定的，双方可通过友好协商进行约定）。</w:t>
      </w:r>
    </w:p>
    <w:p w14:paraId="2043668B">
      <w:pPr>
        <w:autoSpaceDE w:val="0"/>
        <w:autoSpaceDN w:val="0"/>
        <w:adjustRightInd w:val="0"/>
        <w:spacing w:line="360" w:lineRule="auto"/>
        <w:contextualSpacing/>
        <w:rPr>
          <w:rFonts w:hint="eastAsia"/>
        </w:rPr>
      </w:pPr>
      <w:r>
        <w:rPr>
          <w:rFonts w:hint="eastAsia"/>
          <w:lang w:val="en-US" w:eastAsia="zh-CN"/>
        </w:rPr>
        <w:t>6</w:t>
      </w:r>
      <w:r>
        <w:rPr>
          <w:rFonts w:hint="eastAsia"/>
        </w:rPr>
        <w:t>、违约责任（按照实际情况编制填写，可以是表格或文字描述）。</w:t>
      </w:r>
    </w:p>
    <w:p w14:paraId="634345DE">
      <w:pPr>
        <w:autoSpaceDE w:val="0"/>
        <w:autoSpaceDN w:val="0"/>
        <w:adjustRightInd w:val="0"/>
        <w:spacing w:line="360" w:lineRule="auto"/>
        <w:contextualSpacing/>
        <w:rPr>
          <w:rFonts w:hint="eastAsia"/>
        </w:rPr>
      </w:pPr>
      <w:r>
        <w:rPr>
          <w:rFonts w:hint="eastAsia"/>
          <w:lang w:val="en-US" w:eastAsia="zh-CN"/>
        </w:rPr>
        <w:t>7</w:t>
      </w:r>
      <w:r>
        <w:rPr>
          <w:rFonts w:hint="eastAsia"/>
        </w:rPr>
        <w:t>、知识产权</w:t>
      </w:r>
    </w:p>
    <w:p w14:paraId="543680B7">
      <w:pPr>
        <w:autoSpaceDE w:val="0"/>
        <w:autoSpaceDN w:val="0"/>
        <w:adjustRightInd w:val="0"/>
        <w:spacing w:line="360" w:lineRule="auto"/>
        <w:contextualSpacing/>
        <w:rPr>
          <w:rFonts w:hint="eastAsia"/>
        </w:rPr>
      </w:pPr>
      <w:r>
        <w:rPr>
          <w:rFonts w:hint="eastAsia"/>
          <w:lang w:val="en-US" w:eastAsia="zh-CN"/>
        </w:rPr>
        <w:t>7</w:t>
      </w:r>
      <w:r>
        <w:rPr>
          <w:rFonts w:hint="eastAsia"/>
        </w:rPr>
        <w:t>.1 乙方提供的采购标的应符合国家知识产权</w:t>
      </w:r>
      <w:r>
        <w:rPr>
          <w:rFonts w:hint="eastAsia"/>
          <w:lang w:eastAsia="zh-CN"/>
        </w:rPr>
        <w:t>法律法规</w:t>
      </w:r>
      <w:r>
        <w:rPr>
          <w:rFonts w:hint="eastAsia"/>
        </w:rPr>
        <w:t>的规定且非假冒伪</w:t>
      </w:r>
      <w:r>
        <w:rPr>
          <w:rFonts w:hint="eastAsia"/>
          <w:lang w:eastAsia="zh-CN"/>
        </w:rPr>
        <w:t>劣产</w:t>
      </w:r>
      <w:r>
        <w:rPr>
          <w:rFonts w:hint="eastAsia"/>
        </w:rPr>
        <w:t>品的全新正品现货；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该损失包括但不限于直接损失、间接损失、诉讼费用、保全保险费、保全费、律师费用</w:t>
      </w:r>
      <w:r>
        <w:rPr>
          <w:rFonts w:hint="eastAsia"/>
          <w:lang w:eastAsia="zh-CN"/>
        </w:rPr>
        <w:t>、以</w:t>
      </w:r>
      <w:r>
        <w:rPr>
          <w:rFonts w:hint="eastAsia"/>
        </w:rPr>
        <w:t>及其他与追溯违约方责任有关的所有费用。</w:t>
      </w:r>
    </w:p>
    <w:p w14:paraId="67726E53">
      <w:pPr>
        <w:autoSpaceDE w:val="0"/>
        <w:autoSpaceDN w:val="0"/>
        <w:adjustRightInd w:val="0"/>
        <w:spacing w:line="360" w:lineRule="auto"/>
        <w:contextualSpacing/>
        <w:rPr>
          <w:rFonts w:hint="eastAsia"/>
        </w:rPr>
      </w:pPr>
      <w:r>
        <w:rPr>
          <w:rFonts w:hint="eastAsia"/>
          <w:lang w:val="en-US" w:eastAsia="zh-CN"/>
        </w:rPr>
        <w:t>7</w:t>
      </w:r>
      <w:r>
        <w:rPr>
          <w:rFonts w:hint="eastAsia"/>
        </w:rPr>
        <w:t>.2 若乙方提供的采购标的不符合国家知识产权</w:t>
      </w:r>
      <w:r>
        <w:rPr>
          <w:rFonts w:hint="eastAsia"/>
          <w:lang w:eastAsia="zh-CN"/>
        </w:rPr>
        <w:t>法律法规</w:t>
      </w:r>
      <w:r>
        <w:rPr>
          <w:rFonts w:hint="eastAsia"/>
        </w:rPr>
        <w:t>的规定或被有关主管机关认定为假冒伪劣品，则乙方中标资格将被取消；甲方还将按照有关</w:t>
      </w:r>
      <w:r>
        <w:rPr>
          <w:rFonts w:hint="eastAsia"/>
          <w:lang w:eastAsia="zh-CN"/>
        </w:rPr>
        <w:t>法律法规</w:t>
      </w:r>
      <w:r>
        <w:rPr>
          <w:rFonts w:hint="eastAsia"/>
        </w:rPr>
        <w:t>和规章的规定进行处理。</w:t>
      </w:r>
    </w:p>
    <w:p w14:paraId="52523A08">
      <w:pPr>
        <w:autoSpaceDE w:val="0"/>
        <w:autoSpaceDN w:val="0"/>
        <w:adjustRightInd w:val="0"/>
        <w:spacing w:line="360" w:lineRule="auto"/>
        <w:contextualSpacing/>
        <w:rPr>
          <w:rFonts w:hint="eastAsia"/>
        </w:rPr>
      </w:pPr>
      <w:r>
        <w:rPr>
          <w:rFonts w:hint="eastAsia"/>
          <w:lang w:val="en-US" w:eastAsia="zh-CN"/>
        </w:rPr>
        <w:t xml:space="preserve">7.3 </w:t>
      </w:r>
      <w:r>
        <w:rPr>
          <w:rFonts w:hint="eastAsia"/>
        </w:rPr>
        <w:t>本</w:t>
      </w:r>
      <w:r>
        <w:rPr>
          <w:rFonts w:hint="eastAsia"/>
          <w:lang w:eastAsia="zh-CN"/>
        </w:rPr>
        <w:t>项目</w:t>
      </w:r>
      <w:r>
        <w:rPr>
          <w:rFonts w:hint="eastAsia"/>
        </w:rPr>
        <w:t>所开发的软件产品其著作权归甲方所有。</w:t>
      </w:r>
    </w:p>
    <w:p w14:paraId="3E9E5717">
      <w:pPr>
        <w:autoSpaceDE w:val="0"/>
        <w:autoSpaceDN w:val="0"/>
        <w:adjustRightInd w:val="0"/>
        <w:spacing w:line="360" w:lineRule="auto"/>
        <w:contextualSpacing/>
        <w:rPr>
          <w:rFonts w:hint="eastAsia"/>
        </w:rPr>
      </w:pPr>
      <w:r>
        <w:rPr>
          <w:rFonts w:hint="eastAsia"/>
          <w:lang w:val="en-US" w:eastAsia="zh-CN"/>
        </w:rPr>
        <w:t>8</w:t>
      </w:r>
      <w:r>
        <w:rPr>
          <w:rFonts w:hint="eastAsia"/>
        </w:rPr>
        <w:t>、解决争议的方法</w:t>
      </w:r>
    </w:p>
    <w:p w14:paraId="4B2609E9">
      <w:pPr>
        <w:autoSpaceDE w:val="0"/>
        <w:autoSpaceDN w:val="0"/>
        <w:adjustRightInd w:val="0"/>
        <w:spacing w:line="360" w:lineRule="auto"/>
        <w:contextualSpacing/>
        <w:rPr>
          <w:rFonts w:hint="eastAsia"/>
        </w:rPr>
      </w:pPr>
      <w:r>
        <w:rPr>
          <w:rFonts w:hint="eastAsia"/>
          <w:lang w:val="en-US" w:eastAsia="zh-CN"/>
        </w:rPr>
        <w:t>8</w:t>
      </w:r>
      <w:r>
        <w:rPr>
          <w:rFonts w:hint="eastAsia"/>
        </w:rPr>
        <w:t>.1 甲、乙双方协商解决。</w:t>
      </w:r>
    </w:p>
    <w:p w14:paraId="51A5EFB6">
      <w:pPr>
        <w:autoSpaceDE w:val="0"/>
        <w:autoSpaceDN w:val="0"/>
        <w:adjustRightInd w:val="0"/>
        <w:spacing w:line="360" w:lineRule="auto"/>
        <w:contextualSpacing/>
        <w:rPr>
          <w:rFonts w:hint="eastAsia"/>
        </w:rPr>
      </w:pPr>
      <w:r>
        <w:rPr>
          <w:rFonts w:hint="eastAsia"/>
          <w:lang w:val="en-US" w:eastAsia="zh-CN"/>
        </w:rPr>
        <w:t>8</w:t>
      </w:r>
      <w:r>
        <w:rPr>
          <w:rFonts w:hint="eastAsia"/>
        </w:rPr>
        <w:t>.2 若协商解决不成，则通过向人民法院提起诉讼解决，具体如下：如协商不成，可向甲方</w:t>
      </w:r>
    </w:p>
    <w:p w14:paraId="715AE015">
      <w:pPr>
        <w:autoSpaceDE w:val="0"/>
        <w:autoSpaceDN w:val="0"/>
        <w:adjustRightInd w:val="0"/>
        <w:spacing w:line="360" w:lineRule="auto"/>
        <w:contextualSpacing/>
        <w:rPr>
          <w:rFonts w:hint="eastAsia"/>
        </w:rPr>
      </w:pPr>
      <w:r>
        <w:rPr>
          <w:rFonts w:hint="eastAsia"/>
        </w:rPr>
        <w:t>所在地人民法院起诉。</w:t>
      </w:r>
    </w:p>
    <w:p w14:paraId="24421617">
      <w:pPr>
        <w:autoSpaceDE w:val="0"/>
        <w:autoSpaceDN w:val="0"/>
        <w:adjustRightInd w:val="0"/>
        <w:spacing w:line="360" w:lineRule="auto"/>
        <w:contextualSpacing/>
        <w:rPr>
          <w:rFonts w:hint="eastAsia"/>
        </w:rPr>
      </w:pPr>
      <w:r>
        <w:rPr>
          <w:rFonts w:hint="eastAsia"/>
          <w:lang w:val="en-US" w:eastAsia="zh-CN"/>
        </w:rPr>
        <w:t>9</w:t>
      </w:r>
      <w:r>
        <w:rPr>
          <w:rFonts w:hint="eastAsia"/>
        </w:rPr>
        <w:t>、不可抗力</w:t>
      </w:r>
    </w:p>
    <w:p w14:paraId="17A7C017">
      <w:pPr>
        <w:autoSpaceDE w:val="0"/>
        <w:autoSpaceDN w:val="0"/>
        <w:adjustRightInd w:val="0"/>
        <w:spacing w:line="360" w:lineRule="auto"/>
        <w:contextualSpacing/>
        <w:rPr>
          <w:rFonts w:hint="eastAsia"/>
        </w:rPr>
      </w:pPr>
      <w:r>
        <w:rPr>
          <w:rFonts w:hint="eastAsia"/>
          <w:lang w:val="en-US" w:eastAsia="zh-CN"/>
        </w:rPr>
        <w:t>9</w:t>
      </w:r>
      <w:r>
        <w:rPr>
          <w:rFonts w:hint="eastAsia"/>
        </w:rPr>
        <w:t>.1 因不可抗力造成违约的，遭受不可抗力一方应及时向对方通报不能履行或不能完全履行的理由，并在随后取得有关主管机关证明后的 15 日内向另一方提供不可抗力发生及持续期间的充分证据，逾期提供不适用该条款。基于以上行为，允许遭受不可抗</w:t>
      </w:r>
      <w:r>
        <w:rPr>
          <w:rFonts w:hint="eastAsia"/>
          <w:lang w:eastAsia="zh-CN"/>
        </w:rPr>
        <w:t>力的</w:t>
      </w:r>
      <w:r>
        <w:rPr>
          <w:rFonts w:hint="eastAsia"/>
        </w:rPr>
        <w:t>一方延期履行、部分履行或不履行合同，并根据情况可部分或全部免于承担违约责任。</w:t>
      </w:r>
    </w:p>
    <w:p w14:paraId="53EE539C">
      <w:pPr>
        <w:autoSpaceDE w:val="0"/>
        <w:autoSpaceDN w:val="0"/>
        <w:adjustRightInd w:val="0"/>
        <w:spacing w:line="360" w:lineRule="auto"/>
        <w:contextualSpacing/>
        <w:rPr>
          <w:rFonts w:hint="eastAsia"/>
        </w:rPr>
      </w:pPr>
      <w:r>
        <w:rPr>
          <w:rFonts w:hint="eastAsia"/>
          <w:lang w:val="en-US" w:eastAsia="zh-CN"/>
        </w:rPr>
        <w:t>9</w:t>
      </w:r>
      <w:r>
        <w:rPr>
          <w:rFonts w:hint="eastAsia"/>
        </w:rPr>
        <w:t>.2 本合同中的不可抗力指不能预见、不能避免、不能克服的客观情况，包括但不限于：自然灾害如地震、台风、洪水、火灾及政府行为、法律规定或其适用的变化或其他任何无法预见、避免或控制的事件。</w:t>
      </w:r>
    </w:p>
    <w:p w14:paraId="62622523">
      <w:pPr>
        <w:autoSpaceDE w:val="0"/>
        <w:autoSpaceDN w:val="0"/>
        <w:adjustRightInd w:val="0"/>
        <w:spacing w:line="360" w:lineRule="auto"/>
        <w:contextualSpacing/>
        <w:rPr>
          <w:rFonts w:hint="eastAsia"/>
        </w:rPr>
      </w:pPr>
      <w:r>
        <w:rPr>
          <w:rFonts w:hint="eastAsia"/>
          <w:lang w:val="en-US" w:eastAsia="zh-CN"/>
        </w:rPr>
        <w:t>10</w:t>
      </w:r>
      <w:r>
        <w:rPr>
          <w:rFonts w:hint="eastAsia"/>
        </w:rPr>
        <w:t>、合同条款</w:t>
      </w:r>
    </w:p>
    <w:p w14:paraId="05826B82">
      <w:pPr>
        <w:autoSpaceDE w:val="0"/>
        <w:autoSpaceDN w:val="0"/>
        <w:adjustRightInd w:val="0"/>
        <w:spacing w:line="360" w:lineRule="auto"/>
        <w:contextualSpacing/>
        <w:rPr>
          <w:rFonts w:hint="eastAsia"/>
          <w:u w:val="single"/>
        </w:rPr>
      </w:pPr>
      <w:r>
        <w:rPr>
          <w:rFonts w:hint="eastAsia"/>
          <w:lang w:val="en-US" w:eastAsia="zh-CN"/>
        </w:rPr>
        <w:t>10</w:t>
      </w:r>
      <w:r>
        <w:rPr>
          <w:rFonts w:hint="eastAsia"/>
        </w:rPr>
        <w:t>.1：质量鉴定：</w:t>
      </w:r>
      <w:r>
        <w:rPr>
          <w:rFonts w:hint="eastAsia"/>
          <w:lang w:val="en-US" w:eastAsia="zh-CN"/>
        </w:rPr>
        <w:t xml:space="preserve"> </w:t>
      </w:r>
      <w:r>
        <w:rPr>
          <w:rFonts w:hint="eastAsia"/>
          <w:u w:val="single"/>
          <w:lang w:val="en-US" w:eastAsia="zh-CN"/>
        </w:rPr>
        <w:t xml:space="preserve">                    </w:t>
      </w:r>
      <w:r>
        <w:rPr>
          <w:rFonts w:hint="eastAsia"/>
          <w:u w:val="single"/>
        </w:rPr>
        <w:t>。</w:t>
      </w:r>
    </w:p>
    <w:p w14:paraId="482012DA">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、其他约定</w:t>
      </w:r>
    </w:p>
    <w:p w14:paraId="541ECC6D">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.1 合同文件与本合同具有同等法律效力。</w:t>
      </w:r>
    </w:p>
    <w:p w14:paraId="54313AE3">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.2 本合同未尽事宜，双方可另行补充。</w:t>
      </w:r>
    </w:p>
    <w:p w14:paraId="59F2F195">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.3 合同生效：自签订之日起生效。</w:t>
      </w:r>
    </w:p>
    <w:p w14:paraId="594FB472">
      <w:pPr>
        <w:autoSpaceDE w:val="0"/>
        <w:autoSpaceDN w:val="0"/>
        <w:adjustRightInd w:val="0"/>
        <w:spacing w:line="360" w:lineRule="auto"/>
        <w:ind w:left="630" w:hanging="630" w:hangingChars="300"/>
        <w:contextualSpacing/>
        <w:rPr>
          <w:rFonts w:hint="eastAsia"/>
        </w:rPr>
      </w:pPr>
      <w:r>
        <w:rPr>
          <w:rFonts w:hint="eastAsia"/>
        </w:rPr>
        <w:t>1</w:t>
      </w:r>
      <w:r>
        <w:rPr>
          <w:rFonts w:hint="eastAsia"/>
          <w:lang w:val="en-US" w:eastAsia="zh-CN"/>
        </w:rPr>
        <w:t>1</w:t>
      </w:r>
      <w:r>
        <w:rPr>
          <w:rFonts w:hint="eastAsia"/>
        </w:rPr>
        <w:t>.4 本合同生效文本一式</w:t>
      </w:r>
      <w:r>
        <w:rPr>
          <w:rFonts w:hint="eastAsia"/>
          <w:u w:val="single"/>
          <w:lang w:val="en-US" w:eastAsia="zh-CN"/>
        </w:rPr>
        <w:t xml:space="preserve">    </w:t>
      </w:r>
      <w:r>
        <w:rPr>
          <w:rFonts w:hint="eastAsia"/>
        </w:rPr>
        <w:t>份，经双方法定代表人或者委托代理人签字并盖章后生效。</w:t>
      </w:r>
    </w:p>
    <w:p w14:paraId="0AB43CEC">
      <w:pPr>
        <w:autoSpaceDE w:val="0"/>
        <w:autoSpaceDN w:val="0"/>
        <w:adjustRightInd w:val="0"/>
        <w:spacing w:line="360" w:lineRule="auto"/>
        <w:ind w:left="630" w:hanging="630" w:hangingChars="300"/>
        <w:contextualSpacing/>
        <w:rPr>
          <w:rFonts w:hint="eastAsia"/>
        </w:rPr>
      </w:pPr>
      <w:r>
        <w:rPr>
          <w:rFonts w:hint="eastAsia"/>
        </w:rPr>
        <w:t>甲方、乙方各</w:t>
      </w:r>
      <w:r>
        <w:rPr>
          <w:rFonts w:hint="eastAsia"/>
          <w:u w:val="single"/>
          <w:lang w:val="en-US" w:eastAsia="zh-CN"/>
        </w:rPr>
        <w:t xml:space="preserve">         </w:t>
      </w:r>
      <w:r>
        <w:rPr>
          <w:rFonts w:hint="eastAsia"/>
        </w:rPr>
        <w:t>份，送长葛市财政局采购办备案 1 份，具有同等效力。</w:t>
      </w:r>
    </w:p>
    <w:p w14:paraId="5C2A67FD">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.5 其他：</w:t>
      </w:r>
      <w:r>
        <w:rPr>
          <w:rFonts w:hint="eastAsia"/>
          <w:u w:val="single"/>
        </w:rPr>
        <w:t xml:space="preserve">      </w:t>
      </w:r>
      <w:r>
        <w:rPr>
          <w:rFonts w:hint="eastAsia"/>
        </w:rPr>
        <w:t>。□（按照实际情况编制填写需要增加的内容）。</w:t>
      </w:r>
    </w:p>
    <w:p w14:paraId="7616F207">
      <w:pPr>
        <w:autoSpaceDE w:val="0"/>
        <w:autoSpaceDN w:val="0"/>
        <w:adjustRightInd w:val="0"/>
        <w:spacing w:line="360" w:lineRule="auto"/>
        <w:contextualSpacing/>
        <w:rPr>
          <w:rFonts w:hint="eastAsia"/>
        </w:rPr>
      </w:pPr>
      <w:r>
        <w:rPr>
          <w:rFonts w:hint="eastAsia"/>
        </w:rPr>
        <w:t>甲方：                                                乙方：</w:t>
      </w:r>
    </w:p>
    <w:p w14:paraId="7AE27C26">
      <w:pPr>
        <w:autoSpaceDE w:val="0"/>
        <w:autoSpaceDN w:val="0"/>
        <w:adjustRightInd w:val="0"/>
        <w:spacing w:line="360" w:lineRule="auto"/>
        <w:contextualSpacing/>
        <w:rPr>
          <w:rFonts w:hint="eastAsia"/>
        </w:rPr>
      </w:pPr>
      <w:r>
        <w:rPr>
          <w:rFonts w:hint="eastAsia"/>
        </w:rPr>
        <w:t>地址：                                                地址：</w:t>
      </w:r>
    </w:p>
    <w:p w14:paraId="7DFD57D0">
      <w:pPr>
        <w:autoSpaceDE w:val="0"/>
        <w:autoSpaceDN w:val="0"/>
        <w:adjustRightInd w:val="0"/>
        <w:spacing w:line="360" w:lineRule="auto"/>
        <w:contextualSpacing/>
        <w:rPr>
          <w:rFonts w:hint="eastAsia"/>
        </w:rPr>
      </w:pPr>
      <w:r>
        <w:rPr>
          <w:rFonts w:hint="eastAsia"/>
        </w:rPr>
        <w:t>法定代表人或委托代理人：                              法定代表人或委托代理人：</w:t>
      </w:r>
    </w:p>
    <w:p w14:paraId="20BA895B">
      <w:pPr>
        <w:autoSpaceDE w:val="0"/>
        <w:autoSpaceDN w:val="0"/>
        <w:adjustRightInd w:val="0"/>
        <w:spacing w:line="360" w:lineRule="auto"/>
        <w:contextualSpacing/>
        <w:rPr>
          <w:rFonts w:hint="eastAsia"/>
        </w:rPr>
      </w:pPr>
      <w:r>
        <w:rPr>
          <w:rFonts w:hint="eastAsia"/>
        </w:rPr>
        <w:t>联系方法：                                            联系方法：</w:t>
      </w:r>
    </w:p>
    <w:p w14:paraId="1BDA5232">
      <w:pPr>
        <w:autoSpaceDE w:val="0"/>
        <w:autoSpaceDN w:val="0"/>
        <w:adjustRightInd w:val="0"/>
        <w:spacing w:line="360" w:lineRule="auto"/>
        <w:contextualSpacing/>
        <w:rPr>
          <w:rFonts w:hint="eastAsia"/>
        </w:rPr>
      </w:pPr>
      <w:r>
        <w:rPr>
          <w:rFonts w:hint="eastAsia"/>
        </w:rPr>
        <w:t>开户银行：                                            开户银行：</w:t>
      </w:r>
    </w:p>
    <w:p w14:paraId="04832368">
      <w:pPr>
        <w:autoSpaceDE w:val="0"/>
        <w:autoSpaceDN w:val="0"/>
        <w:adjustRightInd w:val="0"/>
        <w:spacing w:line="360" w:lineRule="auto"/>
        <w:contextualSpacing/>
        <w:rPr>
          <w:rFonts w:hint="eastAsia"/>
        </w:rPr>
      </w:pPr>
      <w:r>
        <w:rPr>
          <w:rFonts w:hint="eastAsia"/>
        </w:rPr>
        <w:t>账号：                                                账号：</w:t>
      </w:r>
    </w:p>
    <w:p w14:paraId="04F300DD">
      <w:pPr>
        <w:autoSpaceDE w:val="0"/>
        <w:autoSpaceDN w:val="0"/>
        <w:adjustRightInd w:val="0"/>
        <w:spacing w:line="360" w:lineRule="auto"/>
        <w:contextualSpacing/>
        <w:rPr>
          <w:u w:val="single"/>
        </w:rPr>
      </w:pPr>
      <w:r>
        <w:rPr>
          <w:rFonts w:hint="eastAsia"/>
        </w:rPr>
        <w:t>签订地点：</w:t>
      </w:r>
      <w:r>
        <w:rPr>
          <w:rFonts w:hint="eastAsia"/>
          <w:u w:val="single"/>
        </w:rPr>
        <w:t xml:space="preserve">                            </w:t>
      </w:r>
    </w:p>
    <w:p w14:paraId="1E54BF28">
      <w:pPr>
        <w:autoSpaceDE w:val="0"/>
        <w:autoSpaceDN w:val="0"/>
        <w:adjustRightInd w:val="0"/>
        <w:spacing w:line="360" w:lineRule="auto"/>
        <w:contextualSpacing/>
        <w:rPr>
          <w:rFonts w:hint="eastAsia" w:ascii="宋体"/>
          <w:b/>
          <w:kern w:val="0"/>
        </w:rPr>
      </w:pPr>
      <w:r>
        <w:rPr>
          <w:rFonts w:hint="eastAsia"/>
        </w:rPr>
        <w:t>签订日期：</w:t>
      </w:r>
      <w:r>
        <w:rPr>
          <w:rFonts w:hint="eastAsia"/>
          <w:u w:val="single"/>
        </w:rPr>
        <w:t xml:space="preserve">     </w:t>
      </w:r>
      <w:r>
        <w:rPr>
          <w:rFonts w:hint="eastAsia"/>
        </w:rPr>
        <w:t xml:space="preserve">年  </w:t>
      </w:r>
      <w:r>
        <w:rPr>
          <w:rFonts w:hint="eastAsia"/>
          <w:u w:val="single"/>
        </w:rPr>
        <w:t xml:space="preserve">     </w:t>
      </w:r>
      <w:r>
        <w:rPr>
          <w:rFonts w:hint="eastAsia"/>
        </w:rPr>
        <w:t xml:space="preserve">月 </w:t>
      </w:r>
      <w:r>
        <w:rPr>
          <w:rFonts w:hint="eastAsia"/>
          <w:u w:val="single"/>
        </w:rPr>
        <w:t xml:space="preserve">      </w:t>
      </w:r>
      <w:r>
        <w:rPr>
          <w:rFonts w:hint="eastAsia"/>
        </w:rPr>
        <w:t xml:space="preserve"> 日</w:t>
      </w:r>
    </w:p>
    <w:p w14:paraId="5C7473BE">
      <w:pPr>
        <w:tabs>
          <w:tab w:val="left" w:pos="1260"/>
        </w:tabs>
        <w:autoSpaceDE w:val="0"/>
        <w:autoSpaceDN w:val="0"/>
        <w:adjustRightInd w:val="0"/>
        <w:spacing w:line="360" w:lineRule="auto"/>
        <w:contextualSpacing/>
        <w:jc w:val="center"/>
        <w:rPr>
          <w:rFonts w:hint="eastAsia" w:ascii="宋体" w:cs="宋体"/>
          <w:b/>
          <w:kern w:val="0"/>
          <w:lang w:bidi="ar-SA"/>
        </w:rPr>
      </w:pPr>
    </w:p>
    <w:p w14:paraId="2E2FA2F5">
      <w:pPr>
        <w:tabs>
          <w:tab w:val="left" w:pos="1260"/>
        </w:tabs>
        <w:autoSpaceDE w:val="0"/>
        <w:autoSpaceDN w:val="0"/>
        <w:adjustRightInd w:val="0"/>
        <w:spacing w:line="360" w:lineRule="auto"/>
        <w:contextualSpacing/>
        <w:jc w:val="center"/>
        <w:rPr>
          <w:rFonts w:hint="eastAsia" w:ascii="宋体" w:cs="宋体"/>
          <w:b/>
          <w:kern w:val="0"/>
          <w:lang w:bidi="ar-SA"/>
        </w:rPr>
      </w:pPr>
    </w:p>
    <w:p w14:paraId="19E7EB7E">
      <w:pPr>
        <w:tabs>
          <w:tab w:val="left" w:pos="1260"/>
        </w:tabs>
        <w:autoSpaceDE w:val="0"/>
        <w:autoSpaceDN w:val="0"/>
        <w:adjustRightInd w:val="0"/>
        <w:spacing w:line="360" w:lineRule="auto"/>
        <w:contextualSpacing/>
        <w:jc w:val="center"/>
        <w:rPr>
          <w:rFonts w:hint="eastAsia" w:ascii="宋体" w:cs="宋体"/>
          <w:b/>
          <w:kern w:val="0"/>
          <w:lang w:bidi="ar-SA"/>
        </w:rPr>
      </w:pPr>
    </w:p>
    <w:p w14:paraId="7FEF3ACF">
      <w:pPr>
        <w:tabs>
          <w:tab w:val="left" w:pos="1260"/>
        </w:tabs>
        <w:autoSpaceDE w:val="0"/>
        <w:autoSpaceDN w:val="0"/>
        <w:adjustRightInd w:val="0"/>
        <w:spacing w:line="360" w:lineRule="auto"/>
        <w:contextualSpacing/>
        <w:jc w:val="center"/>
        <w:rPr>
          <w:rFonts w:hint="eastAsia" w:ascii="宋体" w:cs="宋体"/>
          <w:b/>
          <w:kern w:val="0"/>
          <w:lang w:bidi="ar-SA"/>
        </w:rPr>
      </w:pPr>
    </w:p>
    <w:p w14:paraId="72ACDD10">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0609BA16">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68A2B143">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56E446D2">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6A3E46B5">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09D027D8">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4E6C12A0">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2365F377">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2EDCFF8D">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5FB2BD4B">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12A99260">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49FB66DE">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6BF3E538">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7D05ED3D">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1E2F52A0">
      <w:pPr>
        <w:tabs>
          <w:tab w:val="left" w:pos="1260"/>
        </w:tabs>
        <w:autoSpaceDE w:val="0"/>
        <w:autoSpaceDN w:val="0"/>
        <w:adjustRightInd w:val="0"/>
        <w:spacing w:line="360" w:lineRule="auto"/>
        <w:contextualSpacing/>
        <w:rPr>
          <w:rFonts w:hint="eastAsia" w:ascii="宋体" w:cs="宋体"/>
          <w:b/>
          <w:kern w:val="0"/>
          <w:sz w:val="28"/>
          <w:szCs w:val="28"/>
          <w:lang w:bidi="ar-SA"/>
        </w:rPr>
      </w:pPr>
    </w:p>
    <w:p w14:paraId="6594F606">
      <w:pPr>
        <w:tabs>
          <w:tab w:val="left" w:pos="1260"/>
        </w:tabs>
        <w:autoSpaceDE w:val="0"/>
        <w:autoSpaceDN w:val="0"/>
        <w:adjustRightInd w:val="0"/>
        <w:spacing w:line="360" w:lineRule="auto"/>
        <w:contextualSpacing/>
        <w:jc w:val="center"/>
        <w:rPr>
          <w:rFonts w:hint="eastAsia" w:ascii="宋体" w:cs="宋体"/>
          <w:b/>
          <w:kern w:val="0"/>
          <w:sz w:val="24"/>
          <w:szCs w:val="24"/>
          <w:lang w:bidi="ar-SA"/>
        </w:rPr>
      </w:pPr>
      <w:r>
        <w:rPr>
          <w:rFonts w:hint="eastAsia" w:ascii="宋体" w:cs="宋体"/>
          <w:b/>
          <w:kern w:val="0"/>
          <w:sz w:val="24"/>
          <w:szCs w:val="24"/>
          <w:lang w:bidi="ar-SA"/>
        </w:rPr>
        <w:t>第八章 投标文件有关格式</w:t>
      </w:r>
    </w:p>
    <w:p w14:paraId="0E0A613A">
      <w:pPr>
        <w:spacing w:line="360" w:lineRule="auto"/>
        <w:rPr>
          <w:rFonts w:hint="eastAsia" w:ascii="宋体" w:cs="黑体"/>
          <w:b/>
          <w:bCs/>
          <w:sz w:val="24"/>
          <w:szCs w:val="24"/>
          <w:lang w:val="zh-CN" w:eastAsia="zh-CN" w:bidi="ar-SA"/>
        </w:rPr>
      </w:pPr>
      <w:r>
        <w:rPr>
          <w:rFonts w:hint="eastAsia" w:ascii="宋体" w:cs="宋体"/>
          <w:b/>
          <w:sz w:val="24"/>
          <w:szCs w:val="24"/>
          <w:lang w:bidi="ar-SA"/>
        </w:rPr>
        <w:t xml:space="preserve">             </w:t>
      </w:r>
    </w:p>
    <w:p w14:paraId="503014F7">
      <w:pPr>
        <w:pStyle w:val="26"/>
        <w:tabs>
          <w:tab w:val="left" w:pos="660"/>
        </w:tabs>
        <w:adjustRightInd w:val="0"/>
        <w:snapToGrid w:val="0"/>
        <w:spacing w:before="0" w:line="400" w:lineRule="exact"/>
        <w:rPr>
          <w:rFonts w:cs="黑体"/>
          <w:color w:val="auto"/>
          <w:kern w:val="2"/>
          <w:sz w:val="24"/>
          <w:szCs w:val="24"/>
          <w:lang w:val="zh-CN" w:eastAsia="zh-CN" w:bidi="ar-SA"/>
        </w:rPr>
      </w:pPr>
      <w:bookmarkStart w:id="32" w:name="_Toc186274126"/>
      <w:bookmarkStart w:id="33" w:name="_Toc174185203"/>
      <w:bookmarkStart w:id="34" w:name="_Toc184023138"/>
      <w:r>
        <w:rPr>
          <w:rFonts w:hint="eastAsia" w:cs="黑体"/>
          <w:color w:val="auto"/>
          <w:kern w:val="2"/>
          <w:sz w:val="24"/>
          <w:szCs w:val="24"/>
          <w:lang w:val="zh-CN" w:eastAsia="zh-CN" w:bidi="ar-SA"/>
        </w:rPr>
        <w:t>一、投标人应答索引表</w:t>
      </w:r>
      <w:bookmarkEnd w:id="32"/>
      <w:bookmarkEnd w:id="33"/>
      <w:bookmarkEnd w:id="34"/>
    </w:p>
    <w:tbl>
      <w:tblPr>
        <w:tblStyle w:val="19"/>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4335"/>
        <w:gridCol w:w="1597"/>
        <w:gridCol w:w="1468"/>
        <w:gridCol w:w="1488"/>
      </w:tblGrid>
      <w:tr w14:paraId="65E2D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noWrap w:val="0"/>
            <w:vAlign w:val="center"/>
          </w:tcPr>
          <w:p w14:paraId="14674E63">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序号</w:t>
            </w:r>
          </w:p>
        </w:tc>
        <w:tc>
          <w:tcPr>
            <w:tcW w:w="4335" w:type="dxa"/>
            <w:noWrap w:val="0"/>
            <w:vAlign w:val="center"/>
          </w:tcPr>
          <w:p w14:paraId="1D44682F">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项  目</w:t>
            </w:r>
          </w:p>
        </w:tc>
        <w:tc>
          <w:tcPr>
            <w:tcW w:w="1597" w:type="dxa"/>
            <w:noWrap w:val="0"/>
            <w:vAlign w:val="center"/>
          </w:tcPr>
          <w:p w14:paraId="6F5F856F">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投标人应答</w:t>
            </w:r>
          </w:p>
          <w:p w14:paraId="23073F77">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（有/没有）</w:t>
            </w:r>
          </w:p>
        </w:tc>
        <w:tc>
          <w:tcPr>
            <w:tcW w:w="1468" w:type="dxa"/>
            <w:noWrap w:val="0"/>
            <w:vAlign w:val="center"/>
          </w:tcPr>
          <w:p w14:paraId="331E6DA2">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投标文件中所在页码</w:t>
            </w:r>
          </w:p>
        </w:tc>
        <w:tc>
          <w:tcPr>
            <w:tcW w:w="1488" w:type="dxa"/>
            <w:noWrap w:val="0"/>
            <w:vAlign w:val="center"/>
          </w:tcPr>
          <w:p w14:paraId="375941C6">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备注说明</w:t>
            </w:r>
          </w:p>
        </w:tc>
      </w:tr>
      <w:tr w14:paraId="7B42E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14:paraId="09FFEDAF">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r>
              <w:rPr>
                <w:rFonts w:hint="eastAsia" w:ascii="宋体" w:cs="宋体"/>
                <w:b w:val="0"/>
                <w:bCs/>
                <w:kern w:val="0"/>
                <w:sz w:val="24"/>
                <w:szCs w:val="24"/>
                <w:lang w:bidi="ar-SA"/>
              </w:rPr>
              <w:t>1</w:t>
            </w:r>
          </w:p>
        </w:tc>
        <w:tc>
          <w:tcPr>
            <w:tcW w:w="4335" w:type="dxa"/>
            <w:noWrap w:val="0"/>
            <w:vAlign w:val="center"/>
          </w:tcPr>
          <w:p w14:paraId="259D058B">
            <w:pPr>
              <w:tabs>
                <w:tab w:val="left" w:pos="1260"/>
              </w:tabs>
              <w:autoSpaceDE w:val="0"/>
              <w:autoSpaceDN w:val="0"/>
              <w:adjustRightInd w:val="0"/>
              <w:spacing w:line="360" w:lineRule="auto"/>
              <w:contextualSpacing/>
              <w:jc w:val="left"/>
              <w:rPr>
                <w:rFonts w:hint="eastAsia" w:ascii="宋体" w:cs="宋体"/>
                <w:b w:val="0"/>
                <w:bCs/>
                <w:kern w:val="0"/>
                <w:sz w:val="24"/>
                <w:szCs w:val="24"/>
                <w:lang w:bidi="ar-SA"/>
              </w:rPr>
            </w:pPr>
            <w:r>
              <w:rPr>
                <w:rFonts w:hint="eastAsia" w:ascii="宋体" w:cs="宋体"/>
                <w:b w:val="0"/>
                <w:bCs/>
                <w:kern w:val="0"/>
                <w:sz w:val="24"/>
                <w:szCs w:val="24"/>
                <w:lang w:bidi="ar-SA"/>
              </w:rPr>
              <w:t>投标人应答索引表</w:t>
            </w:r>
          </w:p>
        </w:tc>
        <w:tc>
          <w:tcPr>
            <w:tcW w:w="1597" w:type="dxa"/>
            <w:noWrap w:val="0"/>
            <w:vAlign w:val="center"/>
          </w:tcPr>
          <w:p w14:paraId="42AABB6A">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68" w:type="dxa"/>
            <w:noWrap w:val="0"/>
            <w:vAlign w:val="center"/>
          </w:tcPr>
          <w:p w14:paraId="4122AE26">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88" w:type="dxa"/>
            <w:noWrap w:val="0"/>
            <w:vAlign w:val="center"/>
          </w:tcPr>
          <w:p w14:paraId="78CC3B0D">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r>
      <w:tr w14:paraId="2DA64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14:paraId="0DEA8342">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r>
              <w:rPr>
                <w:rFonts w:hint="eastAsia" w:ascii="宋体" w:cs="宋体"/>
                <w:b w:val="0"/>
                <w:bCs/>
                <w:kern w:val="0"/>
                <w:sz w:val="24"/>
                <w:szCs w:val="24"/>
                <w:lang w:bidi="ar-SA"/>
              </w:rPr>
              <w:t>2</w:t>
            </w:r>
          </w:p>
        </w:tc>
        <w:tc>
          <w:tcPr>
            <w:tcW w:w="4335" w:type="dxa"/>
            <w:noWrap w:val="0"/>
            <w:vAlign w:val="center"/>
          </w:tcPr>
          <w:p w14:paraId="378EDA6E">
            <w:pPr>
              <w:tabs>
                <w:tab w:val="left" w:pos="1260"/>
              </w:tabs>
              <w:autoSpaceDE w:val="0"/>
              <w:autoSpaceDN w:val="0"/>
              <w:adjustRightInd w:val="0"/>
              <w:spacing w:line="360" w:lineRule="auto"/>
              <w:contextualSpacing/>
              <w:jc w:val="left"/>
              <w:rPr>
                <w:rFonts w:hint="eastAsia" w:ascii="宋体" w:cs="宋体"/>
                <w:b w:val="0"/>
                <w:bCs/>
                <w:kern w:val="0"/>
                <w:sz w:val="24"/>
                <w:szCs w:val="24"/>
                <w:lang w:bidi="ar-SA"/>
              </w:rPr>
            </w:pPr>
            <w:r>
              <w:rPr>
                <w:rFonts w:hint="eastAsia" w:ascii="宋体" w:cs="宋体"/>
                <w:b w:val="0"/>
                <w:bCs/>
                <w:kern w:val="0"/>
                <w:sz w:val="24"/>
                <w:szCs w:val="24"/>
                <w:lang w:bidi="ar-SA"/>
              </w:rPr>
              <w:t>开标一览表</w:t>
            </w:r>
          </w:p>
        </w:tc>
        <w:tc>
          <w:tcPr>
            <w:tcW w:w="1597" w:type="dxa"/>
            <w:noWrap w:val="0"/>
            <w:vAlign w:val="center"/>
          </w:tcPr>
          <w:p w14:paraId="7A40B911">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68" w:type="dxa"/>
            <w:noWrap w:val="0"/>
            <w:vAlign w:val="center"/>
          </w:tcPr>
          <w:p w14:paraId="26B41CC5">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88" w:type="dxa"/>
            <w:noWrap w:val="0"/>
            <w:vAlign w:val="center"/>
          </w:tcPr>
          <w:p w14:paraId="2A8870AE">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r>
      <w:tr w14:paraId="53529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14:paraId="1A149FB2">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r>
              <w:rPr>
                <w:rFonts w:hint="eastAsia" w:ascii="宋体" w:cs="宋体"/>
                <w:b w:val="0"/>
                <w:bCs/>
                <w:kern w:val="0"/>
                <w:sz w:val="24"/>
                <w:szCs w:val="24"/>
                <w:lang w:bidi="ar-SA"/>
              </w:rPr>
              <w:t>3</w:t>
            </w:r>
          </w:p>
        </w:tc>
        <w:tc>
          <w:tcPr>
            <w:tcW w:w="4335" w:type="dxa"/>
            <w:noWrap w:val="0"/>
            <w:vAlign w:val="center"/>
          </w:tcPr>
          <w:p w14:paraId="05B17AB4">
            <w:pPr>
              <w:tabs>
                <w:tab w:val="left" w:pos="1260"/>
              </w:tabs>
              <w:autoSpaceDE w:val="0"/>
              <w:autoSpaceDN w:val="0"/>
              <w:adjustRightInd w:val="0"/>
              <w:spacing w:line="360" w:lineRule="auto"/>
              <w:contextualSpacing/>
              <w:jc w:val="left"/>
              <w:rPr>
                <w:rFonts w:hint="eastAsia" w:ascii="宋体" w:cs="宋体"/>
                <w:b w:val="0"/>
                <w:bCs/>
                <w:kern w:val="0"/>
                <w:sz w:val="24"/>
                <w:szCs w:val="24"/>
                <w:lang w:bidi="ar-SA"/>
              </w:rPr>
            </w:pPr>
            <w:r>
              <w:rPr>
                <w:rFonts w:hint="eastAsia" w:ascii="宋体" w:cs="宋体"/>
                <w:b w:val="0"/>
                <w:bCs/>
                <w:kern w:val="0"/>
                <w:sz w:val="24"/>
                <w:szCs w:val="24"/>
                <w:lang w:bidi="ar-SA"/>
              </w:rPr>
              <w:t>投标函</w:t>
            </w:r>
          </w:p>
        </w:tc>
        <w:tc>
          <w:tcPr>
            <w:tcW w:w="1597" w:type="dxa"/>
            <w:noWrap w:val="0"/>
            <w:vAlign w:val="center"/>
          </w:tcPr>
          <w:p w14:paraId="1FC52C01">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68" w:type="dxa"/>
            <w:noWrap w:val="0"/>
            <w:vAlign w:val="center"/>
          </w:tcPr>
          <w:p w14:paraId="5511AF96">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88" w:type="dxa"/>
            <w:noWrap w:val="0"/>
            <w:vAlign w:val="center"/>
          </w:tcPr>
          <w:p w14:paraId="485B669A">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r>
      <w:tr w14:paraId="023F7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0" w:hRule="exact"/>
        </w:trPr>
        <w:tc>
          <w:tcPr>
            <w:tcW w:w="468" w:type="dxa"/>
            <w:noWrap w:val="0"/>
            <w:vAlign w:val="center"/>
          </w:tcPr>
          <w:p w14:paraId="277551D3">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r>
              <w:rPr>
                <w:rFonts w:hint="eastAsia" w:ascii="宋体" w:cs="宋体"/>
                <w:b w:val="0"/>
                <w:bCs/>
                <w:kern w:val="0"/>
                <w:sz w:val="24"/>
                <w:szCs w:val="24"/>
                <w:lang w:bidi="ar-SA"/>
              </w:rPr>
              <w:t>4</w:t>
            </w:r>
          </w:p>
        </w:tc>
        <w:tc>
          <w:tcPr>
            <w:tcW w:w="4335" w:type="dxa"/>
            <w:noWrap w:val="0"/>
            <w:vAlign w:val="center"/>
          </w:tcPr>
          <w:p w14:paraId="45A710E6">
            <w:pPr>
              <w:tabs>
                <w:tab w:val="left" w:pos="1260"/>
              </w:tabs>
              <w:autoSpaceDE w:val="0"/>
              <w:autoSpaceDN w:val="0"/>
              <w:adjustRightInd w:val="0"/>
              <w:spacing w:line="360" w:lineRule="auto"/>
              <w:contextualSpacing/>
              <w:jc w:val="left"/>
              <w:rPr>
                <w:rFonts w:hint="eastAsia" w:ascii="宋体" w:cs="宋体"/>
                <w:b w:val="0"/>
                <w:bCs/>
                <w:kern w:val="0"/>
                <w:sz w:val="24"/>
                <w:szCs w:val="24"/>
                <w:lang w:bidi="ar-SA"/>
              </w:rPr>
            </w:pPr>
            <w:r>
              <w:rPr>
                <w:rFonts w:hint="eastAsia" w:ascii="宋体" w:cs="宋体"/>
                <w:b w:val="0"/>
                <w:bCs/>
                <w:kern w:val="0"/>
                <w:sz w:val="24"/>
                <w:szCs w:val="24"/>
                <w:lang w:val="zh-CN" w:eastAsia="zh-CN" w:bidi="ar-SA"/>
              </w:rPr>
              <w:t>法定代表人（单位负责人）资格证明书</w:t>
            </w:r>
          </w:p>
        </w:tc>
        <w:tc>
          <w:tcPr>
            <w:tcW w:w="1597" w:type="dxa"/>
            <w:noWrap w:val="0"/>
            <w:vAlign w:val="center"/>
          </w:tcPr>
          <w:p w14:paraId="4748A901">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68" w:type="dxa"/>
            <w:noWrap w:val="0"/>
            <w:vAlign w:val="center"/>
          </w:tcPr>
          <w:p w14:paraId="1687BA42">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88" w:type="dxa"/>
            <w:noWrap w:val="0"/>
            <w:vAlign w:val="center"/>
          </w:tcPr>
          <w:p w14:paraId="0A496613">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r>
      <w:tr w14:paraId="7DE5E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14:paraId="040F7DBF">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r>
              <w:rPr>
                <w:rFonts w:hint="eastAsia" w:ascii="宋体" w:cs="宋体"/>
                <w:b w:val="0"/>
                <w:bCs/>
                <w:kern w:val="0"/>
                <w:sz w:val="24"/>
                <w:szCs w:val="24"/>
                <w:lang w:bidi="ar-SA"/>
              </w:rPr>
              <w:t>5</w:t>
            </w:r>
          </w:p>
        </w:tc>
        <w:tc>
          <w:tcPr>
            <w:tcW w:w="4335" w:type="dxa"/>
            <w:noWrap w:val="0"/>
            <w:vAlign w:val="center"/>
          </w:tcPr>
          <w:p w14:paraId="592F9741">
            <w:pPr>
              <w:tabs>
                <w:tab w:val="left" w:pos="1260"/>
              </w:tabs>
              <w:autoSpaceDE w:val="0"/>
              <w:autoSpaceDN w:val="0"/>
              <w:adjustRightInd w:val="0"/>
              <w:spacing w:line="360" w:lineRule="auto"/>
              <w:contextualSpacing/>
              <w:jc w:val="left"/>
              <w:rPr>
                <w:rFonts w:hint="eastAsia" w:ascii="宋体" w:cs="宋体"/>
                <w:b w:val="0"/>
                <w:bCs/>
                <w:kern w:val="0"/>
                <w:sz w:val="24"/>
                <w:szCs w:val="24"/>
                <w:lang w:bidi="ar-SA"/>
              </w:rPr>
            </w:pPr>
            <w:r>
              <w:rPr>
                <w:rFonts w:hint="eastAsia" w:ascii="宋体" w:cs="宋体"/>
                <w:b w:val="0"/>
                <w:bCs/>
                <w:kern w:val="0"/>
                <w:sz w:val="24"/>
                <w:szCs w:val="24"/>
                <w:lang w:bidi="ar-SA"/>
              </w:rPr>
              <w:t>法定代表人（单位负责人）授权书</w:t>
            </w:r>
          </w:p>
        </w:tc>
        <w:tc>
          <w:tcPr>
            <w:tcW w:w="1597" w:type="dxa"/>
            <w:noWrap w:val="0"/>
            <w:vAlign w:val="center"/>
          </w:tcPr>
          <w:p w14:paraId="631A8300">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68" w:type="dxa"/>
            <w:noWrap w:val="0"/>
            <w:vAlign w:val="center"/>
          </w:tcPr>
          <w:p w14:paraId="4BD7DE96">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88" w:type="dxa"/>
            <w:noWrap w:val="0"/>
            <w:vAlign w:val="center"/>
          </w:tcPr>
          <w:p w14:paraId="2B2BA1DA">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r>
      <w:tr w14:paraId="2825E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14:paraId="71F5E4B7">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r>
              <w:rPr>
                <w:rFonts w:hint="eastAsia" w:ascii="宋体" w:cs="宋体"/>
                <w:b w:val="0"/>
                <w:bCs/>
                <w:kern w:val="0"/>
                <w:sz w:val="24"/>
                <w:szCs w:val="24"/>
                <w:lang w:bidi="ar-SA"/>
              </w:rPr>
              <w:t>6</w:t>
            </w:r>
          </w:p>
        </w:tc>
        <w:tc>
          <w:tcPr>
            <w:tcW w:w="4335" w:type="dxa"/>
            <w:noWrap w:val="0"/>
            <w:vAlign w:val="center"/>
          </w:tcPr>
          <w:p w14:paraId="7DFF978C">
            <w:pPr>
              <w:tabs>
                <w:tab w:val="left" w:pos="1260"/>
              </w:tabs>
              <w:autoSpaceDE w:val="0"/>
              <w:autoSpaceDN w:val="0"/>
              <w:adjustRightInd w:val="0"/>
              <w:spacing w:line="360" w:lineRule="auto"/>
              <w:contextualSpacing/>
              <w:jc w:val="left"/>
              <w:rPr>
                <w:rFonts w:hint="eastAsia" w:ascii="宋体" w:cs="宋体"/>
                <w:b w:val="0"/>
                <w:bCs/>
                <w:kern w:val="0"/>
                <w:sz w:val="24"/>
                <w:szCs w:val="24"/>
                <w:lang w:bidi="ar-SA"/>
              </w:rPr>
            </w:pPr>
            <w:r>
              <w:rPr>
                <w:rFonts w:hint="eastAsia" w:ascii="宋体" w:cs="宋体"/>
                <w:b w:val="0"/>
                <w:bCs/>
                <w:kern w:val="0"/>
                <w:sz w:val="24"/>
                <w:szCs w:val="24"/>
                <w:lang w:val="zh-CN" w:eastAsia="zh-CN" w:bidi="ar-SA"/>
              </w:rPr>
              <w:t>投标承诺函</w:t>
            </w:r>
          </w:p>
        </w:tc>
        <w:tc>
          <w:tcPr>
            <w:tcW w:w="1597" w:type="dxa"/>
            <w:noWrap w:val="0"/>
            <w:vAlign w:val="center"/>
          </w:tcPr>
          <w:p w14:paraId="5476062C">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68" w:type="dxa"/>
            <w:noWrap w:val="0"/>
            <w:vAlign w:val="center"/>
          </w:tcPr>
          <w:p w14:paraId="5BC0C69E">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88" w:type="dxa"/>
            <w:noWrap w:val="0"/>
            <w:vAlign w:val="center"/>
          </w:tcPr>
          <w:p w14:paraId="14F297F9">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r>
      <w:tr w14:paraId="142AF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6BDB0097">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r>
              <w:rPr>
                <w:rFonts w:hint="eastAsia" w:ascii="宋体" w:cs="宋体"/>
                <w:b w:val="0"/>
                <w:bCs/>
                <w:kern w:val="0"/>
                <w:sz w:val="24"/>
                <w:szCs w:val="24"/>
                <w:lang w:bidi="ar-SA"/>
              </w:rPr>
              <w:t>7</w:t>
            </w:r>
          </w:p>
        </w:tc>
        <w:tc>
          <w:tcPr>
            <w:tcW w:w="4335" w:type="dxa"/>
            <w:noWrap w:val="0"/>
            <w:vAlign w:val="center"/>
          </w:tcPr>
          <w:p w14:paraId="304413D2">
            <w:pPr>
              <w:tabs>
                <w:tab w:val="left" w:pos="1260"/>
              </w:tabs>
              <w:autoSpaceDE w:val="0"/>
              <w:autoSpaceDN w:val="0"/>
              <w:adjustRightInd w:val="0"/>
              <w:spacing w:line="360" w:lineRule="auto"/>
              <w:contextualSpacing/>
              <w:jc w:val="left"/>
              <w:rPr>
                <w:rFonts w:hint="eastAsia" w:ascii="宋体" w:cs="宋体"/>
                <w:b w:val="0"/>
                <w:bCs/>
                <w:kern w:val="0"/>
                <w:sz w:val="24"/>
                <w:szCs w:val="24"/>
                <w:lang w:bidi="ar-SA"/>
              </w:rPr>
            </w:pPr>
            <w:r>
              <w:rPr>
                <w:rFonts w:hint="eastAsia" w:ascii="宋体" w:cs="宋体"/>
                <w:b w:val="0"/>
                <w:bCs/>
                <w:kern w:val="0"/>
                <w:sz w:val="24"/>
                <w:szCs w:val="24"/>
                <w:lang w:bidi="ar-SA"/>
              </w:rPr>
              <w:t>长葛市政府采购投标人信用承诺函</w:t>
            </w:r>
          </w:p>
        </w:tc>
        <w:tc>
          <w:tcPr>
            <w:tcW w:w="1597" w:type="dxa"/>
            <w:noWrap w:val="0"/>
            <w:vAlign w:val="center"/>
          </w:tcPr>
          <w:p w14:paraId="4823AEEC">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68" w:type="dxa"/>
            <w:noWrap w:val="0"/>
            <w:vAlign w:val="center"/>
          </w:tcPr>
          <w:p w14:paraId="128A2FF7">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88" w:type="dxa"/>
            <w:noWrap w:val="0"/>
            <w:vAlign w:val="center"/>
          </w:tcPr>
          <w:p w14:paraId="38F85240">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r>
      <w:tr w14:paraId="69E15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354CC889">
            <w:pPr>
              <w:tabs>
                <w:tab w:val="left" w:pos="1260"/>
              </w:tabs>
              <w:autoSpaceDE w:val="0"/>
              <w:autoSpaceDN w:val="0"/>
              <w:adjustRightInd w:val="0"/>
              <w:spacing w:line="360" w:lineRule="auto"/>
              <w:contextualSpacing/>
              <w:jc w:val="center"/>
              <w:rPr>
                <w:rFonts w:hint="eastAsia" w:ascii="宋体" w:cs="宋体"/>
                <w:b w:val="0"/>
                <w:bCs/>
                <w:kern w:val="0"/>
                <w:sz w:val="24"/>
                <w:szCs w:val="24"/>
                <w:lang w:val="zh-CN" w:eastAsia="zh-CN" w:bidi="ar-SA"/>
              </w:rPr>
            </w:pPr>
            <w:r>
              <w:rPr>
                <w:rFonts w:hint="eastAsia" w:ascii="宋体" w:cs="宋体"/>
                <w:b w:val="0"/>
                <w:bCs/>
                <w:kern w:val="0"/>
                <w:sz w:val="24"/>
                <w:szCs w:val="24"/>
                <w:lang w:val="zh-CN" w:eastAsia="zh-CN" w:bidi="ar-SA"/>
              </w:rPr>
              <w:t>8</w:t>
            </w:r>
          </w:p>
        </w:tc>
        <w:tc>
          <w:tcPr>
            <w:tcW w:w="4335" w:type="dxa"/>
            <w:noWrap w:val="0"/>
            <w:vAlign w:val="center"/>
          </w:tcPr>
          <w:p w14:paraId="54823935">
            <w:pPr>
              <w:tabs>
                <w:tab w:val="left" w:pos="1260"/>
              </w:tabs>
              <w:autoSpaceDE w:val="0"/>
              <w:autoSpaceDN w:val="0"/>
              <w:adjustRightInd w:val="0"/>
              <w:spacing w:line="360" w:lineRule="auto"/>
              <w:contextualSpacing/>
              <w:jc w:val="left"/>
              <w:rPr>
                <w:rFonts w:hint="eastAsia" w:ascii="宋体" w:cs="宋体"/>
                <w:b w:val="0"/>
                <w:bCs/>
                <w:kern w:val="0"/>
                <w:sz w:val="24"/>
                <w:szCs w:val="24"/>
                <w:lang w:val="zh-CN" w:eastAsia="zh-CN" w:bidi="ar-SA"/>
              </w:rPr>
            </w:pPr>
            <w:r>
              <w:rPr>
                <w:rFonts w:hint="eastAsia" w:ascii="宋体" w:cs="宋体"/>
                <w:b w:val="0"/>
                <w:bCs/>
                <w:kern w:val="0"/>
                <w:sz w:val="24"/>
                <w:szCs w:val="24"/>
                <w:lang w:val="zh-CN" w:eastAsia="zh-CN" w:bidi="ar-SA"/>
              </w:rPr>
              <w:t>联合体协议</w:t>
            </w:r>
          </w:p>
        </w:tc>
        <w:tc>
          <w:tcPr>
            <w:tcW w:w="1597" w:type="dxa"/>
            <w:noWrap w:val="0"/>
            <w:vAlign w:val="center"/>
          </w:tcPr>
          <w:p w14:paraId="15CBEC4D">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68" w:type="dxa"/>
            <w:noWrap w:val="0"/>
            <w:vAlign w:val="center"/>
          </w:tcPr>
          <w:p w14:paraId="0AF831D7">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88" w:type="dxa"/>
            <w:noWrap w:val="0"/>
            <w:vAlign w:val="center"/>
          </w:tcPr>
          <w:p w14:paraId="35FF67B8">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r>
      <w:tr w14:paraId="5AD3B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21B00495">
            <w:pPr>
              <w:tabs>
                <w:tab w:val="left" w:pos="1260"/>
              </w:tabs>
              <w:autoSpaceDE w:val="0"/>
              <w:autoSpaceDN w:val="0"/>
              <w:adjustRightInd w:val="0"/>
              <w:spacing w:line="360" w:lineRule="auto"/>
              <w:contextualSpacing/>
              <w:jc w:val="center"/>
              <w:rPr>
                <w:rFonts w:hint="eastAsia" w:ascii="宋体" w:cs="宋体"/>
                <w:b w:val="0"/>
                <w:bCs/>
                <w:kern w:val="0"/>
                <w:sz w:val="24"/>
                <w:szCs w:val="24"/>
                <w:lang w:val="zh-CN" w:eastAsia="zh-CN" w:bidi="ar-SA"/>
              </w:rPr>
            </w:pPr>
            <w:r>
              <w:rPr>
                <w:rFonts w:hint="eastAsia" w:ascii="宋体" w:cs="宋体"/>
                <w:b w:val="0"/>
                <w:bCs/>
                <w:kern w:val="0"/>
                <w:sz w:val="24"/>
                <w:szCs w:val="24"/>
                <w:lang w:val="zh-CN" w:eastAsia="zh-CN" w:bidi="ar-SA"/>
              </w:rPr>
              <w:t>9</w:t>
            </w:r>
          </w:p>
        </w:tc>
        <w:tc>
          <w:tcPr>
            <w:tcW w:w="4335" w:type="dxa"/>
            <w:noWrap w:val="0"/>
            <w:vAlign w:val="center"/>
          </w:tcPr>
          <w:p w14:paraId="123BD8B2">
            <w:pPr>
              <w:tabs>
                <w:tab w:val="left" w:pos="1260"/>
              </w:tabs>
              <w:autoSpaceDE w:val="0"/>
              <w:autoSpaceDN w:val="0"/>
              <w:adjustRightInd w:val="0"/>
              <w:spacing w:line="360" w:lineRule="auto"/>
              <w:contextualSpacing/>
              <w:jc w:val="left"/>
              <w:rPr>
                <w:rFonts w:hint="eastAsia" w:ascii="宋体" w:cs="宋体"/>
                <w:b w:val="0"/>
                <w:bCs/>
                <w:kern w:val="0"/>
                <w:sz w:val="24"/>
                <w:szCs w:val="24"/>
                <w:lang w:val="zh-CN" w:eastAsia="zh-CN" w:bidi="ar-SA"/>
              </w:rPr>
            </w:pPr>
            <w:r>
              <w:rPr>
                <w:rFonts w:hint="eastAsia" w:ascii="宋体" w:cs="宋体"/>
                <w:b w:val="0"/>
                <w:bCs/>
                <w:kern w:val="0"/>
                <w:sz w:val="24"/>
                <w:szCs w:val="24"/>
                <w:lang w:val="zh-CN" w:eastAsia="zh-CN" w:bidi="ar-SA"/>
              </w:rPr>
              <w:t>投标人与参加本项目投标的其他投标人之间，单位负责人不为同一人并且不存在直接控股、管理关系承诺函</w:t>
            </w:r>
          </w:p>
        </w:tc>
        <w:tc>
          <w:tcPr>
            <w:tcW w:w="1597" w:type="dxa"/>
            <w:noWrap w:val="0"/>
            <w:vAlign w:val="center"/>
          </w:tcPr>
          <w:p w14:paraId="0E78B84F">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68" w:type="dxa"/>
            <w:noWrap w:val="0"/>
            <w:vAlign w:val="center"/>
          </w:tcPr>
          <w:p w14:paraId="461C8128">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88" w:type="dxa"/>
            <w:noWrap w:val="0"/>
            <w:vAlign w:val="center"/>
          </w:tcPr>
          <w:p w14:paraId="69BAC987">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r>
      <w:tr w14:paraId="79A98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47CB53C9">
            <w:pPr>
              <w:tabs>
                <w:tab w:val="left" w:pos="1260"/>
              </w:tabs>
              <w:autoSpaceDE w:val="0"/>
              <w:autoSpaceDN w:val="0"/>
              <w:adjustRightInd w:val="0"/>
              <w:spacing w:line="360" w:lineRule="auto"/>
              <w:contextualSpacing/>
              <w:jc w:val="center"/>
              <w:rPr>
                <w:rFonts w:hint="eastAsia" w:ascii="宋体" w:cs="宋体"/>
                <w:b w:val="0"/>
                <w:bCs/>
                <w:kern w:val="0"/>
                <w:sz w:val="24"/>
                <w:szCs w:val="24"/>
                <w:lang w:val="zh-CN" w:eastAsia="zh-CN" w:bidi="ar-SA"/>
              </w:rPr>
            </w:pPr>
            <w:r>
              <w:rPr>
                <w:rFonts w:hint="eastAsia" w:ascii="宋体" w:cs="宋体"/>
                <w:b w:val="0"/>
                <w:bCs/>
                <w:kern w:val="0"/>
                <w:sz w:val="24"/>
                <w:szCs w:val="24"/>
                <w:lang w:val="zh-CN" w:eastAsia="zh-CN" w:bidi="ar-SA"/>
              </w:rPr>
              <w:t>10</w:t>
            </w:r>
          </w:p>
        </w:tc>
        <w:tc>
          <w:tcPr>
            <w:tcW w:w="4335" w:type="dxa"/>
            <w:noWrap w:val="0"/>
            <w:vAlign w:val="center"/>
          </w:tcPr>
          <w:p w14:paraId="5C13D00D">
            <w:pPr>
              <w:tabs>
                <w:tab w:val="left" w:pos="1260"/>
              </w:tabs>
              <w:autoSpaceDE w:val="0"/>
              <w:autoSpaceDN w:val="0"/>
              <w:adjustRightInd w:val="0"/>
              <w:spacing w:line="360" w:lineRule="auto"/>
              <w:contextualSpacing/>
              <w:jc w:val="left"/>
              <w:rPr>
                <w:rFonts w:hint="eastAsia" w:ascii="宋体" w:cs="宋体"/>
                <w:b w:val="0"/>
                <w:bCs/>
                <w:kern w:val="0"/>
                <w:sz w:val="24"/>
                <w:szCs w:val="24"/>
                <w:lang w:val="zh-CN" w:eastAsia="zh-CN" w:bidi="ar-SA"/>
              </w:rPr>
            </w:pPr>
            <w:r>
              <w:rPr>
                <w:rFonts w:hint="eastAsia" w:ascii="宋体" w:cs="宋体"/>
                <w:b w:val="0"/>
                <w:bCs/>
                <w:kern w:val="0"/>
                <w:sz w:val="24"/>
                <w:szCs w:val="24"/>
                <w:lang w:val="zh-CN" w:eastAsia="zh-CN" w:bidi="ar-SA"/>
              </w:rPr>
              <w:t>投标人未为本项目提供整体设计、规范编制或者项目管理、监理、检测等服务承诺函</w:t>
            </w:r>
          </w:p>
        </w:tc>
        <w:tc>
          <w:tcPr>
            <w:tcW w:w="1597" w:type="dxa"/>
            <w:noWrap w:val="0"/>
            <w:vAlign w:val="center"/>
          </w:tcPr>
          <w:p w14:paraId="5A1BF745">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68" w:type="dxa"/>
            <w:noWrap w:val="0"/>
            <w:vAlign w:val="center"/>
          </w:tcPr>
          <w:p w14:paraId="1CDD6862">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88" w:type="dxa"/>
            <w:noWrap w:val="0"/>
            <w:vAlign w:val="center"/>
          </w:tcPr>
          <w:p w14:paraId="7F42D9DE">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r>
      <w:tr w14:paraId="5BFE9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top w:val="double" w:color="auto" w:sz="4" w:space="0"/>
            </w:tcBorders>
            <w:noWrap w:val="0"/>
            <w:vAlign w:val="center"/>
          </w:tcPr>
          <w:p w14:paraId="1F1CCFB4">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r>
              <w:rPr>
                <w:rFonts w:hint="eastAsia" w:ascii="宋体" w:cs="宋体"/>
                <w:b w:val="0"/>
                <w:bCs/>
                <w:kern w:val="0"/>
                <w:sz w:val="24"/>
                <w:szCs w:val="24"/>
                <w:lang w:bidi="ar-SA"/>
              </w:rPr>
              <w:t>11</w:t>
            </w:r>
          </w:p>
        </w:tc>
        <w:tc>
          <w:tcPr>
            <w:tcW w:w="4335" w:type="dxa"/>
            <w:tcBorders>
              <w:top w:val="double" w:color="auto" w:sz="4" w:space="0"/>
            </w:tcBorders>
            <w:noWrap w:val="0"/>
            <w:vAlign w:val="center"/>
          </w:tcPr>
          <w:p w14:paraId="56E69165">
            <w:pPr>
              <w:tabs>
                <w:tab w:val="left" w:pos="1260"/>
              </w:tabs>
              <w:autoSpaceDE w:val="0"/>
              <w:autoSpaceDN w:val="0"/>
              <w:adjustRightInd w:val="0"/>
              <w:spacing w:line="360" w:lineRule="auto"/>
              <w:contextualSpacing/>
              <w:jc w:val="left"/>
              <w:rPr>
                <w:rFonts w:hint="eastAsia" w:ascii="宋体" w:cs="宋体"/>
                <w:b w:val="0"/>
                <w:bCs/>
                <w:kern w:val="0"/>
                <w:sz w:val="24"/>
                <w:szCs w:val="24"/>
                <w:lang w:bidi="ar-SA"/>
              </w:rPr>
            </w:pPr>
            <w:r>
              <w:rPr>
                <w:rFonts w:hint="eastAsia" w:ascii="宋体" w:cs="宋体"/>
                <w:b w:val="0"/>
                <w:bCs/>
                <w:kern w:val="0"/>
                <w:sz w:val="24"/>
                <w:szCs w:val="24"/>
                <w:lang w:bidi="ar-SA"/>
              </w:rPr>
              <w:t>投标分项报价表</w:t>
            </w:r>
          </w:p>
        </w:tc>
        <w:tc>
          <w:tcPr>
            <w:tcW w:w="1597" w:type="dxa"/>
            <w:tcBorders>
              <w:top w:val="double" w:color="auto" w:sz="4" w:space="0"/>
            </w:tcBorders>
            <w:noWrap w:val="0"/>
            <w:vAlign w:val="center"/>
          </w:tcPr>
          <w:p w14:paraId="77E79614">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68" w:type="dxa"/>
            <w:tcBorders>
              <w:top w:val="double" w:color="auto" w:sz="4" w:space="0"/>
            </w:tcBorders>
            <w:noWrap w:val="0"/>
            <w:vAlign w:val="center"/>
          </w:tcPr>
          <w:p w14:paraId="11847419">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88" w:type="dxa"/>
            <w:tcBorders>
              <w:top w:val="double" w:color="auto" w:sz="4" w:space="0"/>
            </w:tcBorders>
            <w:noWrap w:val="0"/>
            <w:vAlign w:val="center"/>
          </w:tcPr>
          <w:p w14:paraId="06378E31">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r>
      <w:tr w14:paraId="0AEEC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75DD468E">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r>
              <w:rPr>
                <w:rFonts w:hint="eastAsia" w:ascii="宋体" w:cs="宋体"/>
                <w:b w:val="0"/>
                <w:bCs/>
                <w:kern w:val="0"/>
                <w:sz w:val="24"/>
                <w:szCs w:val="24"/>
                <w:lang w:bidi="ar-SA"/>
              </w:rPr>
              <w:t>12</w:t>
            </w:r>
          </w:p>
        </w:tc>
        <w:tc>
          <w:tcPr>
            <w:tcW w:w="4335" w:type="dxa"/>
            <w:noWrap w:val="0"/>
            <w:vAlign w:val="center"/>
          </w:tcPr>
          <w:p w14:paraId="1CD2641D">
            <w:pPr>
              <w:tabs>
                <w:tab w:val="left" w:pos="1260"/>
              </w:tabs>
              <w:autoSpaceDE w:val="0"/>
              <w:autoSpaceDN w:val="0"/>
              <w:adjustRightInd w:val="0"/>
              <w:spacing w:line="360" w:lineRule="auto"/>
              <w:contextualSpacing/>
              <w:jc w:val="left"/>
              <w:rPr>
                <w:rFonts w:hint="eastAsia" w:ascii="宋体" w:cs="宋体"/>
                <w:b w:val="0"/>
                <w:bCs/>
                <w:kern w:val="0"/>
                <w:sz w:val="24"/>
                <w:szCs w:val="24"/>
                <w:lang w:bidi="ar-SA"/>
              </w:rPr>
            </w:pPr>
            <w:r>
              <w:rPr>
                <w:rFonts w:hint="eastAsia" w:ascii="宋体" w:cs="宋体"/>
                <w:b w:val="0"/>
                <w:bCs/>
                <w:kern w:val="0"/>
                <w:sz w:val="24"/>
                <w:szCs w:val="24"/>
                <w:lang w:bidi="ar-SA"/>
              </w:rPr>
              <w:t>技术规格偏离表</w:t>
            </w:r>
          </w:p>
        </w:tc>
        <w:tc>
          <w:tcPr>
            <w:tcW w:w="1597" w:type="dxa"/>
            <w:noWrap w:val="0"/>
            <w:vAlign w:val="center"/>
          </w:tcPr>
          <w:p w14:paraId="4FC027ED">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68" w:type="dxa"/>
            <w:noWrap w:val="0"/>
            <w:vAlign w:val="center"/>
          </w:tcPr>
          <w:p w14:paraId="459DE65D">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88" w:type="dxa"/>
            <w:noWrap w:val="0"/>
            <w:vAlign w:val="center"/>
          </w:tcPr>
          <w:p w14:paraId="4A8ACF64">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r>
      <w:tr w14:paraId="6D4F0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14D19CCC">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r>
              <w:rPr>
                <w:rFonts w:hint="eastAsia" w:ascii="宋体" w:cs="宋体"/>
                <w:b w:val="0"/>
                <w:bCs/>
                <w:kern w:val="0"/>
                <w:sz w:val="24"/>
                <w:szCs w:val="24"/>
                <w:lang w:bidi="ar-SA"/>
              </w:rPr>
              <w:t>13</w:t>
            </w:r>
          </w:p>
        </w:tc>
        <w:tc>
          <w:tcPr>
            <w:tcW w:w="4335" w:type="dxa"/>
            <w:noWrap w:val="0"/>
            <w:vAlign w:val="center"/>
          </w:tcPr>
          <w:p w14:paraId="49420D93">
            <w:pPr>
              <w:tabs>
                <w:tab w:val="left" w:pos="1260"/>
              </w:tabs>
              <w:autoSpaceDE w:val="0"/>
              <w:autoSpaceDN w:val="0"/>
              <w:adjustRightInd w:val="0"/>
              <w:spacing w:line="360" w:lineRule="auto"/>
              <w:contextualSpacing/>
              <w:jc w:val="left"/>
              <w:rPr>
                <w:rFonts w:hint="eastAsia" w:ascii="宋体" w:cs="宋体"/>
                <w:b w:val="0"/>
                <w:bCs/>
                <w:kern w:val="0"/>
                <w:sz w:val="24"/>
                <w:szCs w:val="24"/>
                <w:lang w:bidi="ar-SA"/>
              </w:rPr>
            </w:pPr>
            <w:r>
              <w:rPr>
                <w:rFonts w:hint="eastAsia" w:ascii="宋体" w:cs="宋体"/>
                <w:b w:val="0"/>
                <w:bCs/>
                <w:kern w:val="0"/>
                <w:sz w:val="24"/>
                <w:szCs w:val="24"/>
                <w:lang w:bidi="ar-SA"/>
              </w:rPr>
              <w:t>技术方案（实施方案）</w:t>
            </w:r>
          </w:p>
        </w:tc>
        <w:tc>
          <w:tcPr>
            <w:tcW w:w="1597" w:type="dxa"/>
            <w:noWrap w:val="0"/>
            <w:vAlign w:val="center"/>
          </w:tcPr>
          <w:p w14:paraId="5DCA4141">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68" w:type="dxa"/>
            <w:tcBorders>
              <w:top w:val="single" w:color="auto" w:sz="4" w:space="0"/>
            </w:tcBorders>
            <w:noWrap w:val="0"/>
            <w:vAlign w:val="center"/>
          </w:tcPr>
          <w:p w14:paraId="75B34DBD">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88" w:type="dxa"/>
            <w:tcBorders>
              <w:top w:val="single" w:color="auto" w:sz="4" w:space="0"/>
            </w:tcBorders>
            <w:noWrap w:val="0"/>
            <w:vAlign w:val="center"/>
          </w:tcPr>
          <w:p w14:paraId="29B5B7EB">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r>
      <w:tr w14:paraId="3C6E2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135EED10">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r>
              <w:rPr>
                <w:rFonts w:hint="eastAsia" w:ascii="宋体" w:cs="宋体"/>
                <w:b w:val="0"/>
                <w:bCs/>
                <w:kern w:val="0"/>
                <w:sz w:val="24"/>
                <w:szCs w:val="24"/>
                <w:lang w:bidi="ar-SA"/>
              </w:rPr>
              <w:t>14</w:t>
            </w:r>
          </w:p>
        </w:tc>
        <w:tc>
          <w:tcPr>
            <w:tcW w:w="4335" w:type="dxa"/>
            <w:noWrap w:val="0"/>
            <w:vAlign w:val="center"/>
          </w:tcPr>
          <w:p w14:paraId="61F5A1DD">
            <w:pPr>
              <w:tabs>
                <w:tab w:val="left" w:pos="1260"/>
              </w:tabs>
              <w:autoSpaceDE w:val="0"/>
              <w:autoSpaceDN w:val="0"/>
              <w:adjustRightInd w:val="0"/>
              <w:spacing w:line="360" w:lineRule="auto"/>
              <w:contextualSpacing/>
              <w:jc w:val="left"/>
              <w:rPr>
                <w:rFonts w:hint="eastAsia" w:ascii="宋体" w:cs="宋体"/>
                <w:b w:val="0"/>
                <w:bCs/>
                <w:kern w:val="0"/>
                <w:sz w:val="24"/>
                <w:szCs w:val="24"/>
                <w:lang w:bidi="ar-SA"/>
              </w:rPr>
            </w:pPr>
            <w:r>
              <w:rPr>
                <w:rFonts w:hint="eastAsia" w:ascii="宋体" w:cs="宋体"/>
                <w:b w:val="0"/>
                <w:bCs/>
                <w:kern w:val="0"/>
                <w:sz w:val="24"/>
                <w:szCs w:val="24"/>
                <w:lang w:bidi="ar-SA"/>
              </w:rPr>
              <w:t>售后服务方案</w:t>
            </w:r>
          </w:p>
        </w:tc>
        <w:tc>
          <w:tcPr>
            <w:tcW w:w="1597" w:type="dxa"/>
            <w:noWrap w:val="0"/>
            <w:vAlign w:val="center"/>
          </w:tcPr>
          <w:p w14:paraId="58B6CBE6">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68" w:type="dxa"/>
            <w:noWrap w:val="0"/>
            <w:vAlign w:val="center"/>
          </w:tcPr>
          <w:p w14:paraId="2D1EB0D6">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88" w:type="dxa"/>
            <w:noWrap w:val="0"/>
            <w:vAlign w:val="center"/>
          </w:tcPr>
          <w:p w14:paraId="2409C34B">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r>
      <w:tr w14:paraId="44D7E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3FFCDCD0">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r>
              <w:rPr>
                <w:rFonts w:hint="eastAsia" w:ascii="宋体" w:cs="宋体"/>
                <w:b w:val="0"/>
                <w:bCs/>
                <w:kern w:val="0"/>
                <w:sz w:val="24"/>
                <w:szCs w:val="24"/>
                <w:lang w:bidi="ar-SA"/>
              </w:rPr>
              <w:t>15</w:t>
            </w:r>
          </w:p>
        </w:tc>
        <w:tc>
          <w:tcPr>
            <w:tcW w:w="4335" w:type="dxa"/>
            <w:noWrap w:val="0"/>
            <w:vAlign w:val="center"/>
          </w:tcPr>
          <w:p w14:paraId="7E84BD59">
            <w:pPr>
              <w:tabs>
                <w:tab w:val="left" w:pos="1260"/>
              </w:tabs>
              <w:autoSpaceDE w:val="0"/>
              <w:autoSpaceDN w:val="0"/>
              <w:adjustRightInd w:val="0"/>
              <w:spacing w:line="360" w:lineRule="auto"/>
              <w:contextualSpacing/>
              <w:jc w:val="left"/>
              <w:rPr>
                <w:rFonts w:hint="eastAsia" w:ascii="宋体" w:cs="宋体"/>
                <w:b w:val="0"/>
                <w:bCs/>
                <w:kern w:val="0"/>
                <w:sz w:val="24"/>
                <w:szCs w:val="24"/>
                <w:lang w:bidi="ar-SA"/>
              </w:rPr>
            </w:pPr>
            <w:r>
              <w:rPr>
                <w:rFonts w:hint="eastAsia" w:ascii="宋体" w:cs="宋体"/>
                <w:b w:val="0"/>
                <w:bCs/>
                <w:kern w:val="0"/>
                <w:sz w:val="24"/>
                <w:szCs w:val="24"/>
                <w:lang w:bidi="ar-SA"/>
              </w:rPr>
              <w:t>业绩情况表</w:t>
            </w:r>
          </w:p>
        </w:tc>
        <w:tc>
          <w:tcPr>
            <w:tcW w:w="1597" w:type="dxa"/>
            <w:noWrap w:val="0"/>
            <w:vAlign w:val="center"/>
          </w:tcPr>
          <w:p w14:paraId="3BDAA172">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68" w:type="dxa"/>
            <w:noWrap w:val="0"/>
            <w:vAlign w:val="center"/>
          </w:tcPr>
          <w:p w14:paraId="143C1411">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88" w:type="dxa"/>
            <w:noWrap w:val="0"/>
            <w:vAlign w:val="center"/>
          </w:tcPr>
          <w:p w14:paraId="19C1A0DC">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r>
      <w:tr w14:paraId="594CE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5E1C7FC5">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r>
              <w:rPr>
                <w:rFonts w:hint="eastAsia" w:ascii="宋体" w:cs="宋体"/>
                <w:b w:val="0"/>
                <w:bCs/>
                <w:kern w:val="0"/>
                <w:sz w:val="24"/>
                <w:szCs w:val="24"/>
                <w:lang w:bidi="ar-SA"/>
              </w:rPr>
              <w:t>16</w:t>
            </w:r>
          </w:p>
        </w:tc>
        <w:tc>
          <w:tcPr>
            <w:tcW w:w="4335" w:type="dxa"/>
            <w:noWrap w:val="0"/>
            <w:vAlign w:val="center"/>
          </w:tcPr>
          <w:p w14:paraId="43F99CCA">
            <w:pPr>
              <w:tabs>
                <w:tab w:val="left" w:pos="1260"/>
              </w:tabs>
              <w:autoSpaceDE w:val="0"/>
              <w:autoSpaceDN w:val="0"/>
              <w:adjustRightInd w:val="0"/>
              <w:spacing w:line="360" w:lineRule="auto"/>
              <w:contextualSpacing/>
              <w:jc w:val="left"/>
              <w:rPr>
                <w:rFonts w:hint="eastAsia" w:ascii="宋体" w:cs="宋体"/>
                <w:b w:val="0"/>
                <w:bCs/>
                <w:kern w:val="0"/>
                <w:sz w:val="24"/>
                <w:szCs w:val="24"/>
                <w:lang w:bidi="ar-SA"/>
              </w:rPr>
            </w:pPr>
            <w:r>
              <w:rPr>
                <w:rFonts w:hint="eastAsia" w:ascii="宋体" w:cs="宋体"/>
                <w:b w:val="0"/>
                <w:bCs/>
                <w:kern w:val="0"/>
                <w:sz w:val="24"/>
                <w:szCs w:val="24"/>
                <w:lang w:bidi="ar-SA"/>
              </w:rPr>
              <w:t>政府强制采购节能产品品目清单情况</w:t>
            </w:r>
          </w:p>
        </w:tc>
        <w:tc>
          <w:tcPr>
            <w:tcW w:w="1597" w:type="dxa"/>
            <w:noWrap w:val="0"/>
            <w:vAlign w:val="center"/>
          </w:tcPr>
          <w:p w14:paraId="0ED40056">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68" w:type="dxa"/>
            <w:noWrap w:val="0"/>
            <w:vAlign w:val="center"/>
          </w:tcPr>
          <w:p w14:paraId="5A978907">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88" w:type="dxa"/>
            <w:noWrap w:val="0"/>
            <w:vAlign w:val="center"/>
          </w:tcPr>
          <w:p w14:paraId="045FB7DC">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r>
      <w:tr w14:paraId="74FC0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5C5A8B87">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r>
              <w:rPr>
                <w:rFonts w:hint="eastAsia" w:ascii="宋体" w:cs="宋体"/>
                <w:b w:val="0"/>
                <w:bCs/>
                <w:kern w:val="0"/>
                <w:sz w:val="24"/>
                <w:szCs w:val="24"/>
                <w:lang w:bidi="ar-SA"/>
              </w:rPr>
              <w:t>17</w:t>
            </w:r>
          </w:p>
        </w:tc>
        <w:tc>
          <w:tcPr>
            <w:tcW w:w="4335" w:type="dxa"/>
            <w:noWrap w:val="0"/>
            <w:vAlign w:val="center"/>
          </w:tcPr>
          <w:p w14:paraId="0363B9A0">
            <w:pPr>
              <w:tabs>
                <w:tab w:val="left" w:pos="1260"/>
              </w:tabs>
              <w:autoSpaceDE w:val="0"/>
              <w:autoSpaceDN w:val="0"/>
              <w:adjustRightInd w:val="0"/>
              <w:spacing w:line="360" w:lineRule="auto"/>
              <w:contextualSpacing/>
              <w:jc w:val="left"/>
              <w:rPr>
                <w:rFonts w:hint="eastAsia" w:ascii="宋体" w:cs="宋体"/>
                <w:b w:val="0"/>
                <w:bCs/>
                <w:kern w:val="0"/>
                <w:sz w:val="24"/>
                <w:szCs w:val="24"/>
                <w:lang w:bidi="ar-SA"/>
              </w:rPr>
            </w:pPr>
            <w:r>
              <w:rPr>
                <w:rFonts w:hint="eastAsia" w:ascii="宋体" w:cs="宋体"/>
                <w:b w:val="0"/>
                <w:bCs/>
                <w:kern w:val="0"/>
                <w:sz w:val="24"/>
                <w:szCs w:val="24"/>
                <w:lang w:bidi="ar-SA"/>
              </w:rPr>
              <w:t>优先采购节能产品政府采购品目清单情况</w:t>
            </w:r>
          </w:p>
        </w:tc>
        <w:tc>
          <w:tcPr>
            <w:tcW w:w="1597" w:type="dxa"/>
            <w:noWrap w:val="0"/>
            <w:vAlign w:val="center"/>
          </w:tcPr>
          <w:p w14:paraId="6C72EF89">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68" w:type="dxa"/>
            <w:noWrap w:val="0"/>
            <w:vAlign w:val="center"/>
          </w:tcPr>
          <w:p w14:paraId="09BA8078">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88" w:type="dxa"/>
            <w:noWrap w:val="0"/>
            <w:vAlign w:val="center"/>
          </w:tcPr>
          <w:p w14:paraId="7E21A800">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r>
      <w:tr w14:paraId="7B270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5E217626">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r>
              <w:rPr>
                <w:rFonts w:hint="eastAsia" w:ascii="宋体" w:cs="宋体"/>
                <w:b w:val="0"/>
                <w:bCs/>
                <w:kern w:val="0"/>
                <w:sz w:val="24"/>
                <w:szCs w:val="24"/>
                <w:lang w:bidi="ar-SA"/>
              </w:rPr>
              <w:t>18</w:t>
            </w:r>
          </w:p>
        </w:tc>
        <w:tc>
          <w:tcPr>
            <w:tcW w:w="4335" w:type="dxa"/>
            <w:noWrap w:val="0"/>
            <w:vAlign w:val="center"/>
          </w:tcPr>
          <w:p w14:paraId="6F7870D5">
            <w:pPr>
              <w:tabs>
                <w:tab w:val="left" w:pos="1260"/>
              </w:tabs>
              <w:autoSpaceDE w:val="0"/>
              <w:autoSpaceDN w:val="0"/>
              <w:adjustRightInd w:val="0"/>
              <w:spacing w:line="360" w:lineRule="auto"/>
              <w:contextualSpacing/>
              <w:jc w:val="left"/>
              <w:rPr>
                <w:rFonts w:hint="eastAsia" w:ascii="宋体" w:cs="宋体"/>
                <w:b w:val="0"/>
                <w:bCs/>
                <w:kern w:val="0"/>
                <w:sz w:val="24"/>
                <w:szCs w:val="24"/>
                <w:lang w:bidi="ar-SA"/>
              </w:rPr>
            </w:pPr>
            <w:r>
              <w:rPr>
                <w:rFonts w:hint="eastAsia" w:ascii="宋体" w:cs="宋体"/>
                <w:b w:val="0"/>
                <w:bCs/>
                <w:kern w:val="0"/>
                <w:sz w:val="24"/>
                <w:szCs w:val="24"/>
                <w:lang w:val="en-GB" w:eastAsia="en-GB" w:bidi="ar-SA"/>
              </w:rPr>
              <w:t>优先采购环境标志产品政府采购品目清单情况</w:t>
            </w:r>
          </w:p>
        </w:tc>
        <w:tc>
          <w:tcPr>
            <w:tcW w:w="1597" w:type="dxa"/>
            <w:noWrap w:val="0"/>
            <w:vAlign w:val="center"/>
          </w:tcPr>
          <w:p w14:paraId="6E5F3EDE">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68" w:type="dxa"/>
            <w:noWrap w:val="0"/>
            <w:vAlign w:val="center"/>
          </w:tcPr>
          <w:p w14:paraId="51AB1929">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88" w:type="dxa"/>
            <w:noWrap w:val="0"/>
            <w:vAlign w:val="center"/>
          </w:tcPr>
          <w:p w14:paraId="65CD94C1">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r>
      <w:tr w14:paraId="48F3D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6B12F74D">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r>
              <w:rPr>
                <w:rFonts w:hint="eastAsia" w:ascii="宋体" w:cs="宋体"/>
                <w:b w:val="0"/>
                <w:bCs/>
                <w:kern w:val="0"/>
                <w:sz w:val="24"/>
                <w:szCs w:val="24"/>
                <w:lang w:bidi="ar-SA"/>
              </w:rPr>
              <w:t>19</w:t>
            </w:r>
          </w:p>
        </w:tc>
        <w:tc>
          <w:tcPr>
            <w:tcW w:w="4335" w:type="dxa"/>
            <w:noWrap w:val="0"/>
            <w:vAlign w:val="center"/>
          </w:tcPr>
          <w:p w14:paraId="2C11FCF6">
            <w:pPr>
              <w:tabs>
                <w:tab w:val="left" w:pos="1260"/>
              </w:tabs>
              <w:autoSpaceDE w:val="0"/>
              <w:autoSpaceDN w:val="0"/>
              <w:adjustRightInd w:val="0"/>
              <w:spacing w:line="360" w:lineRule="auto"/>
              <w:contextualSpacing/>
              <w:jc w:val="left"/>
              <w:rPr>
                <w:rFonts w:hint="eastAsia" w:ascii="宋体" w:cs="宋体"/>
                <w:b w:val="0"/>
                <w:bCs/>
                <w:kern w:val="0"/>
                <w:sz w:val="24"/>
                <w:szCs w:val="24"/>
                <w:lang w:bidi="ar-SA"/>
              </w:rPr>
            </w:pPr>
            <w:r>
              <w:rPr>
                <w:rFonts w:hint="eastAsia" w:ascii="宋体" w:cs="宋体"/>
                <w:b w:val="0"/>
                <w:bCs/>
                <w:kern w:val="0"/>
                <w:sz w:val="24"/>
                <w:szCs w:val="24"/>
                <w:lang w:bidi="ar-SA"/>
              </w:rPr>
              <w:t>中小企业声明函</w:t>
            </w:r>
          </w:p>
        </w:tc>
        <w:tc>
          <w:tcPr>
            <w:tcW w:w="1597" w:type="dxa"/>
            <w:noWrap w:val="0"/>
            <w:vAlign w:val="center"/>
          </w:tcPr>
          <w:p w14:paraId="37C0A67E">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68" w:type="dxa"/>
            <w:noWrap w:val="0"/>
            <w:vAlign w:val="center"/>
          </w:tcPr>
          <w:p w14:paraId="7E7CBEBB">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88" w:type="dxa"/>
            <w:noWrap w:val="0"/>
            <w:vAlign w:val="center"/>
          </w:tcPr>
          <w:p w14:paraId="24F4AE95">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r>
      <w:tr w14:paraId="04C72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4DDED3B9">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r>
              <w:rPr>
                <w:rFonts w:hint="eastAsia" w:ascii="宋体" w:cs="宋体"/>
                <w:b w:val="0"/>
                <w:bCs/>
                <w:kern w:val="0"/>
                <w:sz w:val="24"/>
                <w:szCs w:val="24"/>
                <w:lang w:bidi="ar-SA"/>
              </w:rPr>
              <w:t>20</w:t>
            </w:r>
          </w:p>
        </w:tc>
        <w:tc>
          <w:tcPr>
            <w:tcW w:w="4335" w:type="dxa"/>
            <w:noWrap w:val="0"/>
            <w:vAlign w:val="center"/>
          </w:tcPr>
          <w:p w14:paraId="31A34D9C">
            <w:pPr>
              <w:tabs>
                <w:tab w:val="left" w:pos="1260"/>
              </w:tabs>
              <w:autoSpaceDE w:val="0"/>
              <w:autoSpaceDN w:val="0"/>
              <w:adjustRightInd w:val="0"/>
              <w:spacing w:line="360" w:lineRule="auto"/>
              <w:contextualSpacing/>
              <w:jc w:val="left"/>
              <w:rPr>
                <w:rFonts w:hint="eastAsia" w:ascii="宋体" w:cs="宋体"/>
                <w:b w:val="0"/>
                <w:bCs/>
                <w:kern w:val="0"/>
                <w:sz w:val="24"/>
                <w:szCs w:val="24"/>
                <w:lang w:bidi="ar-SA"/>
              </w:rPr>
            </w:pPr>
            <w:r>
              <w:rPr>
                <w:rFonts w:hint="eastAsia" w:ascii="宋体" w:cs="宋体"/>
                <w:b w:val="0"/>
                <w:bCs/>
                <w:kern w:val="0"/>
                <w:sz w:val="24"/>
                <w:szCs w:val="24"/>
                <w:lang w:val="zh-CN" w:eastAsia="zh-CN" w:bidi="ar-SA"/>
              </w:rPr>
              <w:t>残疾人福利性单位声明函</w:t>
            </w:r>
          </w:p>
        </w:tc>
        <w:tc>
          <w:tcPr>
            <w:tcW w:w="1597" w:type="dxa"/>
            <w:noWrap w:val="0"/>
            <w:vAlign w:val="center"/>
          </w:tcPr>
          <w:p w14:paraId="6847691F">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68" w:type="dxa"/>
            <w:noWrap w:val="0"/>
            <w:vAlign w:val="center"/>
          </w:tcPr>
          <w:p w14:paraId="4797A2ED">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88" w:type="dxa"/>
            <w:noWrap w:val="0"/>
            <w:vAlign w:val="center"/>
          </w:tcPr>
          <w:p w14:paraId="70E5ABFC">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r>
      <w:tr w14:paraId="14436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2BA788AF">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r>
              <w:rPr>
                <w:rFonts w:hint="eastAsia" w:ascii="宋体" w:cs="宋体"/>
                <w:b w:val="0"/>
                <w:bCs/>
                <w:kern w:val="0"/>
                <w:sz w:val="24"/>
                <w:szCs w:val="24"/>
                <w:lang w:bidi="ar-SA"/>
              </w:rPr>
              <w:t>21</w:t>
            </w:r>
          </w:p>
        </w:tc>
        <w:tc>
          <w:tcPr>
            <w:tcW w:w="4335" w:type="dxa"/>
            <w:noWrap w:val="0"/>
            <w:vAlign w:val="center"/>
          </w:tcPr>
          <w:p w14:paraId="0D8F6ADE">
            <w:pPr>
              <w:tabs>
                <w:tab w:val="left" w:pos="1260"/>
              </w:tabs>
              <w:autoSpaceDE w:val="0"/>
              <w:autoSpaceDN w:val="0"/>
              <w:adjustRightInd w:val="0"/>
              <w:spacing w:line="360" w:lineRule="auto"/>
              <w:contextualSpacing/>
              <w:jc w:val="left"/>
              <w:rPr>
                <w:rFonts w:hint="eastAsia" w:ascii="宋体" w:cs="宋体"/>
                <w:b w:val="0"/>
                <w:bCs/>
                <w:kern w:val="0"/>
                <w:sz w:val="24"/>
                <w:szCs w:val="24"/>
                <w:lang w:bidi="ar-SA"/>
              </w:rPr>
            </w:pPr>
            <w:r>
              <w:rPr>
                <w:rFonts w:hint="eastAsia" w:ascii="宋体" w:cs="宋体"/>
                <w:b w:val="0"/>
                <w:bCs/>
                <w:kern w:val="0"/>
                <w:sz w:val="24"/>
                <w:szCs w:val="24"/>
                <w:lang w:bidi="ar-SA"/>
              </w:rPr>
              <w:t>监狱企业证明文件</w:t>
            </w:r>
          </w:p>
        </w:tc>
        <w:tc>
          <w:tcPr>
            <w:tcW w:w="1597" w:type="dxa"/>
            <w:noWrap w:val="0"/>
            <w:vAlign w:val="center"/>
          </w:tcPr>
          <w:p w14:paraId="58F5568B">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68" w:type="dxa"/>
            <w:noWrap w:val="0"/>
            <w:vAlign w:val="center"/>
          </w:tcPr>
          <w:p w14:paraId="5DCE0B2D">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88" w:type="dxa"/>
            <w:noWrap w:val="0"/>
            <w:vAlign w:val="center"/>
          </w:tcPr>
          <w:p w14:paraId="2F63F492">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r>
      <w:tr w14:paraId="2AD77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14" w:hRule="atLeast"/>
        </w:trPr>
        <w:tc>
          <w:tcPr>
            <w:tcW w:w="468" w:type="dxa"/>
            <w:noWrap w:val="0"/>
            <w:vAlign w:val="center"/>
          </w:tcPr>
          <w:p w14:paraId="2B8A7286">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r>
              <w:rPr>
                <w:rFonts w:hint="eastAsia" w:ascii="宋体" w:cs="宋体"/>
                <w:b w:val="0"/>
                <w:bCs/>
                <w:kern w:val="0"/>
                <w:sz w:val="24"/>
                <w:szCs w:val="24"/>
                <w:lang w:bidi="ar-SA"/>
              </w:rPr>
              <w:t>22</w:t>
            </w:r>
          </w:p>
        </w:tc>
        <w:tc>
          <w:tcPr>
            <w:tcW w:w="4335" w:type="dxa"/>
            <w:noWrap w:val="0"/>
            <w:vAlign w:val="center"/>
          </w:tcPr>
          <w:p w14:paraId="28EBBF08">
            <w:pPr>
              <w:tabs>
                <w:tab w:val="left" w:pos="1260"/>
              </w:tabs>
              <w:autoSpaceDE w:val="0"/>
              <w:autoSpaceDN w:val="0"/>
              <w:adjustRightInd w:val="0"/>
              <w:spacing w:line="360" w:lineRule="auto"/>
              <w:contextualSpacing/>
              <w:jc w:val="left"/>
              <w:rPr>
                <w:rFonts w:hint="eastAsia" w:ascii="宋体" w:cs="宋体"/>
                <w:b w:val="0"/>
                <w:bCs/>
                <w:kern w:val="0"/>
                <w:sz w:val="24"/>
                <w:szCs w:val="24"/>
                <w:lang w:val="zh-CN" w:eastAsia="zh-CN" w:bidi="ar-SA"/>
              </w:rPr>
            </w:pPr>
            <w:r>
              <w:rPr>
                <w:rFonts w:hint="eastAsia" w:ascii="宋体" w:cs="宋体"/>
                <w:b w:val="0"/>
                <w:bCs/>
                <w:kern w:val="0"/>
                <w:sz w:val="24"/>
                <w:szCs w:val="24"/>
                <w:lang w:val="zh-CN" w:eastAsia="zh-CN" w:bidi="ar-SA"/>
              </w:rPr>
              <w:t>网络关键设备和</w:t>
            </w:r>
            <w:bookmarkStart w:id="35" w:name="突出显示"/>
            <w:bookmarkStart w:id="36" w:name="突出显示"/>
            <w:r>
              <w:rPr>
                <w:rFonts w:hint="eastAsia" w:ascii="宋体" w:cs="宋体"/>
                <w:b w:val="0"/>
                <w:bCs/>
                <w:kern w:val="0"/>
                <w:sz w:val="24"/>
                <w:szCs w:val="24"/>
                <w:lang w:val="zh-CN" w:eastAsia="zh-CN" w:bidi="ar-SA"/>
              </w:rPr>
              <w:t>网络安全</w:t>
            </w:r>
            <w:bookmarkEnd w:id="35"/>
            <w:bookmarkEnd w:id="36"/>
            <w:r>
              <w:rPr>
                <w:rFonts w:hint="eastAsia" w:ascii="宋体" w:cs="宋体"/>
                <w:b w:val="0"/>
                <w:bCs/>
                <w:kern w:val="0"/>
                <w:sz w:val="24"/>
                <w:szCs w:val="24"/>
                <w:lang w:val="zh-CN" w:eastAsia="zh-CN" w:bidi="ar-SA"/>
              </w:rPr>
              <w:t>专用产品（下列资料任意一项）：</w:t>
            </w:r>
          </w:p>
          <w:p w14:paraId="563B4A6D">
            <w:pPr>
              <w:tabs>
                <w:tab w:val="left" w:pos="1260"/>
              </w:tabs>
              <w:autoSpaceDE w:val="0"/>
              <w:autoSpaceDN w:val="0"/>
              <w:adjustRightInd w:val="0"/>
              <w:spacing w:line="360" w:lineRule="auto"/>
              <w:contextualSpacing/>
              <w:jc w:val="left"/>
              <w:rPr>
                <w:rFonts w:hint="eastAsia" w:ascii="宋体" w:cs="宋体"/>
                <w:b w:val="0"/>
                <w:bCs/>
                <w:kern w:val="0"/>
                <w:sz w:val="24"/>
                <w:szCs w:val="24"/>
                <w:lang w:val="zh-CN" w:eastAsia="zh-CN" w:bidi="ar-SA"/>
              </w:rPr>
            </w:pPr>
            <w:r>
              <w:rPr>
                <w:rFonts w:hint="eastAsia" w:ascii="宋体" w:cs="宋体"/>
                <w:b w:val="0"/>
                <w:bCs/>
                <w:kern w:val="0"/>
                <w:sz w:val="24"/>
                <w:szCs w:val="24"/>
                <w:lang w:val="zh-CN" w:eastAsia="zh-CN" w:bidi="ar-SA"/>
              </w:rPr>
              <w:fldChar w:fldCharType="begin"/>
            </w:r>
            <w:r>
              <w:rPr>
                <w:rFonts w:hint="eastAsia" w:ascii="宋体" w:cs="宋体"/>
                <w:b w:val="0"/>
                <w:bCs/>
                <w:kern w:val="0"/>
                <w:sz w:val="24"/>
                <w:szCs w:val="24"/>
                <w:lang w:val="zh-CN" w:eastAsia="zh-CN" w:bidi="ar-SA"/>
              </w:rPr>
              <w:instrText xml:space="preserve"> = 1 \* GB3 </w:instrText>
            </w:r>
            <w:r>
              <w:rPr>
                <w:rFonts w:hint="eastAsia" w:ascii="宋体" w:cs="宋体"/>
                <w:b w:val="0"/>
                <w:bCs/>
                <w:kern w:val="0"/>
                <w:sz w:val="24"/>
                <w:szCs w:val="24"/>
                <w:lang w:val="zh-CN" w:eastAsia="zh-CN" w:bidi="ar-SA"/>
              </w:rPr>
              <w:fldChar w:fldCharType="separate"/>
            </w:r>
            <w:r>
              <w:rPr>
                <w:rFonts w:hint="eastAsia" w:ascii="宋体" w:cs="宋体"/>
                <w:b w:val="0"/>
                <w:bCs/>
                <w:kern w:val="0"/>
                <w:sz w:val="24"/>
                <w:szCs w:val="24"/>
                <w:lang w:val="zh-CN" w:eastAsia="zh-CN" w:bidi="ar-SA"/>
              </w:rPr>
              <w:t>①</w:t>
            </w:r>
            <w:r>
              <w:rPr>
                <w:rFonts w:hint="eastAsia" w:ascii="宋体" w:cs="宋体"/>
                <w:b w:val="0"/>
                <w:bCs/>
                <w:kern w:val="0"/>
                <w:sz w:val="24"/>
                <w:szCs w:val="24"/>
                <w:lang w:val="zh-CN" w:eastAsia="zh-CN" w:bidi="ar-SA"/>
              </w:rPr>
              <w:fldChar w:fldCharType="end"/>
            </w:r>
            <w:r>
              <w:rPr>
                <w:rFonts w:hint="eastAsia" w:ascii="宋体" w:cs="宋体"/>
                <w:b w:val="0"/>
                <w:bCs/>
                <w:kern w:val="0"/>
                <w:sz w:val="24"/>
                <w:szCs w:val="24"/>
                <w:lang w:val="zh-CN" w:eastAsia="zh-CN" w:bidi="ar-SA"/>
              </w:rPr>
              <w:t>网络关键设备和网络安全专用产品安全认证证书；</w:t>
            </w:r>
          </w:p>
          <w:p w14:paraId="1AFFE4B8">
            <w:pPr>
              <w:tabs>
                <w:tab w:val="left" w:pos="1260"/>
              </w:tabs>
              <w:autoSpaceDE w:val="0"/>
              <w:autoSpaceDN w:val="0"/>
              <w:adjustRightInd w:val="0"/>
              <w:spacing w:line="360" w:lineRule="auto"/>
              <w:contextualSpacing/>
              <w:jc w:val="left"/>
              <w:rPr>
                <w:rFonts w:hint="eastAsia" w:ascii="宋体" w:cs="宋体"/>
                <w:b w:val="0"/>
                <w:bCs/>
                <w:kern w:val="0"/>
                <w:sz w:val="24"/>
                <w:szCs w:val="24"/>
                <w:lang w:val="zh-CN" w:eastAsia="zh-CN" w:bidi="ar-SA"/>
              </w:rPr>
            </w:pPr>
            <w:r>
              <w:rPr>
                <w:rFonts w:hint="eastAsia" w:ascii="宋体" w:cs="宋体"/>
                <w:b w:val="0"/>
                <w:bCs/>
                <w:kern w:val="0"/>
                <w:sz w:val="24"/>
                <w:szCs w:val="24"/>
                <w:lang w:val="zh-CN" w:eastAsia="zh-CN" w:bidi="ar-SA"/>
              </w:rPr>
              <w:fldChar w:fldCharType="begin"/>
            </w:r>
            <w:r>
              <w:rPr>
                <w:rFonts w:hint="eastAsia" w:ascii="宋体" w:cs="宋体"/>
                <w:b w:val="0"/>
                <w:bCs/>
                <w:kern w:val="0"/>
                <w:sz w:val="24"/>
                <w:szCs w:val="24"/>
                <w:lang w:val="zh-CN" w:eastAsia="zh-CN" w:bidi="ar-SA"/>
              </w:rPr>
              <w:instrText xml:space="preserve"> = 2 \* GB3 </w:instrText>
            </w:r>
            <w:r>
              <w:rPr>
                <w:rFonts w:hint="eastAsia" w:ascii="宋体" w:cs="宋体"/>
                <w:b w:val="0"/>
                <w:bCs/>
                <w:kern w:val="0"/>
                <w:sz w:val="24"/>
                <w:szCs w:val="24"/>
                <w:lang w:val="zh-CN" w:eastAsia="zh-CN" w:bidi="ar-SA"/>
              </w:rPr>
              <w:fldChar w:fldCharType="separate"/>
            </w:r>
            <w:r>
              <w:rPr>
                <w:rFonts w:hint="eastAsia" w:ascii="宋体" w:cs="宋体"/>
                <w:b w:val="0"/>
                <w:bCs/>
                <w:kern w:val="0"/>
                <w:sz w:val="24"/>
                <w:szCs w:val="24"/>
                <w:lang w:val="zh-CN" w:eastAsia="zh-CN" w:bidi="ar-SA"/>
              </w:rPr>
              <w:t>②</w:t>
            </w:r>
            <w:r>
              <w:rPr>
                <w:rFonts w:hint="eastAsia" w:ascii="宋体" w:cs="宋体"/>
                <w:b w:val="0"/>
                <w:bCs/>
                <w:kern w:val="0"/>
                <w:sz w:val="24"/>
                <w:szCs w:val="24"/>
                <w:lang w:val="zh-CN" w:eastAsia="zh-CN" w:bidi="ar-SA"/>
              </w:rPr>
              <w:fldChar w:fldCharType="end"/>
            </w:r>
            <w:r>
              <w:rPr>
                <w:rFonts w:hint="eastAsia" w:ascii="宋体" w:cs="宋体"/>
                <w:b w:val="0"/>
                <w:bCs/>
                <w:kern w:val="0"/>
                <w:sz w:val="24"/>
                <w:szCs w:val="24"/>
                <w:lang w:val="zh-CN" w:eastAsia="zh-CN" w:bidi="ar-SA"/>
              </w:rPr>
              <w:t>网络关键设备安全检测证书、网络安全专用产品安全检测证书；</w:t>
            </w:r>
          </w:p>
          <w:p w14:paraId="0B51C927">
            <w:pPr>
              <w:tabs>
                <w:tab w:val="left" w:pos="1260"/>
              </w:tabs>
              <w:autoSpaceDE w:val="0"/>
              <w:autoSpaceDN w:val="0"/>
              <w:adjustRightInd w:val="0"/>
              <w:spacing w:line="360" w:lineRule="auto"/>
              <w:contextualSpacing/>
              <w:jc w:val="left"/>
              <w:rPr>
                <w:rFonts w:hint="eastAsia" w:ascii="宋体" w:cs="宋体"/>
                <w:b w:val="0"/>
                <w:bCs/>
                <w:kern w:val="0"/>
                <w:sz w:val="24"/>
                <w:szCs w:val="24"/>
                <w:lang w:val="zh-CN" w:eastAsia="zh-CN" w:bidi="ar-SA"/>
              </w:rPr>
            </w:pPr>
            <w:r>
              <w:rPr>
                <w:rFonts w:hint="eastAsia" w:ascii="宋体" w:cs="宋体"/>
                <w:b w:val="0"/>
                <w:bCs/>
                <w:kern w:val="0"/>
                <w:sz w:val="24"/>
                <w:szCs w:val="24"/>
                <w:lang w:val="zh-CN" w:eastAsia="zh-CN" w:bidi="ar-SA"/>
              </w:rPr>
              <w:fldChar w:fldCharType="begin"/>
            </w:r>
            <w:r>
              <w:rPr>
                <w:rFonts w:hint="eastAsia" w:ascii="宋体" w:cs="宋体"/>
                <w:b w:val="0"/>
                <w:bCs/>
                <w:kern w:val="0"/>
                <w:sz w:val="24"/>
                <w:szCs w:val="24"/>
                <w:lang w:val="zh-CN" w:eastAsia="zh-CN" w:bidi="ar-SA"/>
              </w:rPr>
              <w:instrText xml:space="preserve"> = 3 \* GB3 </w:instrText>
            </w:r>
            <w:r>
              <w:rPr>
                <w:rFonts w:hint="eastAsia" w:ascii="宋体" w:cs="宋体"/>
                <w:b w:val="0"/>
                <w:bCs/>
                <w:kern w:val="0"/>
                <w:sz w:val="24"/>
                <w:szCs w:val="24"/>
                <w:lang w:val="zh-CN" w:eastAsia="zh-CN" w:bidi="ar-SA"/>
              </w:rPr>
              <w:fldChar w:fldCharType="separate"/>
            </w:r>
            <w:r>
              <w:rPr>
                <w:rFonts w:hint="eastAsia" w:ascii="宋体" w:cs="宋体"/>
                <w:b w:val="0"/>
                <w:bCs/>
                <w:kern w:val="0"/>
                <w:sz w:val="24"/>
                <w:szCs w:val="24"/>
                <w:lang w:val="zh-CN" w:eastAsia="zh-CN" w:bidi="ar-SA"/>
              </w:rPr>
              <w:t>③</w:t>
            </w:r>
            <w:r>
              <w:rPr>
                <w:rFonts w:hint="eastAsia" w:ascii="宋体" w:cs="宋体"/>
                <w:b w:val="0"/>
                <w:bCs/>
                <w:kern w:val="0"/>
                <w:sz w:val="24"/>
                <w:szCs w:val="24"/>
                <w:lang w:val="zh-CN" w:eastAsia="zh-CN" w:bidi="ar-SA"/>
              </w:rPr>
              <w:fldChar w:fldCharType="end"/>
            </w:r>
            <w:r>
              <w:rPr>
                <w:rFonts w:hint="eastAsia" w:ascii="宋体" w:cs="宋体"/>
                <w:b w:val="0"/>
                <w:bCs/>
                <w:kern w:val="0"/>
                <w:sz w:val="24"/>
                <w:szCs w:val="24"/>
                <w:lang w:val="zh-CN" w:eastAsia="zh-CN" w:bidi="ar-SA"/>
              </w:rPr>
              <w:t>计算机信息系统安全专用产品销售许可证；</w:t>
            </w:r>
          </w:p>
          <w:p w14:paraId="76DB6938">
            <w:pPr>
              <w:tabs>
                <w:tab w:val="left" w:pos="1260"/>
              </w:tabs>
              <w:autoSpaceDE w:val="0"/>
              <w:autoSpaceDN w:val="0"/>
              <w:adjustRightInd w:val="0"/>
              <w:spacing w:line="360" w:lineRule="auto"/>
              <w:contextualSpacing/>
              <w:jc w:val="left"/>
              <w:rPr>
                <w:rFonts w:hint="eastAsia" w:ascii="宋体" w:cs="宋体"/>
                <w:b w:val="0"/>
                <w:bCs/>
                <w:kern w:val="0"/>
                <w:sz w:val="24"/>
                <w:szCs w:val="24"/>
                <w:lang w:val="zh-CN" w:eastAsia="zh-CN" w:bidi="ar-SA"/>
              </w:rPr>
            </w:pPr>
            <w:r>
              <w:rPr>
                <w:rFonts w:hint="eastAsia" w:ascii="宋体" w:cs="宋体"/>
                <w:b w:val="0"/>
                <w:bCs/>
                <w:kern w:val="0"/>
                <w:sz w:val="24"/>
                <w:szCs w:val="24"/>
                <w:lang w:val="zh-CN" w:eastAsia="zh-CN" w:bidi="ar-SA"/>
              </w:rPr>
              <w:fldChar w:fldCharType="begin"/>
            </w:r>
            <w:r>
              <w:rPr>
                <w:rFonts w:hint="eastAsia" w:ascii="宋体" w:cs="宋体"/>
                <w:b w:val="0"/>
                <w:bCs/>
                <w:kern w:val="0"/>
                <w:sz w:val="24"/>
                <w:szCs w:val="24"/>
                <w:lang w:val="zh-CN" w:eastAsia="zh-CN" w:bidi="ar-SA"/>
              </w:rPr>
              <w:instrText xml:space="preserve"> = 4 \* GB3 </w:instrText>
            </w:r>
            <w:r>
              <w:rPr>
                <w:rFonts w:hint="eastAsia" w:ascii="宋体" w:cs="宋体"/>
                <w:b w:val="0"/>
                <w:bCs/>
                <w:kern w:val="0"/>
                <w:sz w:val="24"/>
                <w:szCs w:val="24"/>
                <w:lang w:val="zh-CN" w:eastAsia="zh-CN" w:bidi="ar-SA"/>
              </w:rPr>
              <w:fldChar w:fldCharType="separate"/>
            </w:r>
            <w:r>
              <w:rPr>
                <w:rFonts w:hint="eastAsia" w:ascii="宋体" w:cs="宋体"/>
                <w:b w:val="0"/>
                <w:bCs/>
                <w:kern w:val="0"/>
                <w:sz w:val="24"/>
                <w:szCs w:val="24"/>
                <w:lang w:val="zh-CN" w:eastAsia="zh-CN" w:bidi="ar-SA"/>
              </w:rPr>
              <w:t>④</w:t>
            </w:r>
            <w:r>
              <w:rPr>
                <w:rFonts w:hint="eastAsia" w:ascii="宋体" w:cs="宋体"/>
                <w:b w:val="0"/>
                <w:bCs/>
                <w:kern w:val="0"/>
                <w:sz w:val="24"/>
                <w:szCs w:val="24"/>
                <w:lang w:val="zh-CN" w:eastAsia="zh-CN" w:bidi="ar-SA"/>
              </w:rPr>
              <w:fldChar w:fldCharType="end"/>
            </w:r>
            <w:r>
              <w:rPr>
                <w:rFonts w:hint="eastAsia" w:ascii="宋体" w:cs="宋体"/>
                <w:b w:val="0"/>
                <w:bCs/>
                <w:kern w:val="0"/>
                <w:sz w:val="24"/>
                <w:szCs w:val="24"/>
                <w:lang w:val="zh-CN" w:eastAsia="zh-CN" w:bidi="ar-SA"/>
              </w:rPr>
              <w:t>中国网信网或工业和信息化部网站或公安部网站或国家认证认可监督管理委员会网站公布的认证、检测结果（提供公布安全认证、安全检测结果页面网址和安全认证、检测结果截图）。</w:t>
            </w:r>
          </w:p>
        </w:tc>
        <w:tc>
          <w:tcPr>
            <w:tcW w:w="1597" w:type="dxa"/>
            <w:noWrap w:val="0"/>
            <w:vAlign w:val="center"/>
          </w:tcPr>
          <w:p w14:paraId="25878957">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68" w:type="dxa"/>
            <w:noWrap w:val="0"/>
            <w:vAlign w:val="center"/>
          </w:tcPr>
          <w:p w14:paraId="53131670">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88" w:type="dxa"/>
            <w:noWrap w:val="0"/>
            <w:vAlign w:val="center"/>
          </w:tcPr>
          <w:p w14:paraId="619F6B2D">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r>
      <w:tr w14:paraId="26B34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bottom w:val="single" w:color="auto" w:sz="4" w:space="0"/>
            </w:tcBorders>
            <w:noWrap w:val="0"/>
            <w:vAlign w:val="center"/>
          </w:tcPr>
          <w:p w14:paraId="4FAE150A">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r>
              <w:rPr>
                <w:rFonts w:hint="eastAsia" w:ascii="宋体" w:cs="宋体"/>
                <w:b w:val="0"/>
                <w:bCs/>
                <w:kern w:val="0"/>
                <w:sz w:val="24"/>
                <w:szCs w:val="24"/>
                <w:lang w:bidi="ar-SA"/>
              </w:rPr>
              <w:t>23</w:t>
            </w:r>
          </w:p>
        </w:tc>
        <w:tc>
          <w:tcPr>
            <w:tcW w:w="4335" w:type="dxa"/>
            <w:tcBorders>
              <w:bottom w:val="single" w:color="auto" w:sz="4" w:space="0"/>
            </w:tcBorders>
            <w:noWrap w:val="0"/>
            <w:vAlign w:val="center"/>
          </w:tcPr>
          <w:p w14:paraId="7E9513EB">
            <w:pPr>
              <w:tabs>
                <w:tab w:val="left" w:pos="1260"/>
              </w:tabs>
              <w:autoSpaceDE w:val="0"/>
              <w:autoSpaceDN w:val="0"/>
              <w:adjustRightInd w:val="0"/>
              <w:spacing w:line="360" w:lineRule="auto"/>
              <w:contextualSpacing/>
              <w:jc w:val="left"/>
              <w:rPr>
                <w:rFonts w:hint="eastAsia" w:ascii="宋体" w:cs="宋体"/>
                <w:b w:val="0"/>
                <w:bCs/>
                <w:kern w:val="0"/>
                <w:sz w:val="24"/>
                <w:szCs w:val="24"/>
                <w:lang w:bidi="ar-SA"/>
              </w:rPr>
            </w:pPr>
            <w:r>
              <w:rPr>
                <w:rFonts w:hint="eastAsia" w:ascii="宋体" w:cs="宋体"/>
                <w:b w:val="0"/>
                <w:bCs/>
                <w:kern w:val="0"/>
                <w:sz w:val="24"/>
                <w:szCs w:val="24"/>
                <w:lang w:bidi="ar-SA"/>
              </w:rPr>
              <w:t>其它资料</w:t>
            </w:r>
          </w:p>
        </w:tc>
        <w:tc>
          <w:tcPr>
            <w:tcW w:w="1597" w:type="dxa"/>
            <w:noWrap w:val="0"/>
            <w:vAlign w:val="center"/>
          </w:tcPr>
          <w:p w14:paraId="10B1D255">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68" w:type="dxa"/>
            <w:noWrap w:val="0"/>
            <w:vAlign w:val="center"/>
          </w:tcPr>
          <w:p w14:paraId="4C753FCC">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c>
          <w:tcPr>
            <w:tcW w:w="1488" w:type="dxa"/>
            <w:noWrap w:val="0"/>
            <w:vAlign w:val="center"/>
          </w:tcPr>
          <w:p w14:paraId="426B101B">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tc>
      </w:tr>
    </w:tbl>
    <w:p w14:paraId="31B87C93">
      <w:pPr>
        <w:tabs>
          <w:tab w:val="left" w:pos="1260"/>
        </w:tabs>
        <w:autoSpaceDE w:val="0"/>
        <w:autoSpaceDN w:val="0"/>
        <w:adjustRightInd w:val="0"/>
        <w:spacing w:line="360" w:lineRule="auto"/>
        <w:contextualSpacing/>
        <w:jc w:val="center"/>
        <w:rPr>
          <w:rFonts w:hint="eastAsia" w:ascii="宋体" w:cs="宋体"/>
          <w:b w:val="0"/>
          <w:bCs/>
          <w:kern w:val="0"/>
          <w:sz w:val="24"/>
          <w:szCs w:val="24"/>
          <w:lang w:bidi="ar-SA"/>
        </w:rPr>
      </w:pPr>
    </w:p>
    <w:p w14:paraId="2FB86A9B">
      <w:pPr>
        <w:tabs>
          <w:tab w:val="left" w:pos="1260"/>
        </w:tabs>
        <w:autoSpaceDE w:val="0"/>
        <w:autoSpaceDN w:val="0"/>
        <w:adjustRightInd w:val="0"/>
        <w:spacing w:line="360" w:lineRule="auto"/>
        <w:ind w:left="424" w:leftChars="202"/>
        <w:contextualSpacing/>
        <w:rPr>
          <w:rFonts w:hint="eastAsia" w:ascii="楷体" w:hAnsi="楷体" w:eastAsia="楷体"/>
          <w:sz w:val="24"/>
          <w:szCs w:val="24"/>
        </w:rPr>
      </w:pPr>
    </w:p>
    <w:p w14:paraId="58580158">
      <w:pPr>
        <w:pStyle w:val="13"/>
        <w:spacing w:line="360" w:lineRule="auto"/>
        <w:jc w:val="center"/>
        <w:rPr>
          <w:rFonts w:hint="eastAsia" w:ascii="等线 Light" w:hAnsi="等线 Light" w:eastAsia="等线 Light"/>
          <w:snapToGrid w:val="0"/>
        </w:rPr>
      </w:pPr>
      <w:r>
        <w:rPr>
          <w:snapToGrid w:val="0"/>
        </w:rPr>
        <w:br w:type="page"/>
      </w:r>
      <w:r>
        <w:rPr>
          <w:rFonts w:hint="eastAsia"/>
          <w:b/>
          <w:bCs/>
          <w:snapToGrid w:val="0"/>
        </w:rPr>
        <w:t>二、开标一览表</w:t>
      </w:r>
    </w:p>
    <w:p w14:paraId="78C9EBB2">
      <w:pPr>
        <w:pStyle w:val="13"/>
        <w:spacing w:line="360" w:lineRule="auto"/>
        <w:jc w:val="center"/>
        <w:rPr>
          <w:rFonts w:hint="eastAsia" w:ascii="等线 Light" w:hAnsi="等线 Light" w:eastAsia="等线 Light"/>
          <w:snapToGrid w:val="0"/>
        </w:rPr>
      </w:pPr>
    </w:p>
    <w:p w14:paraId="2B2ADA7E">
      <w:pPr>
        <w:spacing w:before="50" w:after="162" w:afterLines="50" w:line="360" w:lineRule="auto"/>
        <w:contextualSpacing/>
        <w:jc w:val="left"/>
        <w:rPr>
          <w:rFonts w:ascii="等线" w:hAnsi="等线"/>
          <w:sz w:val="24"/>
          <w:szCs w:val="24"/>
        </w:rPr>
      </w:pPr>
      <w:r>
        <w:rPr>
          <w:rFonts w:hint="eastAsia" w:ascii="等线" w:hAnsi="等线"/>
          <w:sz w:val="24"/>
          <w:szCs w:val="24"/>
        </w:rPr>
        <w:t>项目编号：</w:t>
      </w:r>
    </w:p>
    <w:p w14:paraId="4D0D0B9E">
      <w:pPr>
        <w:spacing w:line="360" w:lineRule="auto"/>
        <w:contextualSpacing/>
        <w:rPr>
          <w:rFonts w:ascii="等线" w:hAnsi="等线"/>
          <w:sz w:val="24"/>
          <w:szCs w:val="24"/>
        </w:rPr>
      </w:pPr>
      <w:r>
        <w:rPr>
          <w:rFonts w:hint="eastAsia" w:ascii="等线" w:hAnsi="等线"/>
          <w:sz w:val="24"/>
          <w:szCs w:val="24"/>
        </w:rPr>
        <w:t xml:space="preserve">项目名称：                                                      </w:t>
      </w:r>
      <w:r>
        <w:rPr>
          <w:rFonts w:hint="eastAsia" w:ascii="等线" w:hAnsi="等线" w:cs="Arial"/>
          <w:sz w:val="24"/>
          <w:szCs w:val="24"/>
          <w:lang w:bidi="ar-SA"/>
        </w:rPr>
        <w:t>单位：元（人民币）</w:t>
      </w:r>
    </w:p>
    <w:tbl>
      <w:tblPr>
        <w:tblStyle w:val="19"/>
        <w:tblW w:w="9396" w:type="dxa"/>
        <w:jc w:val="center"/>
        <w:tblLayout w:type="fixed"/>
        <w:tblCellMar>
          <w:top w:w="0" w:type="dxa"/>
          <w:left w:w="108" w:type="dxa"/>
          <w:bottom w:w="0" w:type="dxa"/>
          <w:right w:w="108" w:type="dxa"/>
        </w:tblCellMar>
      </w:tblPr>
      <w:tblGrid>
        <w:gridCol w:w="1198"/>
        <w:gridCol w:w="2552"/>
        <w:gridCol w:w="2851"/>
        <w:gridCol w:w="1773"/>
        <w:gridCol w:w="1022"/>
      </w:tblGrid>
      <w:tr w14:paraId="6A61A393">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1BB47D49">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标段</w:t>
            </w:r>
          </w:p>
        </w:tc>
        <w:tc>
          <w:tcPr>
            <w:tcW w:w="2552"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3280E7F6">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项目名称</w:t>
            </w:r>
          </w:p>
        </w:tc>
        <w:tc>
          <w:tcPr>
            <w:tcW w:w="2851"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09BB0879">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 xml:space="preserve">  投标报价</w:t>
            </w:r>
          </w:p>
        </w:tc>
        <w:tc>
          <w:tcPr>
            <w:tcW w:w="1773"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66CDE572">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交付时间</w:t>
            </w:r>
          </w:p>
        </w:tc>
        <w:tc>
          <w:tcPr>
            <w:tcW w:w="1022"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600A2479">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备注</w:t>
            </w:r>
          </w:p>
        </w:tc>
      </w:tr>
      <w:tr w14:paraId="472215D3">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noWrap w:val="0"/>
            <w:vAlign w:val="top"/>
          </w:tcPr>
          <w:p w14:paraId="45042273">
            <w:pPr>
              <w:autoSpaceDE w:val="0"/>
              <w:autoSpaceDN w:val="0"/>
              <w:adjustRightInd w:val="0"/>
              <w:spacing w:line="480" w:lineRule="exact"/>
              <w:ind w:firstLine="240"/>
              <w:rPr>
                <w:rFonts w:ascii="等线" w:hAnsi="等线"/>
                <w:sz w:val="24"/>
                <w:szCs w:val="24"/>
              </w:rPr>
            </w:pPr>
          </w:p>
        </w:tc>
        <w:tc>
          <w:tcPr>
            <w:tcW w:w="2552" w:type="dxa"/>
            <w:tcBorders>
              <w:top w:val="single" w:color="auto" w:sz="6" w:space="0"/>
              <w:left w:val="single" w:color="auto" w:sz="6" w:space="0"/>
              <w:bottom w:val="single" w:color="auto" w:sz="6" w:space="0"/>
              <w:right w:val="single" w:color="auto" w:sz="6" w:space="0"/>
            </w:tcBorders>
            <w:noWrap w:val="0"/>
            <w:vAlign w:val="center"/>
          </w:tcPr>
          <w:p w14:paraId="481F066D">
            <w:pPr>
              <w:autoSpaceDE w:val="0"/>
              <w:autoSpaceDN w:val="0"/>
              <w:adjustRightInd w:val="0"/>
              <w:spacing w:line="480" w:lineRule="exact"/>
              <w:ind w:firstLine="240"/>
              <w:rPr>
                <w:rFonts w:ascii="等线" w:hAnsi="等线"/>
                <w:sz w:val="24"/>
                <w:szCs w:val="24"/>
              </w:rPr>
            </w:pPr>
          </w:p>
        </w:tc>
        <w:tc>
          <w:tcPr>
            <w:tcW w:w="2851" w:type="dxa"/>
            <w:tcBorders>
              <w:top w:val="single" w:color="auto" w:sz="6" w:space="0"/>
              <w:left w:val="single" w:color="auto" w:sz="6" w:space="0"/>
              <w:bottom w:val="single" w:color="auto" w:sz="6" w:space="0"/>
              <w:right w:val="single" w:color="auto" w:sz="6" w:space="0"/>
            </w:tcBorders>
            <w:noWrap w:val="0"/>
            <w:vAlign w:val="center"/>
          </w:tcPr>
          <w:p w14:paraId="4E3AAF87">
            <w:pPr>
              <w:autoSpaceDE w:val="0"/>
              <w:autoSpaceDN w:val="0"/>
              <w:adjustRightInd w:val="0"/>
              <w:spacing w:line="480" w:lineRule="exact"/>
              <w:rPr>
                <w:rFonts w:ascii="等线" w:hAnsi="等线" w:cs="宋体"/>
                <w:sz w:val="24"/>
                <w:szCs w:val="24"/>
                <w:lang w:val="zh-CN" w:eastAsia="zh-CN" w:bidi="ar-SA"/>
              </w:rPr>
            </w:pPr>
            <w:r>
              <w:rPr>
                <w:rFonts w:hint="eastAsia" w:ascii="等线" w:hAnsi="等线" w:cs="宋体"/>
                <w:sz w:val="24"/>
                <w:szCs w:val="24"/>
                <w:lang w:val="zh-CN" w:eastAsia="zh-CN" w:bidi="ar-SA"/>
              </w:rPr>
              <w:t>大写：　</w:t>
            </w:r>
          </w:p>
          <w:p w14:paraId="2DA0F67D">
            <w:pPr>
              <w:autoSpaceDE w:val="0"/>
              <w:autoSpaceDN w:val="0"/>
              <w:adjustRightInd w:val="0"/>
              <w:spacing w:line="480" w:lineRule="exact"/>
              <w:rPr>
                <w:rFonts w:ascii="等线" w:hAnsi="等线" w:cs="宋体"/>
                <w:sz w:val="24"/>
                <w:szCs w:val="24"/>
                <w:lang w:val="zh-CN" w:eastAsia="zh-CN" w:bidi="ar-SA"/>
              </w:rPr>
            </w:pPr>
            <w:r>
              <w:rPr>
                <w:rFonts w:hint="eastAsia" w:ascii="等线" w:hAnsi="等线" w:cs="宋体"/>
                <w:sz w:val="24"/>
                <w:szCs w:val="24"/>
                <w:lang w:val="zh-CN" w:eastAsia="zh-CN" w:bidi="ar-SA"/>
              </w:rPr>
              <w:t>小写：</w:t>
            </w:r>
          </w:p>
        </w:tc>
        <w:tc>
          <w:tcPr>
            <w:tcW w:w="1773" w:type="dxa"/>
            <w:tcBorders>
              <w:top w:val="single" w:color="auto" w:sz="6" w:space="0"/>
              <w:left w:val="single" w:color="auto" w:sz="6" w:space="0"/>
              <w:bottom w:val="single" w:color="auto" w:sz="6" w:space="0"/>
              <w:right w:val="single" w:color="auto" w:sz="6" w:space="0"/>
            </w:tcBorders>
            <w:noWrap w:val="0"/>
            <w:vAlign w:val="center"/>
          </w:tcPr>
          <w:p w14:paraId="5BE0F14D">
            <w:pPr>
              <w:autoSpaceDE w:val="0"/>
              <w:autoSpaceDN w:val="0"/>
              <w:adjustRightInd w:val="0"/>
              <w:spacing w:line="480" w:lineRule="exact"/>
              <w:ind w:firstLine="240"/>
              <w:rPr>
                <w:rFonts w:ascii="等线" w:hAnsi="等线" w:cs="宋体"/>
                <w:sz w:val="24"/>
                <w:szCs w:val="24"/>
                <w:lang w:val="zh-CN" w:eastAsia="zh-CN" w:bidi="ar-SA"/>
              </w:rPr>
            </w:pPr>
          </w:p>
        </w:tc>
        <w:tc>
          <w:tcPr>
            <w:tcW w:w="1022" w:type="dxa"/>
            <w:tcBorders>
              <w:top w:val="single" w:color="auto" w:sz="6" w:space="0"/>
              <w:left w:val="single" w:color="auto" w:sz="6" w:space="0"/>
              <w:bottom w:val="single" w:color="auto" w:sz="6" w:space="0"/>
              <w:right w:val="single" w:color="auto" w:sz="6" w:space="0"/>
            </w:tcBorders>
            <w:noWrap w:val="0"/>
            <w:vAlign w:val="center"/>
          </w:tcPr>
          <w:p w14:paraId="4347EE49">
            <w:pPr>
              <w:autoSpaceDE w:val="0"/>
              <w:autoSpaceDN w:val="0"/>
              <w:adjustRightInd w:val="0"/>
              <w:spacing w:line="480" w:lineRule="exact"/>
              <w:ind w:firstLine="240"/>
              <w:rPr>
                <w:rFonts w:ascii="等线" w:hAnsi="等线" w:cs="宋体"/>
                <w:sz w:val="24"/>
                <w:szCs w:val="24"/>
                <w:lang w:val="zh-CN" w:eastAsia="zh-CN" w:bidi="ar-SA"/>
              </w:rPr>
            </w:pPr>
          </w:p>
        </w:tc>
      </w:tr>
      <w:tr w14:paraId="5E491674">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noWrap w:val="0"/>
            <w:vAlign w:val="top"/>
          </w:tcPr>
          <w:p w14:paraId="4F2E998B">
            <w:pPr>
              <w:autoSpaceDE w:val="0"/>
              <w:autoSpaceDN w:val="0"/>
              <w:adjustRightInd w:val="0"/>
              <w:spacing w:line="480" w:lineRule="exact"/>
              <w:ind w:firstLine="240"/>
              <w:rPr>
                <w:rFonts w:ascii="等线" w:hAnsi="等线"/>
                <w:sz w:val="24"/>
                <w:szCs w:val="24"/>
              </w:rPr>
            </w:pPr>
            <w:r>
              <w:rPr>
                <w:rFonts w:hint="eastAsia" w:ascii="等线" w:hAnsi="等线"/>
                <w:sz w:val="24"/>
                <w:szCs w:val="24"/>
              </w:rPr>
              <w:t>...</w:t>
            </w:r>
          </w:p>
        </w:tc>
        <w:tc>
          <w:tcPr>
            <w:tcW w:w="2552" w:type="dxa"/>
            <w:tcBorders>
              <w:top w:val="single" w:color="auto" w:sz="6" w:space="0"/>
              <w:left w:val="single" w:color="auto" w:sz="6" w:space="0"/>
              <w:bottom w:val="single" w:color="auto" w:sz="6" w:space="0"/>
              <w:right w:val="single" w:color="auto" w:sz="6" w:space="0"/>
            </w:tcBorders>
            <w:noWrap w:val="0"/>
            <w:vAlign w:val="center"/>
          </w:tcPr>
          <w:p w14:paraId="64C0495A">
            <w:pPr>
              <w:autoSpaceDE w:val="0"/>
              <w:autoSpaceDN w:val="0"/>
              <w:adjustRightInd w:val="0"/>
              <w:spacing w:line="480" w:lineRule="exact"/>
              <w:ind w:firstLine="240"/>
              <w:rPr>
                <w:rFonts w:ascii="等线" w:hAnsi="等线"/>
                <w:sz w:val="24"/>
                <w:szCs w:val="24"/>
              </w:rPr>
            </w:pPr>
          </w:p>
        </w:tc>
        <w:tc>
          <w:tcPr>
            <w:tcW w:w="2851" w:type="dxa"/>
            <w:tcBorders>
              <w:top w:val="single" w:color="auto" w:sz="6" w:space="0"/>
              <w:left w:val="single" w:color="auto" w:sz="6" w:space="0"/>
              <w:bottom w:val="single" w:color="auto" w:sz="6" w:space="0"/>
              <w:right w:val="single" w:color="auto" w:sz="6" w:space="0"/>
            </w:tcBorders>
            <w:noWrap w:val="0"/>
            <w:vAlign w:val="center"/>
          </w:tcPr>
          <w:p w14:paraId="7BF873FD">
            <w:pPr>
              <w:autoSpaceDE w:val="0"/>
              <w:autoSpaceDN w:val="0"/>
              <w:adjustRightInd w:val="0"/>
              <w:spacing w:line="480" w:lineRule="exact"/>
              <w:rPr>
                <w:rFonts w:ascii="等线" w:hAnsi="等线" w:cs="宋体"/>
                <w:sz w:val="24"/>
                <w:szCs w:val="24"/>
                <w:lang w:val="zh-CN" w:eastAsia="zh-CN" w:bidi="ar-SA"/>
              </w:rPr>
            </w:pPr>
          </w:p>
        </w:tc>
        <w:tc>
          <w:tcPr>
            <w:tcW w:w="1773" w:type="dxa"/>
            <w:tcBorders>
              <w:top w:val="single" w:color="auto" w:sz="6" w:space="0"/>
              <w:left w:val="single" w:color="auto" w:sz="6" w:space="0"/>
              <w:bottom w:val="single" w:color="auto" w:sz="6" w:space="0"/>
              <w:right w:val="single" w:color="auto" w:sz="6" w:space="0"/>
            </w:tcBorders>
            <w:noWrap w:val="0"/>
            <w:vAlign w:val="center"/>
          </w:tcPr>
          <w:p w14:paraId="7A2FE2E3">
            <w:pPr>
              <w:autoSpaceDE w:val="0"/>
              <w:autoSpaceDN w:val="0"/>
              <w:adjustRightInd w:val="0"/>
              <w:spacing w:line="480" w:lineRule="exact"/>
              <w:ind w:firstLine="240"/>
              <w:rPr>
                <w:rFonts w:ascii="等线" w:hAnsi="等线" w:cs="宋体"/>
                <w:sz w:val="24"/>
                <w:szCs w:val="24"/>
                <w:lang w:val="zh-CN" w:eastAsia="zh-CN" w:bidi="ar-SA"/>
              </w:rPr>
            </w:pPr>
          </w:p>
        </w:tc>
        <w:tc>
          <w:tcPr>
            <w:tcW w:w="1022" w:type="dxa"/>
            <w:tcBorders>
              <w:top w:val="single" w:color="auto" w:sz="6" w:space="0"/>
              <w:left w:val="single" w:color="auto" w:sz="6" w:space="0"/>
              <w:bottom w:val="single" w:color="auto" w:sz="6" w:space="0"/>
              <w:right w:val="single" w:color="auto" w:sz="6" w:space="0"/>
            </w:tcBorders>
            <w:noWrap w:val="0"/>
            <w:vAlign w:val="center"/>
          </w:tcPr>
          <w:p w14:paraId="568A02F7">
            <w:pPr>
              <w:autoSpaceDE w:val="0"/>
              <w:autoSpaceDN w:val="0"/>
              <w:adjustRightInd w:val="0"/>
              <w:spacing w:line="480" w:lineRule="exact"/>
              <w:ind w:firstLine="240"/>
              <w:rPr>
                <w:rFonts w:ascii="等线" w:hAnsi="等线" w:cs="宋体"/>
                <w:sz w:val="24"/>
                <w:szCs w:val="24"/>
                <w:lang w:val="zh-CN" w:eastAsia="zh-CN" w:bidi="ar-SA"/>
              </w:rPr>
            </w:pPr>
          </w:p>
        </w:tc>
      </w:tr>
    </w:tbl>
    <w:p w14:paraId="30C5693B">
      <w:pPr>
        <w:autoSpaceDE w:val="0"/>
        <w:autoSpaceDN w:val="0"/>
        <w:adjustRightInd w:val="0"/>
        <w:spacing w:line="480" w:lineRule="auto"/>
        <w:rPr>
          <w:rFonts w:ascii="等线" w:hAnsi="等线" w:cs="宋体"/>
          <w:sz w:val="24"/>
          <w:szCs w:val="24"/>
          <w:lang w:val="zh-CN" w:eastAsia="zh-CN" w:bidi="ar-SA"/>
        </w:rPr>
      </w:pPr>
    </w:p>
    <w:p w14:paraId="6C15F0FD">
      <w:pPr>
        <w:autoSpaceDE w:val="0"/>
        <w:autoSpaceDN w:val="0"/>
        <w:adjustRightInd w:val="0"/>
        <w:spacing w:line="480" w:lineRule="auto"/>
        <w:rPr>
          <w:rFonts w:ascii="等线" w:hAnsi="等线" w:cs="宋体"/>
          <w:sz w:val="24"/>
          <w:szCs w:val="24"/>
          <w:lang w:val="zh-CN" w:eastAsia="zh-CN" w:bidi="ar-SA"/>
        </w:rPr>
      </w:pPr>
    </w:p>
    <w:p w14:paraId="28368378">
      <w:pPr>
        <w:autoSpaceDE w:val="0"/>
        <w:autoSpaceDN w:val="0"/>
        <w:adjustRightInd w:val="0"/>
        <w:spacing w:line="480" w:lineRule="auto"/>
        <w:rPr>
          <w:rFonts w:ascii="等线" w:hAnsi="等线" w:cs="宋体"/>
          <w:sz w:val="24"/>
          <w:szCs w:val="24"/>
          <w:lang w:val="zh-CN" w:eastAsia="zh-CN" w:bidi="ar-SA"/>
        </w:rPr>
      </w:pPr>
      <w:r>
        <w:rPr>
          <w:rFonts w:hint="eastAsia" w:ascii="等线" w:hAnsi="等线" w:cs="宋体"/>
          <w:sz w:val="24"/>
          <w:szCs w:val="24"/>
          <w:lang w:val="zh-CN" w:eastAsia="zh-CN" w:bidi="ar-SA"/>
        </w:rPr>
        <w:t>投标人名称：</w:t>
      </w:r>
      <w:r>
        <w:rPr>
          <w:rFonts w:hint="eastAsia" w:ascii="等线" w:hAnsi="等线" w:cs="宋体"/>
          <w:sz w:val="24"/>
          <w:szCs w:val="24"/>
          <w:u w:val="single"/>
          <w:lang w:val="zh-CN" w:eastAsia="zh-CN" w:bidi="ar-SA"/>
        </w:rPr>
        <w:t xml:space="preserve">     （全称）   </w:t>
      </w:r>
      <w:r>
        <w:rPr>
          <w:rFonts w:hint="eastAsia" w:ascii="等线" w:hAnsi="等线" w:cs="宋体"/>
          <w:sz w:val="24"/>
          <w:szCs w:val="24"/>
          <w:lang w:val="zh-CN" w:eastAsia="zh-CN" w:bidi="ar-SA"/>
        </w:rPr>
        <w:t>（公章）</w:t>
      </w:r>
    </w:p>
    <w:p w14:paraId="273B91DF">
      <w:pPr>
        <w:autoSpaceDE w:val="0"/>
        <w:autoSpaceDN w:val="0"/>
        <w:adjustRightInd w:val="0"/>
        <w:spacing w:line="480" w:lineRule="auto"/>
        <w:rPr>
          <w:rFonts w:ascii="等线" w:hAnsi="等线" w:cs="宋体"/>
          <w:sz w:val="24"/>
          <w:szCs w:val="24"/>
          <w:lang w:val="zh-CN" w:eastAsia="zh-CN" w:bidi="ar-SA"/>
        </w:rPr>
      </w:pPr>
      <w:r>
        <w:rPr>
          <w:rFonts w:hint="eastAsia" w:ascii="等线" w:hAnsi="等线" w:cs="宋体"/>
          <w:sz w:val="24"/>
          <w:szCs w:val="24"/>
          <w:lang w:val="zh-CN" w:eastAsia="zh-CN" w:bidi="ar-SA"/>
        </w:rPr>
        <w:t>投标人法定代表人（单位负责人）或授权代表签字：</w:t>
      </w:r>
    </w:p>
    <w:p w14:paraId="6A683A15">
      <w:pPr>
        <w:autoSpaceDE w:val="0"/>
        <w:autoSpaceDN w:val="0"/>
        <w:adjustRightInd w:val="0"/>
        <w:spacing w:line="480" w:lineRule="auto"/>
        <w:rPr>
          <w:rFonts w:hint="eastAsia" w:ascii="等线" w:hAnsi="等线" w:cs="宋体"/>
          <w:sz w:val="24"/>
          <w:szCs w:val="24"/>
          <w:lang w:val="zh-CN" w:eastAsia="zh-CN" w:bidi="ar-SA"/>
        </w:rPr>
      </w:pPr>
      <w:r>
        <w:rPr>
          <w:rFonts w:hint="eastAsia" w:ascii="等线" w:hAnsi="等线" w:cs="宋体"/>
          <w:sz w:val="24"/>
          <w:szCs w:val="24"/>
          <w:lang w:val="zh-CN" w:eastAsia="zh-CN" w:bidi="ar-SA"/>
        </w:rPr>
        <w:t xml:space="preserve">日期： </w:t>
      </w:r>
      <w:r>
        <w:rPr>
          <w:rFonts w:ascii="等线" w:hAnsi="等线" w:cs="宋体"/>
          <w:sz w:val="24"/>
          <w:szCs w:val="24"/>
          <w:lang w:val="zh-CN" w:eastAsia="zh-CN" w:bidi="ar-SA"/>
        </w:rPr>
        <w:t xml:space="preserve"> </w:t>
      </w:r>
      <w:r>
        <w:rPr>
          <w:rFonts w:hint="eastAsia" w:ascii="等线" w:hAnsi="等线" w:cs="宋体"/>
          <w:sz w:val="24"/>
          <w:szCs w:val="24"/>
          <w:lang w:val="zh-CN" w:eastAsia="zh-CN" w:bidi="ar-SA"/>
        </w:rPr>
        <w:t xml:space="preserve">年 </w:t>
      </w:r>
      <w:r>
        <w:rPr>
          <w:rFonts w:ascii="等线" w:hAnsi="等线" w:cs="宋体"/>
          <w:sz w:val="24"/>
          <w:szCs w:val="24"/>
          <w:lang w:val="zh-CN" w:eastAsia="zh-CN" w:bidi="ar-SA"/>
        </w:rPr>
        <w:t xml:space="preserve"> </w:t>
      </w:r>
      <w:r>
        <w:rPr>
          <w:rFonts w:hint="eastAsia" w:ascii="等线" w:hAnsi="等线" w:cs="宋体"/>
          <w:sz w:val="24"/>
          <w:szCs w:val="24"/>
          <w:lang w:val="zh-CN" w:eastAsia="zh-CN" w:bidi="ar-SA"/>
        </w:rPr>
        <w:t xml:space="preserve">月 </w:t>
      </w:r>
      <w:r>
        <w:rPr>
          <w:rFonts w:ascii="等线" w:hAnsi="等线" w:cs="宋体"/>
          <w:sz w:val="24"/>
          <w:szCs w:val="24"/>
          <w:lang w:val="zh-CN" w:eastAsia="zh-CN" w:bidi="ar-SA"/>
        </w:rPr>
        <w:t xml:space="preserve"> </w:t>
      </w:r>
      <w:r>
        <w:rPr>
          <w:rFonts w:hint="eastAsia" w:ascii="等线" w:hAnsi="等线" w:cs="宋体"/>
          <w:sz w:val="24"/>
          <w:szCs w:val="24"/>
          <w:lang w:val="zh-CN" w:eastAsia="zh-CN" w:bidi="ar-SA"/>
        </w:rPr>
        <w:t>日</w:t>
      </w:r>
    </w:p>
    <w:p w14:paraId="1A63CF82">
      <w:pPr>
        <w:autoSpaceDE w:val="0"/>
        <w:autoSpaceDN w:val="0"/>
        <w:adjustRightInd w:val="0"/>
        <w:spacing w:line="480" w:lineRule="auto"/>
        <w:rPr>
          <w:rFonts w:hint="eastAsia" w:ascii="等线" w:hAnsi="等线" w:cs="宋体"/>
          <w:sz w:val="24"/>
          <w:szCs w:val="24"/>
          <w:lang w:val="zh-CN" w:eastAsia="zh-CN" w:bidi="ar-SA"/>
        </w:rPr>
      </w:pPr>
    </w:p>
    <w:p w14:paraId="1AC43063">
      <w:pPr>
        <w:autoSpaceDE w:val="0"/>
        <w:autoSpaceDN w:val="0"/>
        <w:adjustRightInd w:val="0"/>
        <w:spacing w:line="480" w:lineRule="auto"/>
        <w:rPr>
          <w:rFonts w:hint="eastAsia" w:ascii="等线" w:hAnsi="等线" w:cs="宋体"/>
          <w:sz w:val="24"/>
          <w:szCs w:val="24"/>
          <w:lang w:val="zh-CN" w:eastAsia="zh-CN" w:bidi="ar-SA"/>
        </w:rPr>
      </w:pPr>
      <w:r>
        <w:rPr>
          <w:rFonts w:hint="eastAsia" w:ascii="等线" w:hAnsi="等线" w:cs="宋体"/>
          <w:sz w:val="24"/>
          <w:szCs w:val="24"/>
          <w:lang w:val="zh-CN" w:eastAsia="zh-CN" w:bidi="ar-SA"/>
        </w:rPr>
        <w:t>注：1、交付日期指完成该项目的最终时间（日历天）。</w:t>
      </w:r>
    </w:p>
    <w:p w14:paraId="296BDCF8">
      <w:pPr>
        <w:autoSpaceDE w:val="0"/>
        <w:autoSpaceDN w:val="0"/>
        <w:adjustRightInd w:val="0"/>
        <w:spacing w:line="480" w:lineRule="auto"/>
        <w:ind w:firstLine="480" w:firstLineChars="200"/>
        <w:rPr>
          <w:rFonts w:hint="eastAsia" w:ascii="等线" w:hAnsi="等线" w:cs="宋体"/>
          <w:sz w:val="24"/>
          <w:szCs w:val="24"/>
          <w:lang w:val="zh-CN" w:eastAsia="zh-CN" w:bidi="ar-SA"/>
        </w:rPr>
      </w:pPr>
      <w:r>
        <w:rPr>
          <w:rFonts w:hint="eastAsia" w:ascii="等线" w:hAnsi="等线" w:cs="宋体"/>
          <w:sz w:val="24"/>
          <w:szCs w:val="24"/>
          <w:lang w:val="zh-CN" w:eastAsia="zh-CN" w:bidi="ar-SA"/>
        </w:rPr>
        <w:t>2、如招标公告明确项目交付日期以年为单位，本表应填写完成该项目的年限。</w:t>
      </w:r>
    </w:p>
    <w:p w14:paraId="1B49FF3C">
      <w:pPr>
        <w:pStyle w:val="13"/>
        <w:spacing w:line="360" w:lineRule="auto"/>
        <w:jc w:val="center"/>
        <w:rPr>
          <w:snapToGrid w:val="0"/>
        </w:rPr>
      </w:pPr>
    </w:p>
    <w:p w14:paraId="3AD63E47">
      <w:pPr>
        <w:autoSpaceDE w:val="0"/>
        <w:autoSpaceDN w:val="0"/>
        <w:adjustRightInd w:val="0"/>
        <w:spacing w:line="480" w:lineRule="auto"/>
        <w:rPr>
          <w:rFonts w:hint="eastAsia" w:ascii="宋体" w:cs="宋体"/>
          <w:sz w:val="24"/>
          <w:szCs w:val="24"/>
          <w:u w:val="single"/>
          <w:lang w:bidi="ar-SA"/>
        </w:rPr>
      </w:pPr>
      <w:r>
        <w:rPr>
          <w:sz w:val="24"/>
          <w:szCs w:val="24"/>
        </w:rPr>
        <w:t> </w:t>
      </w:r>
    </w:p>
    <w:p w14:paraId="17514114">
      <w:pPr>
        <w:adjustRightInd w:val="0"/>
        <w:snapToGrid w:val="0"/>
        <w:spacing w:line="360" w:lineRule="auto"/>
        <w:rPr>
          <w:rFonts w:hint="eastAsia" w:ascii="宋体" w:cs="宋体"/>
          <w:sz w:val="24"/>
          <w:szCs w:val="24"/>
          <w:u w:val="single"/>
          <w:lang w:bidi="ar-SA"/>
        </w:rPr>
      </w:pPr>
    </w:p>
    <w:p w14:paraId="53FF9D15">
      <w:pPr>
        <w:rPr>
          <w:rFonts w:hint="eastAsia" w:ascii="宋体" w:cs="黑体"/>
          <w:b/>
          <w:bCs/>
          <w:sz w:val="24"/>
          <w:szCs w:val="24"/>
          <w:lang w:val="zh-CN" w:eastAsia="zh-CN" w:bidi="ar-SA"/>
        </w:rPr>
      </w:pPr>
      <w:r>
        <w:rPr>
          <w:rFonts w:hint="eastAsia" w:ascii="等线" w:hAnsi="等线" w:cs="宋体"/>
          <w:sz w:val="24"/>
          <w:szCs w:val="24"/>
          <w:u w:val="single"/>
          <w:lang w:val="zh-CN" w:eastAsia="zh-CN" w:bidi="ar-SA"/>
        </w:rPr>
        <w:br w:type="page"/>
      </w:r>
      <w:bookmarkStart w:id="37" w:name="_Hlk51678110"/>
    </w:p>
    <w:p w14:paraId="00806FD2">
      <w:pPr>
        <w:autoSpaceDE w:val="0"/>
        <w:autoSpaceDN w:val="0"/>
        <w:adjustRightInd w:val="0"/>
        <w:spacing w:line="360" w:lineRule="auto"/>
        <w:jc w:val="center"/>
        <w:rPr>
          <w:rFonts w:hint="eastAsia" w:ascii="宋体" w:cs="黑体"/>
          <w:b/>
          <w:bCs/>
          <w:sz w:val="24"/>
          <w:szCs w:val="24"/>
          <w:lang w:val="zh-CN" w:eastAsia="zh-CN" w:bidi="ar-SA"/>
        </w:rPr>
      </w:pPr>
      <w:r>
        <w:rPr>
          <w:rFonts w:hint="eastAsia" w:ascii="宋体" w:cs="黑体"/>
          <w:b/>
          <w:bCs/>
          <w:sz w:val="24"/>
          <w:szCs w:val="24"/>
          <w:lang w:val="zh-CN" w:eastAsia="zh-CN" w:bidi="ar-SA"/>
        </w:rPr>
        <w:t>三、资格审查证明材料</w:t>
      </w:r>
    </w:p>
    <w:p w14:paraId="79D25881">
      <w:pPr>
        <w:autoSpaceDE w:val="0"/>
        <w:autoSpaceDN w:val="0"/>
        <w:spacing w:line="480" w:lineRule="auto"/>
        <w:jc w:val="center"/>
        <w:rPr>
          <w:rFonts w:hint="eastAsia" w:ascii="宋体"/>
          <w:b/>
          <w:sz w:val="24"/>
          <w:szCs w:val="24"/>
        </w:rPr>
      </w:pPr>
      <w:r>
        <w:rPr>
          <w:rFonts w:hint="eastAsia" w:ascii="宋体"/>
          <w:b/>
          <w:sz w:val="24"/>
          <w:szCs w:val="24"/>
        </w:rPr>
        <w:t>3.1 投 标 函</w:t>
      </w:r>
    </w:p>
    <w:p w14:paraId="3F47F305">
      <w:pPr>
        <w:autoSpaceDE w:val="0"/>
        <w:autoSpaceDN w:val="0"/>
        <w:adjustRightInd w:val="0"/>
        <w:spacing w:line="480" w:lineRule="auto"/>
        <w:rPr>
          <w:rFonts w:hint="eastAsia" w:ascii="宋体"/>
          <w:b/>
          <w:snapToGrid w:val="0"/>
          <w:kern w:val="0"/>
          <w:sz w:val="24"/>
          <w:szCs w:val="24"/>
        </w:rPr>
      </w:pPr>
      <w:r>
        <w:rPr>
          <w:sz w:val="24"/>
          <w:szCs w:val="24"/>
        </w:rPr>
        <w:t>致：</w:t>
      </w:r>
      <w:r>
        <w:rPr>
          <w:rFonts w:hint="eastAsia" w:ascii="宋体"/>
          <w:b/>
          <w:snapToGrid w:val="0"/>
          <w:kern w:val="0"/>
          <w:sz w:val="24"/>
          <w:szCs w:val="24"/>
        </w:rPr>
        <w:t>（招标人）</w:t>
      </w:r>
    </w:p>
    <w:p w14:paraId="0AF1FBAB">
      <w:pPr>
        <w:adjustRightInd w:val="0"/>
        <w:spacing w:line="360" w:lineRule="auto"/>
        <w:ind w:firstLine="480" w:firstLineChars="200"/>
        <w:contextualSpacing/>
        <w:outlineLvl w:val="0"/>
        <w:rPr>
          <w:rFonts w:hint="eastAsia" w:ascii="宋体"/>
          <w:snapToGrid w:val="0"/>
          <w:kern w:val="0"/>
          <w:sz w:val="24"/>
          <w:szCs w:val="24"/>
        </w:rPr>
      </w:pPr>
      <w:r>
        <w:rPr>
          <w:rFonts w:hint="eastAsia" w:ascii="宋体"/>
          <w:snapToGrid w:val="0"/>
          <w:kern w:val="0"/>
          <w:sz w:val="24"/>
          <w:szCs w:val="24"/>
        </w:rPr>
        <w:t>根据贵方</w:t>
      </w:r>
      <w:r>
        <w:rPr>
          <w:rFonts w:hint="eastAsia" w:ascii="宋体"/>
          <w:snapToGrid w:val="0"/>
          <w:kern w:val="0"/>
          <w:sz w:val="24"/>
          <w:szCs w:val="24"/>
          <w:u w:val="single"/>
        </w:rPr>
        <w:t>（项目名称、项目编号）</w:t>
      </w:r>
      <w:r>
        <w:rPr>
          <w:rFonts w:hint="eastAsia" w:ascii="宋体"/>
          <w:snapToGrid w:val="0"/>
          <w:kern w:val="0"/>
          <w:sz w:val="24"/>
          <w:szCs w:val="24"/>
        </w:rPr>
        <w:t>招标的招标公告及投标邀请，</w:t>
      </w:r>
      <w:r>
        <w:rPr>
          <w:rFonts w:hint="eastAsia" w:ascii="宋体"/>
          <w:snapToGrid w:val="0"/>
          <w:kern w:val="0"/>
          <w:sz w:val="24"/>
          <w:szCs w:val="24"/>
          <w:u w:val="single"/>
        </w:rPr>
        <w:t>（姓名和职务）</w:t>
      </w:r>
      <w:r>
        <w:rPr>
          <w:rFonts w:hint="eastAsia" w:ascii="宋体"/>
          <w:snapToGrid w:val="0"/>
          <w:kern w:val="0"/>
          <w:sz w:val="24"/>
          <w:szCs w:val="24"/>
        </w:rPr>
        <w:t>被正式授权并代表投标人</w:t>
      </w:r>
      <w:r>
        <w:rPr>
          <w:rFonts w:hint="eastAsia" w:ascii="宋体"/>
          <w:snapToGrid w:val="0"/>
          <w:kern w:val="0"/>
          <w:sz w:val="24"/>
          <w:szCs w:val="24"/>
          <w:u w:val="single"/>
        </w:rPr>
        <w:t>（投标人名称、地址）</w:t>
      </w:r>
      <w:r>
        <w:rPr>
          <w:rFonts w:hint="eastAsia" w:ascii="宋体"/>
          <w:snapToGrid w:val="0"/>
          <w:kern w:val="0"/>
          <w:sz w:val="24"/>
          <w:szCs w:val="24"/>
        </w:rPr>
        <w:t>提交。</w:t>
      </w:r>
    </w:p>
    <w:p w14:paraId="5144CD16">
      <w:pPr>
        <w:pStyle w:val="13"/>
        <w:adjustRightInd w:val="0"/>
        <w:spacing w:line="360" w:lineRule="auto"/>
        <w:ind w:firstLine="480" w:firstLineChars="200"/>
        <w:contextualSpacing/>
        <w:rPr>
          <w:rFonts w:hint="eastAsia" w:ascii="宋体"/>
          <w:snapToGrid w:val="0"/>
        </w:rPr>
      </w:pPr>
      <w:r>
        <w:rPr>
          <w:rFonts w:hint="eastAsia" w:ascii="宋体"/>
          <w:snapToGrid w:val="0"/>
        </w:rPr>
        <w:t>我方确认收到贵方提供的</w:t>
      </w:r>
      <w:r>
        <w:rPr>
          <w:rFonts w:hint="eastAsia" w:ascii="宋体"/>
          <w:snapToGrid w:val="0"/>
          <w:u w:val="single"/>
        </w:rPr>
        <w:t>（项目名称、项目编号）</w:t>
      </w:r>
      <w:r>
        <w:rPr>
          <w:rFonts w:hint="eastAsia" w:ascii="宋体"/>
          <w:snapToGrid w:val="0"/>
        </w:rPr>
        <w:t>招标文件的全部内容。</w:t>
      </w:r>
    </w:p>
    <w:p w14:paraId="03F18C84">
      <w:pPr>
        <w:pStyle w:val="13"/>
        <w:adjustRightInd w:val="0"/>
        <w:spacing w:line="360" w:lineRule="auto"/>
        <w:ind w:firstLine="480" w:firstLineChars="200"/>
        <w:contextualSpacing/>
        <w:rPr>
          <w:rFonts w:hint="eastAsia" w:ascii="宋体"/>
          <w:snapToGrid w:val="0"/>
        </w:rPr>
      </w:pPr>
      <w:r>
        <w:rPr>
          <w:rFonts w:hint="eastAsia" w:ascii="宋体"/>
          <w:snapToGrid w:val="0"/>
        </w:rPr>
        <w:t>我方在参与投标前已详细研究了《招标文件》的所有内容，包括澄清、修改文件（如果有）和所有已提供的参考资料以及有关附件，我方完全明白并认为此招标文件没有倾向性，也不存在排斥潜在</w:t>
      </w:r>
      <w:r>
        <w:rPr>
          <w:rFonts w:hint="eastAsia" w:ascii="宋体"/>
          <w:snapToGrid w:val="0"/>
          <w:lang w:eastAsia="zh-CN"/>
        </w:rPr>
        <w:t>投标</w:t>
      </w:r>
      <w:r>
        <w:rPr>
          <w:rFonts w:hint="eastAsia" w:ascii="宋体"/>
          <w:snapToGrid w:val="0"/>
        </w:rPr>
        <w:t>人的内容，我方同意招标文件的相关条款和</w:t>
      </w:r>
      <w:r>
        <w:rPr>
          <w:rFonts w:hint="eastAsia" w:ascii="宋体"/>
        </w:rPr>
        <w:t>已完全理解并接受招标文件的各项规定和要求及资金支付规定，对招标文件的合理性、合法性不再有异议，并承诺在发生争议时不会以对《招标文件》存在误解、不明白的条款为由，对贵中心行使任何法律上的抗辩权。</w:t>
      </w:r>
    </w:p>
    <w:p w14:paraId="36354272">
      <w:pPr>
        <w:adjustRightInd w:val="0"/>
        <w:spacing w:line="360" w:lineRule="auto"/>
        <w:ind w:firstLine="480" w:firstLineChars="200"/>
        <w:contextualSpacing/>
        <w:rPr>
          <w:rFonts w:hint="eastAsia" w:ascii="宋体" w:cs="Courier New"/>
          <w:sz w:val="24"/>
          <w:szCs w:val="24"/>
          <w:lang w:bidi="ar-SA"/>
        </w:rPr>
      </w:pPr>
      <w:r>
        <w:rPr>
          <w:rFonts w:hint="eastAsia" w:ascii="宋体" w:cs="Courier New"/>
          <w:sz w:val="24"/>
          <w:szCs w:val="24"/>
          <w:lang w:bidi="ar-SA"/>
        </w:rPr>
        <w:t>我方已完全明白招标文件的所有条款要求，并申明如下：</w:t>
      </w:r>
    </w:p>
    <w:p w14:paraId="0F0E96F0">
      <w:pPr>
        <w:adjustRightInd w:val="0"/>
        <w:spacing w:line="360" w:lineRule="auto"/>
        <w:ind w:firstLine="480" w:firstLineChars="200"/>
        <w:contextualSpacing/>
        <w:rPr>
          <w:rFonts w:hint="eastAsia" w:ascii="宋体" w:cs="Courier New"/>
          <w:sz w:val="24"/>
          <w:szCs w:val="24"/>
          <w:lang w:bidi="ar-SA"/>
        </w:rPr>
      </w:pPr>
      <w:r>
        <w:rPr>
          <w:rFonts w:hint="eastAsia" w:ascii="宋体" w:cs="Courier New"/>
          <w:sz w:val="24"/>
          <w:szCs w:val="24"/>
          <w:lang w:bidi="ar-SA"/>
        </w:rPr>
        <w:t>一、按招标文件提供的全部货物与相关服务的投标总价详见《开标一览表》。</w:t>
      </w:r>
    </w:p>
    <w:p w14:paraId="354CE246">
      <w:pPr>
        <w:adjustRightInd w:val="0"/>
        <w:spacing w:line="360" w:lineRule="auto"/>
        <w:ind w:firstLine="480" w:firstLineChars="200"/>
        <w:contextualSpacing/>
        <w:rPr>
          <w:rFonts w:hint="eastAsia" w:ascii="宋体" w:cs="Courier New"/>
          <w:sz w:val="24"/>
          <w:szCs w:val="24"/>
          <w:lang w:bidi="ar-SA"/>
        </w:rPr>
      </w:pPr>
      <w:r>
        <w:rPr>
          <w:rFonts w:hint="eastAsia" w:ascii="宋体" w:cs="Courier New"/>
          <w:sz w:val="24"/>
          <w:szCs w:val="24"/>
          <w:lang w:bidi="ar-SA"/>
        </w:rPr>
        <w:t>二、</w:t>
      </w:r>
      <w:r>
        <w:rPr>
          <w:rFonts w:hint="eastAsia" w:ascii="宋体"/>
          <w:sz w:val="24"/>
          <w:szCs w:val="24"/>
        </w:rPr>
        <w:t>我方同意在本项目招标文件中规定的开标日起</w:t>
      </w:r>
      <w:r>
        <w:rPr>
          <w:rFonts w:hint="eastAsia" w:ascii="宋体"/>
          <w:sz w:val="24"/>
          <w:szCs w:val="24"/>
          <w:u w:val="single"/>
        </w:rPr>
        <w:t>60</w:t>
      </w:r>
      <w:r>
        <w:rPr>
          <w:rFonts w:hint="eastAsia" w:ascii="宋体"/>
          <w:sz w:val="24"/>
          <w:szCs w:val="24"/>
        </w:rPr>
        <w:t>天内遵守本投标文件中的承诺且在此期限期满之前均具有约束力。我方同意并遵守本招标文件“投标人须知”中第十四条第三款关于延长投标有效期的规定。</w:t>
      </w:r>
      <w:r>
        <w:rPr>
          <w:rFonts w:hint="eastAsia" w:ascii="宋体" w:cs="Courier New"/>
          <w:sz w:val="24"/>
          <w:szCs w:val="24"/>
          <w:lang w:bidi="ar-SA"/>
        </w:rPr>
        <w:t>如中标，有效期将延至供货终止日为止。在此提交的资格证明文件均至投标截止日有效，如有在投标有效期内失效的，我方承诺在中标后补齐一切手续，保证所有资格证明文件能在签订招标合同时直至采购合同终止日有效。</w:t>
      </w:r>
    </w:p>
    <w:p w14:paraId="0C483F5E">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三、我方明白并同意，在规定的开标日之后，投标有效期之内撤销投标的，则我方承担违背投标承诺的责任追究。</w:t>
      </w:r>
    </w:p>
    <w:p w14:paraId="0B0CF658">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四、我方同意按照贵方可能提出的要求而提供与投标有关的任何</w:t>
      </w:r>
      <w:r>
        <w:rPr>
          <w:rFonts w:hint="eastAsia" w:cs="Courier New"/>
          <w:sz w:val="24"/>
          <w:szCs w:val="24"/>
          <w:lang w:eastAsia="zh-CN" w:bidi="ar-SA"/>
        </w:rPr>
        <w:t>其他数据</w:t>
      </w:r>
      <w:r>
        <w:rPr>
          <w:rFonts w:hint="eastAsia" w:cs="Courier New"/>
          <w:sz w:val="24"/>
          <w:szCs w:val="24"/>
          <w:lang w:bidi="ar-SA"/>
        </w:rPr>
        <w:t>、信息或资料。</w:t>
      </w:r>
    </w:p>
    <w:p w14:paraId="52002528">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五、我方理解贵方不一定接受最低投标价或任何贵方可能收到的投标。</w:t>
      </w:r>
    </w:p>
    <w:p w14:paraId="0B42998B">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六、我方如果中标，将保证履行招标文件及其澄清、修改文件（如果有）中的全部责任和义务，按质、按量、按期完成《项目需求》及《合同书》中的全部任务。</w:t>
      </w:r>
    </w:p>
    <w:p w14:paraId="75CD0216">
      <w:pPr>
        <w:adjustRightInd w:val="0"/>
        <w:spacing w:line="360" w:lineRule="auto"/>
        <w:ind w:firstLine="480" w:firstLineChars="200"/>
        <w:contextualSpacing/>
        <w:rPr>
          <w:sz w:val="24"/>
          <w:szCs w:val="24"/>
        </w:rPr>
      </w:pPr>
      <w:r>
        <w:rPr>
          <w:rFonts w:hint="eastAsia" w:cs="Courier New"/>
          <w:sz w:val="24"/>
          <w:szCs w:val="24"/>
          <w:lang w:bidi="ar-SA"/>
        </w:rPr>
        <w:t>七、我方在此保证所提交的所有文件和全部说明是真实的和正确的。</w:t>
      </w:r>
    </w:p>
    <w:p w14:paraId="394BF1EE">
      <w:pPr>
        <w:pStyle w:val="13"/>
        <w:adjustRightInd w:val="0"/>
        <w:spacing w:line="360" w:lineRule="auto"/>
        <w:ind w:firstLine="480" w:firstLineChars="200"/>
        <w:contextualSpacing/>
        <w:rPr>
          <w:rFonts w:hint="eastAsia" w:ascii="宋体"/>
        </w:rPr>
      </w:pPr>
      <w:r>
        <w:rPr>
          <w:rFonts w:hint="eastAsia" w:ascii="宋体"/>
        </w:rPr>
        <w:t xml:space="preserve">八、我方投标报价已包含应向知识产权所有权人支付的所有相关税费，并保证采购人在中国使用我方提供的货物时，如有第三方提出侵犯其知识产权主张的，责任由我方承担。 </w:t>
      </w:r>
    </w:p>
    <w:p w14:paraId="2EAEA074">
      <w:pPr>
        <w:pStyle w:val="13"/>
        <w:adjustRightInd w:val="0"/>
        <w:spacing w:line="360" w:lineRule="auto"/>
        <w:ind w:firstLine="480" w:firstLineChars="200"/>
        <w:contextualSpacing/>
        <w:rPr>
          <w:rFonts w:hint="eastAsia" w:ascii="宋体" w:cs="Arial"/>
          <w:lang w:bidi="ar-SA"/>
        </w:rPr>
      </w:pPr>
      <w:r>
        <w:rPr>
          <w:rFonts w:hint="eastAsia" w:ascii="宋体" w:cs="Arial"/>
          <w:lang w:bidi="ar-SA"/>
        </w:rPr>
        <w:t>九、我方具备《</w:t>
      </w:r>
      <w:r>
        <w:rPr>
          <w:rFonts w:hint="eastAsia" w:ascii="宋体" w:cs="Arial"/>
          <w:lang w:eastAsia="zh-CN" w:bidi="ar-SA"/>
        </w:rPr>
        <w:t>中华人民共和国政府采购法</w:t>
      </w:r>
      <w:r>
        <w:rPr>
          <w:rFonts w:hint="eastAsia" w:ascii="宋体" w:cs="Arial"/>
          <w:lang w:bidi="ar-SA"/>
        </w:rPr>
        <w:t>》第二十二条规定的条件；承诺如下：</w:t>
      </w:r>
    </w:p>
    <w:p w14:paraId="19431224">
      <w:pPr>
        <w:pStyle w:val="13"/>
        <w:adjustRightInd w:val="0"/>
        <w:spacing w:line="360" w:lineRule="auto"/>
        <w:ind w:firstLine="480" w:firstLineChars="200"/>
        <w:contextualSpacing/>
        <w:rPr>
          <w:rFonts w:hint="eastAsia" w:ascii="宋体" w:cs="Arial"/>
          <w:lang w:bidi="ar-SA"/>
        </w:rPr>
      </w:pPr>
      <w:r>
        <w:rPr>
          <w:rFonts w:hint="eastAsia" w:ascii="宋体" w:cs="Arial"/>
          <w:lang w:bidi="ar-SA"/>
        </w:rPr>
        <w:t>1. 具有独立承担民事责任能力的在中华人民共和国境内注册的法人或其他组织或自然人，有效的营业执照（或事业法人登记证或身份证等相关证明）。</w:t>
      </w:r>
    </w:p>
    <w:p w14:paraId="40051E67">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2. 我方已依法缴纳了各项税费及社会保险费用，如有需要，可随时向采购人提供近三个月内的相关缴费证明，以便核查。</w:t>
      </w:r>
    </w:p>
    <w:p w14:paraId="16461EE6">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3. 我方已依法建立健全的财务会计制度，如有需要，可随时向采购人提供相关证明材料，以便核查。</w:t>
      </w:r>
    </w:p>
    <w:p w14:paraId="06BBDBE2">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4. 参加政府采购活动前三年内，在经营活动中没有重大违法记录。</w:t>
      </w:r>
    </w:p>
    <w:p w14:paraId="2121B05B">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5. 符合法律、行政法规规定的其他条件。</w:t>
      </w:r>
    </w:p>
    <w:p w14:paraId="7FF477D2">
      <w:pPr>
        <w:adjustRightInd w:val="0"/>
        <w:spacing w:line="360" w:lineRule="auto"/>
        <w:ind w:firstLine="499" w:firstLineChars="208"/>
        <w:contextualSpacing/>
        <w:rPr>
          <w:rFonts w:hint="eastAsia" w:ascii="宋体" w:cs="Arial"/>
          <w:sz w:val="24"/>
          <w:szCs w:val="24"/>
          <w:lang w:bidi="ar-SA"/>
        </w:rPr>
      </w:pPr>
      <w:r>
        <w:rPr>
          <w:rFonts w:hint="eastAsia" w:ascii="宋体" w:cs="宋体"/>
          <w:sz w:val="24"/>
          <w:szCs w:val="24"/>
          <w:lang w:bidi="ar-SA"/>
        </w:rPr>
        <w:t>以上内容如有虚假或与事实不符的，评审委员会可将</w:t>
      </w:r>
      <w:r>
        <w:rPr>
          <w:rFonts w:hint="eastAsia" w:ascii="宋体" w:cs="Arial"/>
          <w:sz w:val="24"/>
          <w:szCs w:val="24"/>
          <w:lang w:bidi="ar-SA"/>
        </w:rPr>
        <w:t>我方</w:t>
      </w:r>
      <w:r>
        <w:rPr>
          <w:rFonts w:hint="eastAsia" w:ascii="宋体" w:cs="Arial"/>
          <w:sz w:val="24"/>
          <w:szCs w:val="24"/>
          <w:lang w:eastAsia="zh-CN" w:bidi="ar-SA"/>
        </w:rPr>
        <w:t>作</w:t>
      </w:r>
      <w:r>
        <w:rPr>
          <w:rFonts w:hint="eastAsia" w:ascii="宋体" w:cs="Arial"/>
          <w:sz w:val="24"/>
          <w:szCs w:val="24"/>
          <w:lang w:bidi="ar-SA"/>
        </w:rPr>
        <w:t>无效投标处理，我方愿意承担相应的法律责任。</w:t>
      </w:r>
    </w:p>
    <w:p w14:paraId="01865CC9">
      <w:pPr>
        <w:pStyle w:val="13"/>
        <w:adjustRightInd w:val="0"/>
        <w:spacing w:line="360" w:lineRule="auto"/>
        <w:ind w:firstLine="480" w:firstLineChars="200"/>
        <w:contextualSpacing/>
        <w:rPr>
          <w:rFonts w:hint="eastAsia" w:ascii="宋体"/>
        </w:rPr>
      </w:pPr>
      <w:r>
        <w:rPr>
          <w:rFonts w:hint="eastAsia" w:ascii="宋体"/>
        </w:rPr>
        <w:t>十、我方具备履行合同所必需的设备和专业技术能力。</w:t>
      </w:r>
    </w:p>
    <w:p w14:paraId="3285B23F">
      <w:pPr>
        <w:pStyle w:val="13"/>
        <w:adjustRightInd w:val="0"/>
        <w:spacing w:line="360" w:lineRule="auto"/>
        <w:ind w:firstLine="480" w:firstLineChars="200"/>
        <w:contextualSpacing/>
        <w:rPr>
          <w:rFonts w:hint="eastAsia" w:ascii="宋体"/>
        </w:rPr>
      </w:pPr>
      <w:r>
        <w:rPr>
          <w:rFonts w:hint="eastAsia" w:ascii="宋体"/>
          <w:snapToGrid w:val="0"/>
        </w:rPr>
        <w:t>十一、</w:t>
      </w:r>
      <w:r>
        <w:rPr>
          <w:rFonts w:hint="eastAsia" w:ascii="宋体"/>
        </w:rPr>
        <w:t>我方对在本函及投标文件中所作的所有承诺承担法律责任。</w:t>
      </w:r>
    </w:p>
    <w:p w14:paraId="1700C020">
      <w:pPr>
        <w:pStyle w:val="13"/>
        <w:adjustRightInd w:val="0"/>
        <w:snapToGrid w:val="0"/>
        <w:spacing w:line="360" w:lineRule="auto"/>
        <w:rPr>
          <w:rFonts w:hint="eastAsia" w:ascii="宋体"/>
        </w:rPr>
      </w:pPr>
    </w:p>
    <w:p w14:paraId="503B815C">
      <w:pPr>
        <w:pStyle w:val="13"/>
        <w:adjustRightInd w:val="0"/>
        <w:snapToGrid w:val="0"/>
        <w:spacing w:line="360" w:lineRule="auto"/>
        <w:rPr>
          <w:rFonts w:hint="eastAsia" w:ascii="宋体"/>
        </w:rPr>
      </w:pPr>
    </w:p>
    <w:p w14:paraId="4C7B6B1F">
      <w:pPr>
        <w:pStyle w:val="13"/>
        <w:adjustRightInd w:val="0"/>
        <w:snapToGrid w:val="0"/>
        <w:spacing w:line="360" w:lineRule="auto"/>
        <w:rPr>
          <w:rFonts w:hint="eastAsia" w:ascii="宋体"/>
        </w:rPr>
      </w:pPr>
      <w:r>
        <w:rPr>
          <w:rFonts w:hint="eastAsia" w:ascii="宋体"/>
        </w:rPr>
        <w:t>所有与本招标有关的一切正式往来请寄：</w:t>
      </w:r>
    </w:p>
    <w:p w14:paraId="2CBA40AE">
      <w:pPr>
        <w:adjustRightInd w:val="0"/>
        <w:snapToGrid w:val="0"/>
        <w:spacing w:line="360" w:lineRule="auto"/>
        <w:ind w:firstLine="480" w:firstLineChars="200"/>
        <w:rPr>
          <w:rFonts w:hint="eastAsia" w:ascii="宋体" w:cs="宋体"/>
          <w:sz w:val="24"/>
          <w:szCs w:val="24"/>
          <w:lang w:bidi="ar-SA"/>
        </w:rPr>
      </w:pPr>
      <w:r>
        <w:rPr>
          <w:rFonts w:hint="eastAsia" w:ascii="宋体" w:cs="宋体"/>
          <w:sz w:val="24"/>
          <w:szCs w:val="24"/>
          <w:lang w:bidi="ar-SA"/>
        </w:rPr>
        <w:t>地    址：           邮政编码：</w:t>
      </w:r>
    </w:p>
    <w:p w14:paraId="539380A7">
      <w:pPr>
        <w:adjustRightInd w:val="0"/>
        <w:snapToGrid w:val="0"/>
        <w:spacing w:line="360" w:lineRule="auto"/>
        <w:ind w:firstLine="480" w:firstLineChars="200"/>
        <w:rPr>
          <w:rFonts w:hint="eastAsia" w:ascii="宋体" w:cs="宋体"/>
          <w:sz w:val="24"/>
          <w:szCs w:val="24"/>
          <w:lang w:bidi="ar-SA"/>
        </w:rPr>
      </w:pPr>
      <w:r>
        <w:rPr>
          <w:rFonts w:hint="eastAsia" w:ascii="宋体" w:cs="宋体"/>
          <w:sz w:val="24"/>
          <w:szCs w:val="24"/>
          <w:lang w:bidi="ar-SA"/>
        </w:rPr>
        <w:t>电    话：           传    真：</w:t>
      </w:r>
    </w:p>
    <w:p w14:paraId="64F51E01">
      <w:pPr>
        <w:adjustRightInd w:val="0"/>
        <w:snapToGrid w:val="0"/>
        <w:spacing w:line="360" w:lineRule="auto"/>
        <w:ind w:firstLine="480" w:firstLineChars="200"/>
        <w:rPr>
          <w:rFonts w:hint="eastAsia" w:ascii="宋体" w:cs="宋体"/>
          <w:sz w:val="24"/>
          <w:szCs w:val="24"/>
          <w:u w:val="single"/>
          <w:lang w:bidi="ar-SA"/>
        </w:rPr>
      </w:pPr>
      <w:r>
        <w:rPr>
          <w:rFonts w:hint="eastAsia" w:ascii="宋体" w:cs="宋体"/>
          <w:sz w:val="24"/>
          <w:szCs w:val="24"/>
          <w:lang w:bidi="ar-SA"/>
        </w:rPr>
        <w:t>投标人代表姓名：     职    务：</w:t>
      </w:r>
    </w:p>
    <w:p w14:paraId="7223C75B">
      <w:pPr>
        <w:adjustRightInd w:val="0"/>
        <w:snapToGrid w:val="0"/>
        <w:spacing w:line="360" w:lineRule="auto"/>
        <w:ind w:firstLine="4800" w:firstLineChars="2000"/>
        <w:rPr>
          <w:rFonts w:hint="eastAsia" w:ascii="宋体" w:cs="宋体"/>
          <w:sz w:val="24"/>
          <w:szCs w:val="24"/>
          <w:lang w:bidi="ar-SA"/>
        </w:rPr>
      </w:pPr>
      <w:r>
        <w:rPr>
          <w:rFonts w:hint="eastAsia" w:ascii="宋体" w:cs="宋体"/>
          <w:sz w:val="24"/>
          <w:szCs w:val="24"/>
          <w:lang w:bidi="ar-SA"/>
        </w:rPr>
        <w:t>投标人名称（并加盖公章）：</w:t>
      </w:r>
    </w:p>
    <w:p w14:paraId="49750487">
      <w:pPr>
        <w:adjustRightInd w:val="0"/>
        <w:snapToGrid w:val="0"/>
        <w:spacing w:line="360" w:lineRule="auto"/>
        <w:ind w:firstLine="3600" w:firstLineChars="1500"/>
        <w:rPr>
          <w:rFonts w:hint="eastAsia" w:ascii="宋体" w:cs="宋体"/>
          <w:sz w:val="24"/>
          <w:szCs w:val="24"/>
          <w:lang w:bidi="ar-SA"/>
        </w:rPr>
      </w:pPr>
      <w:r>
        <w:rPr>
          <w:rFonts w:hint="eastAsia" w:ascii="等线" w:hAnsi="等线" w:cs="宋体"/>
          <w:sz w:val="24"/>
          <w:szCs w:val="24"/>
          <w:lang w:val="zh-CN" w:eastAsia="zh-CN" w:bidi="ar-SA"/>
        </w:rPr>
        <w:t>法定代表人（单位负责人）或授权代表：</w:t>
      </w:r>
      <w:r>
        <w:rPr>
          <w:rFonts w:hint="eastAsia" w:ascii="等线" w:hAnsi="等线" w:cs="宋体"/>
          <w:sz w:val="24"/>
          <w:szCs w:val="24"/>
          <w:lang w:bidi="ar-SA"/>
        </w:rPr>
        <w:t xml:space="preserve">  </w:t>
      </w:r>
      <w:r>
        <w:rPr>
          <w:rFonts w:hint="eastAsia" w:ascii="等线" w:hAnsi="等线" w:cs="宋体"/>
          <w:sz w:val="24"/>
          <w:szCs w:val="24"/>
          <w:lang w:val="zh-CN" w:eastAsia="zh-CN" w:bidi="ar-SA"/>
        </w:rPr>
        <w:t>（签字</w:t>
      </w:r>
      <w:r>
        <w:rPr>
          <w:rFonts w:hint="eastAsia" w:ascii="等线" w:hAnsi="等线" w:cs="宋体"/>
          <w:sz w:val="24"/>
          <w:szCs w:val="24"/>
          <w:lang w:bidi="ar-SA"/>
        </w:rPr>
        <w:t>并盖章</w:t>
      </w:r>
      <w:r>
        <w:rPr>
          <w:rFonts w:hint="eastAsia" w:ascii="等线" w:hAnsi="等线" w:cs="宋体"/>
          <w:sz w:val="24"/>
          <w:szCs w:val="24"/>
          <w:lang w:val="zh-CN" w:eastAsia="zh-CN" w:bidi="ar-SA"/>
        </w:rPr>
        <w:t>）</w:t>
      </w:r>
    </w:p>
    <w:p w14:paraId="59434AF5">
      <w:pPr>
        <w:adjustRightInd w:val="0"/>
        <w:snapToGrid w:val="0"/>
        <w:spacing w:line="360" w:lineRule="auto"/>
        <w:ind w:firstLine="4800" w:firstLineChars="2000"/>
        <w:rPr>
          <w:rFonts w:hint="eastAsia" w:ascii="宋体" w:cs="宋体"/>
          <w:sz w:val="24"/>
          <w:szCs w:val="24"/>
          <w:lang w:bidi="ar-SA"/>
        </w:rPr>
      </w:pPr>
      <w:r>
        <w:rPr>
          <w:rFonts w:hint="eastAsia" w:ascii="宋体" w:cs="宋体"/>
          <w:sz w:val="24"/>
          <w:szCs w:val="24"/>
          <w:lang w:bidi="ar-SA"/>
        </w:rPr>
        <w:t>日期：  年  月   日</w:t>
      </w:r>
    </w:p>
    <w:p w14:paraId="5B2FBA4D">
      <w:pPr>
        <w:rPr>
          <w:sz w:val="24"/>
          <w:szCs w:val="24"/>
        </w:rPr>
      </w:pPr>
    </w:p>
    <w:p w14:paraId="149AAFC7">
      <w:pPr>
        <w:spacing w:line="480" w:lineRule="exact"/>
        <w:jc w:val="center"/>
        <w:rPr>
          <w:rFonts w:hint="eastAsia" w:ascii="宋体"/>
          <w:b/>
          <w:bCs/>
          <w:sz w:val="24"/>
          <w:szCs w:val="24"/>
        </w:rPr>
      </w:pPr>
      <w:r>
        <w:rPr>
          <w:rFonts w:hint="eastAsia" w:ascii="宋体"/>
          <w:b/>
          <w:bCs/>
          <w:sz w:val="24"/>
          <w:szCs w:val="24"/>
        </w:rPr>
        <w:br w:type="page"/>
      </w:r>
      <w:r>
        <w:rPr>
          <w:rFonts w:hint="eastAsia" w:ascii="宋体"/>
          <w:b/>
          <w:bCs/>
          <w:sz w:val="24"/>
          <w:szCs w:val="24"/>
        </w:rPr>
        <w:t>3.2 法定代表人（单位负责人）资格证明书</w:t>
      </w:r>
    </w:p>
    <w:p w14:paraId="78447205">
      <w:pPr>
        <w:autoSpaceDE w:val="0"/>
        <w:autoSpaceDN w:val="0"/>
        <w:adjustRightInd w:val="0"/>
        <w:spacing w:line="480" w:lineRule="auto"/>
        <w:ind w:firstLine="616" w:firstLineChars="257"/>
        <w:rPr>
          <w:rFonts w:hint="eastAsia" w:ascii="宋体"/>
          <w:sz w:val="24"/>
          <w:szCs w:val="24"/>
        </w:rPr>
      </w:pPr>
    </w:p>
    <w:p w14:paraId="45A6F6E6">
      <w:pPr>
        <w:pStyle w:val="27"/>
        <w:spacing w:line="480" w:lineRule="auto"/>
        <w:ind w:firstLine="540" w:firstLineChars="225"/>
        <w:jc w:val="lef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 xml:space="preserve">单位名称：                           </w:t>
      </w:r>
    </w:p>
    <w:p w14:paraId="305C619C">
      <w:pPr>
        <w:pStyle w:val="27"/>
        <w:spacing w:line="480" w:lineRule="auto"/>
        <w:ind w:firstLine="540" w:firstLineChars="225"/>
        <w:jc w:val="lef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 xml:space="preserve">地址：                           </w:t>
      </w:r>
    </w:p>
    <w:p w14:paraId="1C39E707">
      <w:pPr>
        <w:pStyle w:val="27"/>
        <w:spacing w:line="480" w:lineRule="auto"/>
        <w:ind w:firstLine="540" w:firstLineChars="225"/>
        <w:jc w:val="lef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 xml:space="preserve">姓名：       性别：        年龄：            职务：        </w:t>
      </w:r>
    </w:p>
    <w:p w14:paraId="47B27411">
      <w:pPr>
        <w:pStyle w:val="27"/>
        <w:spacing w:line="480" w:lineRule="auto"/>
        <w:ind w:firstLine="540" w:firstLineChars="225"/>
        <w:jc w:val="lef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本人系  投标人名称  的法定代表人（单位负责人）。就参加贵方项目编号为  项目编号   的  项目名称    公开招标项目的投标报价，签署上述项目的投标文件及合同的执行、完成、服务和保修，签署合同和处理与之有关的一切事务。</w:t>
      </w:r>
    </w:p>
    <w:p w14:paraId="74DA2F6D">
      <w:pPr>
        <w:pStyle w:val="27"/>
        <w:spacing w:line="480" w:lineRule="auto"/>
        <w:ind w:firstLine="540" w:firstLineChars="225"/>
        <w:jc w:val="lef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特此证明。</w:t>
      </w:r>
    </w:p>
    <w:p w14:paraId="23CBA702">
      <w:pPr>
        <w:pStyle w:val="27"/>
        <w:spacing w:line="480" w:lineRule="auto"/>
        <w:ind w:firstLine="540" w:firstLineChars="225"/>
        <w:jc w:val="left"/>
        <w:rPr>
          <w:rFonts w:hint="eastAsia" w:ascii="宋体" w:hAnsi="宋体" w:eastAsia="宋体" w:cs="Arial"/>
          <w:kern w:val="2"/>
          <w:sz w:val="24"/>
          <w:szCs w:val="24"/>
          <w:lang w:val="en-US" w:eastAsia="zh-CN" w:bidi="ar-SA"/>
        </w:rPr>
      </w:pPr>
    </w:p>
    <w:p w14:paraId="05E66766">
      <w:pPr>
        <w:pStyle w:val="27"/>
        <w:spacing w:line="480" w:lineRule="auto"/>
        <w:ind w:firstLine="540" w:firstLineChars="225"/>
        <w:jc w:val="left"/>
        <w:rPr>
          <w:rFonts w:hint="eastAsia" w:ascii="宋体" w:hAnsi="宋体" w:eastAsia="宋体" w:cs="Arial"/>
          <w:kern w:val="2"/>
          <w:sz w:val="24"/>
          <w:szCs w:val="24"/>
          <w:lang w:val="en-US" w:eastAsia="zh-CN" w:bidi="ar-SA"/>
        </w:rPr>
      </w:pPr>
    </w:p>
    <w:p w14:paraId="272511CB">
      <w:pPr>
        <w:pStyle w:val="27"/>
        <w:spacing w:line="480" w:lineRule="auto"/>
        <w:ind w:left="-538" w:leftChars="-256" w:firstLine="616" w:firstLineChars="257"/>
        <w:jc w:val="center"/>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【此处请粘贴法定代表人（单位负责人）身份证复印件，需清晰反映身份证有效期限】</w:t>
      </w:r>
    </w:p>
    <w:p w14:paraId="72ED9D94">
      <w:pPr>
        <w:pStyle w:val="27"/>
        <w:spacing w:line="480" w:lineRule="auto"/>
        <w:ind w:left="-538" w:leftChars="-256" w:firstLine="616" w:firstLineChars="257"/>
        <w:jc w:val="center"/>
        <w:rPr>
          <w:rFonts w:hint="eastAsia" w:ascii="宋体" w:hAnsi="宋体" w:eastAsia="宋体" w:cs="Arial"/>
          <w:kern w:val="2"/>
          <w:sz w:val="24"/>
          <w:szCs w:val="24"/>
          <w:lang w:val="en-US" w:eastAsia="zh-CN" w:bidi="ar-SA"/>
        </w:rPr>
      </w:pPr>
    </w:p>
    <w:p w14:paraId="30DA1592">
      <w:pPr>
        <w:autoSpaceDE w:val="0"/>
        <w:autoSpaceDN w:val="0"/>
        <w:adjustRightInd w:val="0"/>
        <w:spacing w:line="360" w:lineRule="auto"/>
        <w:ind w:right="-11"/>
        <w:rPr>
          <w:rFonts w:hint="eastAsia" w:ascii="宋体" w:hAnsi="宋体" w:eastAsia="宋体" w:cs="Arial"/>
          <w:kern w:val="2"/>
          <w:sz w:val="24"/>
          <w:szCs w:val="24"/>
          <w:lang w:val="zh-CN" w:eastAsia="zh-CN" w:bidi="ar-SA"/>
        </w:rPr>
      </w:pPr>
    </w:p>
    <w:p w14:paraId="352EAB70">
      <w:pPr>
        <w:autoSpaceDE w:val="0"/>
        <w:autoSpaceDN w:val="0"/>
        <w:adjustRightInd w:val="0"/>
        <w:spacing w:line="360" w:lineRule="auto"/>
        <w:ind w:right="-11"/>
        <w:rPr>
          <w:rFonts w:hint="eastAsia" w:ascii="宋体" w:hAnsi="宋体" w:eastAsia="宋体" w:cs="Arial"/>
          <w:kern w:val="2"/>
          <w:sz w:val="24"/>
          <w:szCs w:val="24"/>
          <w:lang w:val="zh-CN" w:eastAsia="zh-CN" w:bidi="ar-SA"/>
        </w:rPr>
      </w:pPr>
    </w:p>
    <w:p w14:paraId="3A2C1DE8">
      <w:pPr>
        <w:autoSpaceDE w:val="0"/>
        <w:autoSpaceDN w:val="0"/>
        <w:adjustRightInd w:val="0"/>
        <w:spacing w:line="360" w:lineRule="auto"/>
        <w:ind w:right="-11"/>
        <w:rPr>
          <w:rFonts w:hint="eastAsia" w:ascii="宋体" w:hAnsi="宋体" w:eastAsia="宋体" w:cs="Arial"/>
          <w:kern w:val="2"/>
          <w:sz w:val="24"/>
          <w:szCs w:val="24"/>
          <w:lang w:val="zh-CN" w:eastAsia="zh-CN" w:bidi="ar-SA"/>
        </w:rPr>
      </w:pPr>
    </w:p>
    <w:p w14:paraId="29DFD404">
      <w:pPr>
        <w:spacing w:line="480" w:lineRule="auto"/>
        <w:ind w:firstLine="4500" w:firstLineChars="1875"/>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投标人名称（并加盖公章）：</w:t>
      </w:r>
    </w:p>
    <w:p w14:paraId="2BA22960">
      <w:pPr>
        <w:pStyle w:val="28"/>
        <w:spacing w:before="60" w:line="480" w:lineRule="auto"/>
        <w:ind w:firstLine="4500" w:firstLineChars="1875"/>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签署日期：   年   月  日</w:t>
      </w:r>
    </w:p>
    <w:p w14:paraId="66AC7A09">
      <w:pPr>
        <w:pStyle w:val="29"/>
        <w:spacing w:line="480" w:lineRule="auto"/>
        <w:rPr>
          <w:rFonts w:hint="eastAsia" w:ascii="宋体" w:cs="Arial"/>
          <w:lang w:bidi="ar-SA"/>
        </w:rPr>
      </w:pPr>
    </w:p>
    <w:p w14:paraId="654A65CF">
      <w:pPr>
        <w:rPr>
          <w:sz w:val="24"/>
          <w:szCs w:val="24"/>
        </w:rPr>
      </w:pPr>
    </w:p>
    <w:p w14:paraId="10F6F338">
      <w:pPr>
        <w:spacing w:line="320" w:lineRule="exact"/>
        <w:ind w:firstLine="480" w:firstLineChars="200"/>
        <w:rPr>
          <w:rFonts w:hint="eastAsia" w:ascii="宋体"/>
          <w:bCs/>
          <w:kern w:val="12"/>
          <w:sz w:val="24"/>
          <w:szCs w:val="24"/>
        </w:rPr>
      </w:pPr>
      <w:r>
        <w:rPr>
          <w:rFonts w:hint="eastAsia" w:ascii="宋体"/>
          <w:bCs/>
          <w:kern w:val="12"/>
          <w:sz w:val="24"/>
          <w:szCs w:val="24"/>
        </w:rPr>
        <w:t>说明：法定代表人（单位负责人）参加本招标项目投标的，仅</w:t>
      </w:r>
      <w:r>
        <w:rPr>
          <w:rFonts w:hint="eastAsia" w:ascii="宋体"/>
          <w:bCs/>
          <w:kern w:val="12"/>
          <w:sz w:val="24"/>
          <w:szCs w:val="24"/>
          <w:lang w:eastAsia="zh-CN"/>
        </w:rPr>
        <w:t>需</w:t>
      </w:r>
      <w:r>
        <w:rPr>
          <w:rFonts w:hint="eastAsia" w:ascii="宋体"/>
          <w:bCs/>
          <w:kern w:val="12"/>
          <w:sz w:val="24"/>
          <w:szCs w:val="24"/>
        </w:rPr>
        <w:t>出具此证明书。</w:t>
      </w:r>
    </w:p>
    <w:p w14:paraId="1E3FFF70">
      <w:pPr>
        <w:spacing w:line="480" w:lineRule="exact"/>
        <w:jc w:val="center"/>
        <w:rPr>
          <w:rFonts w:hint="eastAsia" w:ascii="宋体"/>
          <w:b/>
          <w:bCs/>
          <w:sz w:val="24"/>
          <w:szCs w:val="24"/>
        </w:rPr>
      </w:pPr>
    </w:p>
    <w:p w14:paraId="55983A1C">
      <w:pPr>
        <w:spacing w:line="480" w:lineRule="exact"/>
        <w:jc w:val="center"/>
        <w:rPr>
          <w:rFonts w:hint="eastAsia" w:ascii="宋体"/>
          <w:b/>
          <w:bCs/>
          <w:sz w:val="24"/>
          <w:szCs w:val="24"/>
        </w:rPr>
      </w:pPr>
      <w:r>
        <w:rPr>
          <w:rFonts w:hint="eastAsia" w:ascii="宋体"/>
          <w:b/>
          <w:bCs/>
          <w:sz w:val="24"/>
          <w:szCs w:val="24"/>
        </w:rPr>
        <w:br w:type="page"/>
      </w:r>
      <w:r>
        <w:rPr>
          <w:rFonts w:hint="eastAsia" w:ascii="宋体"/>
          <w:b/>
          <w:bCs/>
          <w:sz w:val="24"/>
          <w:szCs w:val="24"/>
        </w:rPr>
        <w:t>3.3 法定代表人（单位负责人）授权书</w:t>
      </w:r>
    </w:p>
    <w:p w14:paraId="15CC223D">
      <w:pPr>
        <w:spacing w:line="480" w:lineRule="exact"/>
        <w:jc w:val="center"/>
        <w:rPr>
          <w:rFonts w:hint="eastAsia" w:ascii="宋体"/>
          <w:b/>
          <w:bCs/>
          <w:sz w:val="24"/>
          <w:szCs w:val="24"/>
        </w:rPr>
      </w:pPr>
    </w:p>
    <w:p w14:paraId="4E2780E7">
      <w:pPr>
        <w:adjustRightInd w:val="0"/>
        <w:spacing w:line="360" w:lineRule="auto"/>
        <w:ind w:firstLine="499" w:firstLineChars="208"/>
        <w:contextualSpacing/>
        <w:rPr>
          <w:rFonts w:hint="eastAsia" w:ascii="宋体" w:cs="Arial"/>
          <w:sz w:val="24"/>
          <w:szCs w:val="24"/>
          <w:lang w:bidi="ar-SA"/>
        </w:rPr>
      </w:pPr>
      <w:r>
        <w:rPr>
          <w:rFonts w:hint="eastAsia" w:ascii="宋体"/>
          <w:sz w:val="24"/>
          <w:szCs w:val="24"/>
        </w:rPr>
        <w:t xml:space="preserve"> </w:t>
      </w:r>
      <w:r>
        <w:rPr>
          <w:rFonts w:hint="eastAsia" w:ascii="宋体" w:cs="Arial"/>
          <w:sz w:val="24"/>
          <w:szCs w:val="24"/>
          <w:lang w:bidi="ar-SA"/>
        </w:rPr>
        <w:t>本人</w:t>
      </w:r>
      <w:r>
        <w:rPr>
          <w:rFonts w:hint="eastAsia" w:ascii="宋体" w:cs="Arial"/>
          <w:sz w:val="24"/>
          <w:szCs w:val="24"/>
          <w:u w:val="single"/>
          <w:lang w:bidi="ar-SA"/>
        </w:rPr>
        <w:t xml:space="preserve">　 </w:t>
      </w:r>
      <w:r>
        <w:rPr>
          <w:rFonts w:hint="eastAsia" w:ascii="宋体"/>
          <w:i/>
          <w:snapToGrid w:val="0"/>
          <w:sz w:val="24"/>
          <w:szCs w:val="24"/>
          <w:u w:val="single"/>
        </w:rPr>
        <w:t>法人姓名</w:t>
      </w:r>
      <w:r>
        <w:rPr>
          <w:rFonts w:hint="eastAsia" w:ascii="宋体" w:cs="Arial"/>
          <w:sz w:val="24"/>
          <w:szCs w:val="24"/>
          <w:u w:val="single"/>
          <w:lang w:bidi="ar-SA"/>
        </w:rPr>
        <w:t xml:space="preserve">  </w:t>
      </w:r>
      <w:r>
        <w:rPr>
          <w:rFonts w:hint="eastAsia" w:ascii="宋体" w:cs="Arial"/>
          <w:sz w:val="24"/>
          <w:szCs w:val="24"/>
          <w:lang w:bidi="ar-SA"/>
        </w:rPr>
        <w:t>系</w:t>
      </w:r>
      <w:r>
        <w:rPr>
          <w:rFonts w:hint="eastAsia" w:ascii="宋体" w:cs="Arial"/>
          <w:sz w:val="24"/>
          <w:szCs w:val="24"/>
          <w:u w:val="single"/>
          <w:lang w:bidi="ar-SA"/>
        </w:rPr>
        <w:t>　</w:t>
      </w:r>
      <w:r>
        <w:rPr>
          <w:rFonts w:hint="eastAsia" w:ascii="宋体"/>
          <w:i/>
          <w:snapToGrid w:val="0"/>
          <w:sz w:val="24"/>
          <w:szCs w:val="24"/>
          <w:u w:val="single"/>
        </w:rPr>
        <w:t xml:space="preserve">投标人名称  </w:t>
      </w:r>
      <w:r>
        <w:rPr>
          <w:rFonts w:hint="eastAsia" w:ascii="宋体" w:cs="Arial"/>
          <w:sz w:val="24"/>
          <w:szCs w:val="24"/>
          <w:u w:val="single"/>
          <w:lang w:bidi="ar-SA"/>
        </w:rPr>
        <w:t xml:space="preserve"> </w:t>
      </w:r>
      <w:r>
        <w:rPr>
          <w:rFonts w:hint="eastAsia" w:ascii="宋体" w:cs="Arial"/>
          <w:sz w:val="24"/>
          <w:szCs w:val="24"/>
          <w:lang w:bidi="ar-SA"/>
        </w:rPr>
        <w:t>的法定代表人（单位负责人），现委托</w:t>
      </w:r>
      <w:r>
        <w:rPr>
          <w:rFonts w:hint="eastAsia" w:ascii="宋体" w:cs="Arial"/>
          <w:sz w:val="24"/>
          <w:szCs w:val="24"/>
          <w:u w:val="single"/>
          <w:lang w:bidi="ar-SA"/>
        </w:rPr>
        <w:t xml:space="preserve">　 </w:t>
      </w:r>
      <w:r>
        <w:rPr>
          <w:rFonts w:hint="eastAsia" w:ascii="宋体"/>
          <w:i/>
          <w:snapToGrid w:val="0"/>
          <w:sz w:val="24"/>
          <w:szCs w:val="24"/>
          <w:u w:val="single"/>
        </w:rPr>
        <w:t>姓名，职务</w:t>
      </w:r>
      <w:r>
        <w:rPr>
          <w:rFonts w:hint="eastAsia" w:ascii="宋体" w:cs="Arial"/>
          <w:sz w:val="24"/>
          <w:szCs w:val="24"/>
          <w:u w:val="single"/>
          <w:lang w:bidi="ar-SA"/>
        </w:rPr>
        <w:t xml:space="preserve">    </w:t>
      </w:r>
      <w:r>
        <w:rPr>
          <w:rFonts w:hint="eastAsia" w:ascii="宋体" w:cs="Arial"/>
          <w:sz w:val="24"/>
          <w:szCs w:val="24"/>
          <w:lang w:bidi="ar-SA"/>
        </w:rPr>
        <w:t>以我方的名义参加贵方______________________项目的投标活动，并代表我方全权办理针对上述项目的投标、开标、投标文件澄清、签约等一切具体事务和签署相关文件。</w:t>
      </w:r>
    </w:p>
    <w:p w14:paraId="2F97A35E">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我方对被授权人的签名事项负全部责任。</w:t>
      </w:r>
    </w:p>
    <w:p w14:paraId="3A78D650">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在贵方收到我方撤销授权的书面通知以前，本授权书一直有效。被授权人在授权书有效期内签署的所有文件不因授权的撤销而失效。除我方书面撤销授权外，本授权书自投标截止之日起直至我方的投标文件有效期结束前始终有效。</w:t>
      </w:r>
    </w:p>
    <w:p w14:paraId="15833AD6">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被授权人无转委托权，特此委托。</w:t>
      </w:r>
    </w:p>
    <w:p w14:paraId="7C349242">
      <w:pPr>
        <w:spacing w:line="480" w:lineRule="auto"/>
        <w:ind w:firstLine="480" w:firstLineChars="200"/>
        <w:rPr>
          <w:rFonts w:hint="eastAsia" w:ascii="宋体"/>
          <w:sz w:val="24"/>
          <w:szCs w:val="24"/>
        </w:rPr>
      </w:pPr>
      <w:r>
        <w:rPr>
          <w:rFonts w:hint="eastAsia" w:ascii="宋体"/>
          <w:sz w:val="24"/>
          <w:szCs w:val="24"/>
        </w:rPr>
        <w:t xml:space="preserve">投标人名称： </w:t>
      </w:r>
      <w:r>
        <w:rPr>
          <w:rFonts w:hint="eastAsia" w:ascii="宋体"/>
          <w:sz w:val="24"/>
          <w:szCs w:val="24"/>
          <w:u w:val="single"/>
        </w:rPr>
        <w:t xml:space="preserve">       （全称）       </w:t>
      </w:r>
      <w:r>
        <w:rPr>
          <w:rFonts w:hint="eastAsia" w:ascii="宋体"/>
          <w:sz w:val="24"/>
          <w:szCs w:val="24"/>
        </w:rPr>
        <w:t xml:space="preserve"> （盖单位公章）</w:t>
      </w:r>
    </w:p>
    <w:p w14:paraId="10E59B51">
      <w:pPr>
        <w:spacing w:line="480" w:lineRule="auto"/>
        <w:ind w:firstLine="480" w:firstLineChars="200"/>
        <w:rPr>
          <w:rFonts w:hint="eastAsia" w:ascii="宋体" w:cs="Arial"/>
          <w:sz w:val="24"/>
          <w:szCs w:val="24"/>
          <w:lang w:bidi="ar-SA"/>
        </w:rPr>
      </w:pPr>
      <w:r>
        <w:rPr>
          <w:rFonts w:hint="eastAsia" w:ascii="宋体" w:cs="Arial"/>
          <w:sz w:val="24"/>
          <w:szCs w:val="24"/>
          <w:lang w:bidi="ar-SA"/>
        </w:rPr>
        <w:t>法定代表人（单位负责人）：</w:t>
      </w:r>
      <w:r>
        <w:rPr>
          <w:rFonts w:hint="eastAsia" w:ascii="宋体" w:cs="Arial"/>
          <w:sz w:val="24"/>
          <w:szCs w:val="24"/>
          <w:u w:val="single"/>
          <w:lang w:bidi="ar-SA"/>
        </w:rPr>
        <w:t xml:space="preserve">              </w:t>
      </w:r>
      <w:r>
        <w:rPr>
          <w:rFonts w:hint="eastAsia" w:ascii="宋体" w:cs="Arial"/>
          <w:sz w:val="24"/>
          <w:szCs w:val="24"/>
          <w:lang w:bidi="ar-SA"/>
        </w:rPr>
        <w:t>（签字或加盖名章）</w:t>
      </w:r>
    </w:p>
    <w:p w14:paraId="16EEE4FF">
      <w:pPr>
        <w:spacing w:line="480" w:lineRule="auto"/>
        <w:ind w:firstLine="480" w:firstLineChars="200"/>
        <w:rPr>
          <w:rFonts w:hint="eastAsia" w:ascii="宋体"/>
          <w:sz w:val="24"/>
          <w:szCs w:val="24"/>
        </w:rPr>
      </w:pPr>
      <w:r>
        <w:rPr>
          <w:rFonts w:hint="eastAsia" w:ascii="宋体" w:cs="Arial"/>
          <w:sz w:val="24"/>
          <w:szCs w:val="24"/>
          <w:lang w:bidi="ar-SA"/>
        </w:rPr>
        <w:t>法定代表人（单位负责人）</w:t>
      </w:r>
      <w:r>
        <w:rPr>
          <w:rFonts w:hint="eastAsia" w:ascii="宋体"/>
          <w:sz w:val="24"/>
          <w:szCs w:val="24"/>
        </w:rPr>
        <w:t xml:space="preserve">授权代表： </w:t>
      </w:r>
      <w:r>
        <w:rPr>
          <w:rFonts w:hint="eastAsia" w:ascii="宋体"/>
          <w:sz w:val="24"/>
          <w:szCs w:val="24"/>
          <w:u w:val="single"/>
        </w:rPr>
        <w:t xml:space="preserve">         </w:t>
      </w:r>
      <w:r>
        <w:rPr>
          <w:rFonts w:hint="eastAsia" w:ascii="宋体"/>
          <w:sz w:val="24"/>
          <w:szCs w:val="24"/>
        </w:rPr>
        <w:t xml:space="preserve"> （签字或加盖名章）</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12ED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noWrap w:val="0"/>
            <w:vAlign w:val="center"/>
          </w:tcPr>
          <w:p w14:paraId="0B6D0DC9">
            <w:pPr>
              <w:jc w:val="center"/>
              <w:rPr>
                <w:rFonts w:hint="eastAsia" w:ascii="宋体"/>
                <w:sz w:val="24"/>
                <w:szCs w:val="24"/>
              </w:rPr>
            </w:pPr>
            <w:r>
              <w:rPr>
                <w:rFonts w:hint="eastAsia" w:ascii="宋体"/>
                <w:sz w:val="24"/>
                <w:szCs w:val="24"/>
              </w:rPr>
              <w:t>法定代表人（单位负责人）身份证（正面）</w:t>
            </w:r>
          </w:p>
        </w:tc>
        <w:tc>
          <w:tcPr>
            <w:tcW w:w="4485" w:type="dxa"/>
            <w:gridSpan w:val="2"/>
            <w:noWrap w:val="0"/>
            <w:vAlign w:val="center"/>
          </w:tcPr>
          <w:p w14:paraId="0099C2E3">
            <w:pPr>
              <w:jc w:val="center"/>
              <w:rPr>
                <w:rFonts w:hint="eastAsia" w:ascii="宋体"/>
                <w:sz w:val="24"/>
                <w:szCs w:val="24"/>
              </w:rPr>
            </w:pPr>
            <w:r>
              <w:rPr>
                <w:rFonts w:hint="eastAsia" w:ascii="宋体"/>
                <w:sz w:val="24"/>
                <w:szCs w:val="24"/>
              </w:rPr>
              <w:t>法定代表人（单位负责人）身份证（反面）</w:t>
            </w:r>
          </w:p>
        </w:tc>
      </w:tr>
      <w:tr w14:paraId="310F3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noWrap w:val="0"/>
            <w:vAlign w:val="center"/>
          </w:tcPr>
          <w:p w14:paraId="34FED508">
            <w:pPr>
              <w:jc w:val="center"/>
              <w:rPr>
                <w:rFonts w:hint="eastAsia" w:ascii="宋体"/>
                <w:sz w:val="24"/>
                <w:szCs w:val="24"/>
              </w:rPr>
            </w:pPr>
            <w:r>
              <w:rPr>
                <w:rFonts w:hint="eastAsia" w:ascii="宋体"/>
                <w:sz w:val="24"/>
                <w:szCs w:val="24"/>
              </w:rPr>
              <w:t>法定代表人（单位负责人）授权代表身份证</w:t>
            </w:r>
          </w:p>
          <w:p w14:paraId="45EF464F">
            <w:pPr>
              <w:jc w:val="center"/>
              <w:rPr>
                <w:rFonts w:hint="eastAsia" w:ascii="宋体"/>
                <w:sz w:val="24"/>
                <w:szCs w:val="24"/>
              </w:rPr>
            </w:pPr>
            <w:r>
              <w:rPr>
                <w:rFonts w:hint="eastAsia" w:ascii="宋体"/>
                <w:sz w:val="24"/>
                <w:szCs w:val="24"/>
              </w:rPr>
              <w:t>（正面）</w:t>
            </w:r>
          </w:p>
        </w:tc>
        <w:tc>
          <w:tcPr>
            <w:tcW w:w="4492" w:type="dxa"/>
            <w:gridSpan w:val="2"/>
            <w:noWrap w:val="0"/>
            <w:vAlign w:val="center"/>
          </w:tcPr>
          <w:p w14:paraId="5CC15CA9">
            <w:pPr>
              <w:jc w:val="center"/>
              <w:rPr>
                <w:rFonts w:hint="eastAsia" w:ascii="宋体"/>
                <w:sz w:val="24"/>
                <w:szCs w:val="24"/>
              </w:rPr>
            </w:pPr>
            <w:r>
              <w:rPr>
                <w:rFonts w:hint="eastAsia" w:ascii="宋体"/>
                <w:sz w:val="24"/>
                <w:szCs w:val="24"/>
              </w:rPr>
              <w:t>法定代表人（单位负责人）授权代表身份证</w:t>
            </w:r>
          </w:p>
          <w:p w14:paraId="297F30B2">
            <w:pPr>
              <w:jc w:val="center"/>
              <w:rPr>
                <w:rFonts w:hint="eastAsia" w:ascii="宋体"/>
                <w:sz w:val="24"/>
                <w:szCs w:val="24"/>
              </w:rPr>
            </w:pPr>
            <w:r>
              <w:rPr>
                <w:rFonts w:hint="eastAsia" w:ascii="宋体"/>
                <w:sz w:val="24"/>
                <w:szCs w:val="24"/>
              </w:rPr>
              <w:t>（反面）</w:t>
            </w:r>
          </w:p>
        </w:tc>
      </w:tr>
    </w:tbl>
    <w:p w14:paraId="0F1D2940">
      <w:pPr>
        <w:spacing w:line="320" w:lineRule="exact"/>
        <w:ind w:left="2" w:firstLine="357" w:firstLineChars="149"/>
        <w:rPr>
          <w:rFonts w:hint="eastAsia" w:ascii="宋体" w:cs="Courier New"/>
          <w:sz w:val="24"/>
          <w:szCs w:val="24"/>
          <w:lang w:bidi="ar-SA"/>
        </w:rPr>
      </w:pPr>
    </w:p>
    <w:bookmarkEnd w:id="37"/>
    <w:p w14:paraId="72905930">
      <w:pPr>
        <w:widowControl/>
        <w:spacing w:before="100" w:beforeAutospacing="1" w:after="100" w:afterAutospacing="1" w:line="360" w:lineRule="auto"/>
        <w:rPr>
          <w:rFonts w:hint="eastAsia" w:ascii="宋体"/>
          <w:b/>
          <w:bCs/>
          <w:sz w:val="24"/>
          <w:szCs w:val="24"/>
        </w:rPr>
      </w:pPr>
    </w:p>
    <w:p w14:paraId="0536C4C6">
      <w:pPr>
        <w:widowControl/>
        <w:spacing w:before="100" w:beforeAutospacing="1" w:after="100" w:afterAutospacing="1" w:line="360" w:lineRule="auto"/>
        <w:jc w:val="center"/>
        <w:rPr>
          <w:rFonts w:hint="eastAsia" w:ascii="宋体"/>
          <w:b/>
          <w:bCs/>
          <w:sz w:val="24"/>
          <w:szCs w:val="24"/>
        </w:rPr>
      </w:pPr>
      <w:r>
        <w:rPr>
          <w:rFonts w:hint="eastAsia" w:ascii="宋体"/>
          <w:b/>
          <w:bCs/>
          <w:sz w:val="24"/>
          <w:szCs w:val="24"/>
        </w:rPr>
        <w:t>3.4 投标承诺函</w:t>
      </w:r>
    </w:p>
    <w:p w14:paraId="277314AB">
      <w:pPr>
        <w:autoSpaceDE w:val="0"/>
        <w:autoSpaceDN w:val="0"/>
        <w:snapToGrid w:val="0"/>
        <w:spacing w:line="360" w:lineRule="auto"/>
        <w:jc w:val="center"/>
        <w:rPr>
          <w:rFonts w:hint="eastAsia" w:ascii="宋体"/>
          <w:b/>
          <w:bCs/>
          <w:sz w:val="24"/>
          <w:szCs w:val="24"/>
        </w:rPr>
      </w:pPr>
    </w:p>
    <w:p w14:paraId="71FDE9CD">
      <w:pPr>
        <w:spacing w:before="162" w:beforeLines="50" w:after="162" w:afterLines="50" w:line="360" w:lineRule="auto"/>
        <w:contextualSpacing/>
        <w:rPr>
          <w:rFonts w:hint="eastAsia" w:ascii="宋体" w:cs="宋体"/>
          <w:sz w:val="24"/>
          <w:szCs w:val="24"/>
          <w:lang w:val="zh-CN" w:eastAsia="zh-CN" w:bidi="ar-SA"/>
        </w:rPr>
      </w:pPr>
      <w:r>
        <w:rPr>
          <w:rFonts w:hint="eastAsia" w:ascii="宋体" w:cs="仿宋_GB2312"/>
          <w:sz w:val="24"/>
          <w:szCs w:val="24"/>
          <w:lang w:bidi="ar-SA"/>
        </w:rPr>
        <w:t>致：</w:t>
      </w:r>
      <w:r>
        <w:rPr>
          <w:rFonts w:hint="eastAsia" w:ascii="宋体" w:cs="仿宋_GB2312"/>
          <w:sz w:val="24"/>
          <w:szCs w:val="24"/>
          <w:u w:val="single"/>
          <w:lang w:bidi="ar-SA"/>
        </w:rPr>
        <w:t>招标人</w:t>
      </w:r>
    </w:p>
    <w:p w14:paraId="59EAFF2B">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经研究，我方自愿参与贵方____年____月____日________</w:t>
      </w:r>
      <w:r>
        <w:rPr>
          <w:rFonts w:hint="eastAsia" w:ascii="宋体" w:cs="宋体"/>
          <w:i/>
          <w:sz w:val="24"/>
          <w:szCs w:val="24"/>
          <w:u w:val="single"/>
          <w:lang w:val="zh-CN" w:eastAsia="zh-CN" w:bidi="ar-SA"/>
        </w:rPr>
        <w:t>（项目编号、项目名称）</w:t>
      </w:r>
      <w:r>
        <w:rPr>
          <w:rFonts w:hint="eastAsia" w:ascii="宋体" w:cs="宋体"/>
          <w:sz w:val="24"/>
          <w:szCs w:val="24"/>
          <w:lang w:val="zh-CN" w:eastAsia="zh-CN" w:bidi="ar-SA"/>
        </w:rPr>
        <w:t>的投标，将严格遵守《中华人民共和国政府采购法》等相关法律法规规定，并无条件地遵守本次采购活动各项规定。我们郑重承诺：我方如果在本次投标活动中有下列情形之一的，愿接受政府采购监督管理部门给予相关处罚并承诺依法承担相关的经济赔偿责任和法律责任。</w:t>
      </w:r>
    </w:p>
    <w:p w14:paraId="24F70981">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一、在投标有效期内撤销投标文件；</w:t>
      </w:r>
    </w:p>
    <w:p w14:paraId="3CF1B76F">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二、在投标文件中提供虚假材料；</w:t>
      </w:r>
    </w:p>
    <w:p w14:paraId="73A403CC">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三、除因不可抗力或招标文件认可的情形以外，中标后不与招标人签订合同；</w:t>
      </w:r>
    </w:p>
    <w:p w14:paraId="20A79D9E">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四、与招标人、其他投标人或者招标代理机构恶意串通；</w:t>
      </w:r>
    </w:p>
    <w:p w14:paraId="666E2E97">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五、法律法规及本招标文件规定的其他严重违法行为。</w:t>
      </w:r>
    </w:p>
    <w:p w14:paraId="467E65FD">
      <w:pPr>
        <w:rPr>
          <w:sz w:val="24"/>
          <w:szCs w:val="24"/>
          <w:u w:val="single"/>
        </w:rPr>
      </w:pPr>
    </w:p>
    <w:p w14:paraId="31514AFA">
      <w:pPr>
        <w:rPr>
          <w:sz w:val="24"/>
          <w:szCs w:val="24"/>
          <w:u w:val="single"/>
        </w:rPr>
      </w:pPr>
    </w:p>
    <w:p w14:paraId="11A285D0">
      <w:pPr>
        <w:spacing w:line="480" w:lineRule="auto"/>
        <w:ind w:firstLine="4980" w:firstLineChars="2075"/>
        <w:rPr>
          <w:rFonts w:hint="eastAsia" w:ascii="宋体" w:cs="Arial"/>
          <w:sz w:val="24"/>
          <w:szCs w:val="24"/>
          <w:lang w:bidi="ar-SA"/>
        </w:rPr>
      </w:pPr>
      <w:r>
        <w:rPr>
          <w:rFonts w:hint="eastAsia" w:ascii="宋体" w:cs="Arial"/>
          <w:sz w:val="24"/>
          <w:szCs w:val="24"/>
          <w:lang w:bidi="ar-SA"/>
        </w:rPr>
        <w:t>投标人名称（并加盖公章）：　　　　　　　　　</w:t>
      </w:r>
    </w:p>
    <w:p w14:paraId="404B081C">
      <w:pPr>
        <w:spacing w:line="480" w:lineRule="auto"/>
        <w:ind w:firstLine="4980" w:firstLineChars="2075"/>
        <w:rPr>
          <w:rFonts w:hint="eastAsia" w:ascii="宋体" w:cs="Arial"/>
          <w:sz w:val="24"/>
          <w:szCs w:val="24"/>
          <w:lang w:bidi="ar-SA"/>
        </w:rPr>
      </w:pPr>
      <w:r>
        <w:rPr>
          <w:rFonts w:hint="eastAsia" w:ascii="宋体" w:cs="Arial"/>
          <w:sz w:val="24"/>
          <w:szCs w:val="24"/>
          <w:lang w:bidi="ar-SA"/>
        </w:rPr>
        <w:t>日　  期：      年    月    日</w:t>
      </w:r>
    </w:p>
    <w:p w14:paraId="412AF2BD">
      <w:pPr>
        <w:autoSpaceDE w:val="0"/>
        <w:autoSpaceDN w:val="0"/>
        <w:adjustRightInd w:val="0"/>
        <w:spacing w:line="360" w:lineRule="auto"/>
        <w:jc w:val="center"/>
        <w:outlineLvl w:val="0"/>
        <w:rPr>
          <w:b/>
          <w:snapToGrid w:val="0"/>
          <w:kern w:val="0"/>
          <w:sz w:val="24"/>
          <w:szCs w:val="24"/>
        </w:rPr>
      </w:pPr>
    </w:p>
    <w:p w14:paraId="6F6558F7">
      <w:pPr>
        <w:autoSpaceDE w:val="0"/>
        <w:autoSpaceDN w:val="0"/>
        <w:adjustRightInd w:val="0"/>
        <w:spacing w:line="360" w:lineRule="auto"/>
        <w:jc w:val="center"/>
        <w:rPr>
          <w:rFonts w:hint="eastAsia" w:ascii="宋体" w:cs="宋体"/>
          <w:sz w:val="24"/>
          <w:szCs w:val="24"/>
          <w:lang w:val="zh-CN" w:eastAsia="zh-CN" w:bidi="ar-SA"/>
        </w:rPr>
      </w:pPr>
    </w:p>
    <w:p w14:paraId="0E3FAB46">
      <w:pPr>
        <w:autoSpaceDE w:val="0"/>
        <w:autoSpaceDN w:val="0"/>
        <w:adjustRightInd w:val="0"/>
        <w:spacing w:line="360" w:lineRule="auto"/>
        <w:jc w:val="center"/>
        <w:rPr>
          <w:rFonts w:hint="eastAsia" w:ascii="宋体" w:cs="宋体"/>
          <w:sz w:val="24"/>
          <w:szCs w:val="24"/>
          <w:lang w:val="zh-CN" w:eastAsia="zh-CN" w:bidi="ar-SA"/>
        </w:rPr>
      </w:pPr>
    </w:p>
    <w:p w14:paraId="015EDC28">
      <w:pPr>
        <w:autoSpaceDE w:val="0"/>
        <w:autoSpaceDN w:val="0"/>
        <w:adjustRightInd w:val="0"/>
        <w:spacing w:line="360" w:lineRule="auto"/>
        <w:jc w:val="center"/>
        <w:rPr>
          <w:rFonts w:hint="eastAsia" w:ascii="宋体" w:cs="宋体"/>
          <w:sz w:val="24"/>
          <w:szCs w:val="24"/>
          <w:lang w:val="zh-CN" w:eastAsia="zh-CN" w:bidi="ar-SA"/>
        </w:rPr>
      </w:pPr>
    </w:p>
    <w:p w14:paraId="5EFB6B6F">
      <w:pPr>
        <w:autoSpaceDE w:val="0"/>
        <w:autoSpaceDN w:val="0"/>
        <w:adjustRightInd w:val="0"/>
        <w:spacing w:line="360" w:lineRule="auto"/>
        <w:jc w:val="center"/>
        <w:rPr>
          <w:rFonts w:hint="eastAsia" w:ascii="宋体" w:cs="宋体"/>
          <w:sz w:val="24"/>
          <w:szCs w:val="24"/>
          <w:lang w:val="zh-CN" w:eastAsia="zh-CN" w:bidi="ar-SA"/>
        </w:rPr>
      </w:pPr>
    </w:p>
    <w:p w14:paraId="01008E51">
      <w:pPr>
        <w:autoSpaceDE w:val="0"/>
        <w:autoSpaceDN w:val="0"/>
        <w:adjustRightInd w:val="0"/>
        <w:spacing w:line="360" w:lineRule="auto"/>
        <w:jc w:val="center"/>
        <w:rPr>
          <w:rFonts w:hint="eastAsia" w:ascii="宋体" w:cs="宋体"/>
          <w:sz w:val="24"/>
          <w:szCs w:val="24"/>
          <w:lang w:val="zh-CN" w:eastAsia="zh-CN" w:bidi="ar-SA"/>
        </w:rPr>
      </w:pPr>
    </w:p>
    <w:p w14:paraId="46BE6F71">
      <w:pPr>
        <w:autoSpaceDE w:val="0"/>
        <w:autoSpaceDN w:val="0"/>
        <w:adjustRightInd w:val="0"/>
        <w:spacing w:line="360" w:lineRule="auto"/>
        <w:ind w:right="-11"/>
        <w:rPr>
          <w:rFonts w:hint="eastAsia" w:ascii="宋体" w:cs="宋体"/>
          <w:sz w:val="24"/>
          <w:szCs w:val="24"/>
          <w:lang w:val="zh-CN" w:eastAsia="zh-CN" w:bidi="ar-SA"/>
        </w:rPr>
      </w:pPr>
    </w:p>
    <w:p w14:paraId="68C97719">
      <w:pPr>
        <w:autoSpaceDE w:val="0"/>
        <w:autoSpaceDN w:val="0"/>
        <w:adjustRightInd w:val="0"/>
        <w:spacing w:line="360" w:lineRule="auto"/>
        <w:jc w:val="center"/>
        <w:rPr>
          <w:rFonts w:hint="eastAsia" w:ascii="宋体" w:cs="宋体"/>
          <w:sz w:val="24"/>
          <w:szCs w:val="24"/>
          <w:lang w:val="zh-CN" w:eastAsia="zh-CN" w:bidi="ar-SA"/>
        </w:rPr>
      </w:pPr>
    </w:p>
    <w:p w14:paraId="5E76A220">
      <w:pPr>
        <w:autoSpaceDE w:val="0"/>
        <w:autoSpaceDN w:val="0"/>
        <w:adjustRightInd w:val="0"/>
        <w:spacing w:line="360" w:lineRule="auto"/>
        <w:jc w:val="center"/>
        <w:rPr>
          <w:rFonts w:hint="eastAsia" w:ascii="宋体" w:cs="宋体"/>
          <w:sz w:val="24"/>
          <w:szCs w:val="24"/>
          <w:lang w:val="zh-CN" w:eastAsia="zh-CN" w:bidi="ar-SA"/>
        </w:rPr>
      </w:pPr>
    </w:p>
    <w:p w14:paraId="16425194">
      <w:pPr>
        <w:jc w:val="center"/>
        <w:rPr>
          <w:rFonts w:hint="eastAsia" w:ascii="微软雅黑" w:hAnsi="微软雅黑" w:eastAsia="微软雅黑" w:cs="微软雅黑"/>
          <w:sz w:val="24"/>
          <w:szCs w:val="24"/>
          <w:lang w:bidi="ar-SA"/>
        </w:rPr>
      </w:pPr>
      <w:r>
        <w:rPr>
          <w:rFonts w:hint="eastAsia" w:ascii="宋体"/>
          <w:b/>
          <w:bCs/>
          <w:sz w:val="24"/>
          <w:szCs w:val="24"/>
        </w:rPr>
        <w:br w:type="page"/>
      </w:r>
      <w:r>
        <w:rPr>
          <w:rFonts w:hint="eastAsia" w:ascii="宋体"/>
          <w:b/>
          <w:bCs/>
          <w:sz w:val="24"/>
          <w:szCs w:val="24"/>
        </w:rPr>
        <w:t>3.5</w:t>
      </w:r>
      <w:r>
        <w:rPr>
          <w:rFonts w:hint="eastAsia" w:ascii="宋体" w:cs="微软雅黑"/>
          <w:b/>
          <w:sz w:val="24"/>
          <w:szCs w:val="24"/>
          <w:lang w:bidi="ar-SA"/>
        </w:rPr>
        <w:t>长葛市政府采购供应商信用承诺函</w:t>
      </w:r>
    </w:p>
    <w:p w14:paraId="26B916FC">
      <w:pPr>
        <w:rPr>
          <w:rFonts w:hint="eastAsia" w:ascii="仿宋_GB2312" w:hAnsi="仿宋_GB2312" w:eastAsia="仿宋_GB2312" w:cs="仿宋_GB2312"/>
          <w:sz w:val="24"/>
          <w:szCs w:val="24"/>
          <w:lang w:bidi="ar-SA"/>
        </w:rPr>
      </w:pPr>
    </w:p>
    <w:p w14:paraId="0BA1A3D3">
      <w:pPr>
        <w:spacing w:line="600" w:lineRule="exact"/>
        <w:rPr>
          <w:rFonts w:hint="eastAsia" w:ascii="宋体" w:cs="仿宋_GB2312"/>
          <w:sz w:val="24"/>
          <w:szCs w:val="24"/>
          <w:lang w:bidi="ar-SA"/>
        </w:rPr>
      </w:pPr>
      <w:r>
        <w:rPr>
          <w:rFonts w:hint="eastAsia" w:ascii="宋体" w:cs="仿宋_GB2312"/>
          <w:sz w:val="24"/>
          <w:szCs w:val="24"/>
          <w:lang w:bidi="ar-SA"/>
        </w:rPr>
        <w:t>致</w:t>
      </w:r>
      <w:r>
        <w:rPr>
          <w:rFonts w:hint="eastAsia" w:ascii="宋体" w:cs="仿宋_GB2312"/>
          <w:sz w:val="24"/>
          <w:szCs w:val="24"/>
          <w:u w:val="single"/>
          <w:lang w:bidi="ar-SA"/>
        </w:rPr>
        <w:t>（采购人或采购代理机构）</w:t>
      </w:r>
      <w:r>
        <w:rPr>
          <w:rFonts w:hint="eastAsia" w:ascii="宋体" w:cs="仿宋_GB2312"/>
          <w:sz w:val="24"/>
          <w:szCs w:val="24"/>
          <w:lang w:bidi="ar-SA"/>
        </w:rPr>
        <w:t>：</w:t>
      </w:r>
    </w:p>
    <w:p w14:paraId="550D8BA4">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单位名称（自然人姓名）:</w:t>
      </w:r>
      <w:r>
        <w:rPr>
          <w:rFonts w:hint="eastAsia" w:ascii="宋体" w:cs="仿宋_GB2312"/>
          <w:spacing w:val="-11"/>
          <w:sz w:val="24"/>
          <w:szCs w:val="24"/>
          <w:u w:val="single"/>
          <w:lang w:bidi="ar-SA"/>
        </w:rPr>
        <w:t xml:space="preserve">                             </w:t>
      </w:r>
    </w:p>
    <w:p w14:paraId="7F3633CF">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统一社会信用代码（身份证号码）:</w:t>
      </w:r>
      <w:r>
        <w:rPr>
          <w:rFonts w:hint="eastAsia" w:ascii="宋体" w:cs="仿宋_GB2312"/>
          <w:spacing w:val="-11"/>
          <w:sz w:val="24"/>
          <w:szCs w:val="24"/>
          <w:u w:val="single"/>
          <w:lang w:bidi="ar-SA"/>
        </w:rPr>
        <w:t xml:space="preserve">                     </w:t>
      </w:r>
    </w:p>
    <w:p w14:paraId="1771B9F3">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法定代表人（负责人）:</w:t>
      </w:r>
      <w:r>
        <w:rPr>
          <w:rFonts w:hint="eastAsia" w:ascii="宋体" w:cs="仿宋_GB2312"/>
          <w:spacing w:val="-11"/>
          <w:sz w:val="24"/>
          <w:szCs w:val="24"/>
          <w:u w:val="single"/>
          <w:lang w:bidi="ar-SA"/>
        </w:rPr>
        <w:t xml:space="preserve">                               </w:t>
      </w:r>
    </w:p>
    <w:p w14:paraId="72A93946">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联系地址和电话：</w:t>
      </w:r>
      <w:r>
        <w:rPr>
          <w:rFonts w:hint="eastAsia" w:ascii="宋体" w:cs="仿宋_GB2312"/>
          <w:spacing w:val="-11"/>
          <w:sz w:val="24"/>
          <w:szCs w:val="24"/>
          <w:u w:val="single"/>
          <w:lang w:bidi="ar-SA"/>
        </w:rPr>
        <w:t xml:space="preserve">                                    </w:t>
      </w:r>
    </w:p>
    <w:p w14:paraId="338C6445">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为维护公平、公正、公开的政府采购市场秩序，树立诚实守信的政府采购投标人形象，我单位（本人）自愿作出以下承诺：</w:t>
      </w:r>
    </w:p>
    <w:p w14:paraId="74B3F2E4">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一、我单位（本人）自愿参加本次政府采购活动，严格遵守《</w:t>
      </w:r>
      <w:r>
        <w:rPr>
          <w:rFonts w:hint="eastAsia" w:ascii="宋体" w:cs="仿宋_GB2312"/>
          <w:spacing w:val="-11"/>
          <w:sz w:val="24"/>
          <w:szCs w:val="24"/>
          <w:lang w:eastAsia="zh-CN" w:bidi="ar-SA"/>
        </w:rPr>
        <w:t>中华人民共和国政府采购法</w:t>
      </w:r>
      <w:r>
        <w:rPr>
          <w:rFonts w:hint="eastAsia" w:ascii="宋体" w:cs="仿宋_GB2312"/>
          <w:spacing w:val="-11"/>
          <w:sz w:val="24"/>
          <w:szCs w:val="24"/>
          <w:lang w:bidi="ar-SA"/>
        </w:rPr>
        <w:t>》及相关法律法规，依法诚信经营，无条件遵守本次政府采购活动的各项规定，我单位（本人）郑重承诺，我单位（本人）符合《</w:t>
      </w:r>
      <w:r>
        <w:rPr>
          <w:rFonts w:hint="eastAsia" w:ascii="宋体" w:cs="仿宋_GB2312"/>
          <w:spacing w:val="-11"/>
          <w:sz w:val="24"/>
          <w:szCs w:val="24"/>
          <w:lang w:eastAsia="zh-CN" w:bidi="ar-SA"/>
        </w:rPr>
        <w:t>中华人民共和国政府采购法</w:t>
      </w:r>
      <w:r>
        <w:rPr>
          <w:rFonts w:hint="eastAsia" w:ascii="宋体" w:cs="仿宋_GB2312"/>
          <w:spacing w:val="-11"/>
          <w:sz w:val="24"/>
          <w:szCs w:val="24"/>
          <w:lang w:bidi="ar-SA"/>
        </w:rPr>
        <w:t>》第二十二条规定和招标文件、本承诺书的条件：</w:t>
      </w:r>
    </w:p>
    <w:p w14:paraId="18F12991">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（一）具有独立承担民事责任的能力；</w:t>
      </w:r>
    </w:p>
    <w:p w14:paraId="38F2C447">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（二）具有良好的商业信誉和健全的财务会计制度；</w:t>
      </w:r>
    </w:p>
    <w:p w14:paraId="5FEA4560">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（三）具有履行合同所必需的设备和专业技术能力；</w:t>
      </w:r>
    </w:p>
    <w:p w14:paraId="287C58A7">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（四）有依法缴纳税收和社会保障资金的良好记录；</w:t>
      </w:r>
    </w:p>
    <w:p w14:paraId="71D8A501">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（五）参加政府采购活动前三年内，在经营活动中没有重大违法记录；</w:t>
      </w:r>
    </w:p>
    <w:p w14:paraId="0ACA254D">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（六）未被列入失信被执行人、重大税收违法案件当事人名单、政府采购严重违法失信行为记录名单、严重违法失信社会组织；</w:t>
      </w:r>
    </w:p>
    <w:p w14:paraId="098C610C">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（七）与参加本项目投标的其他供应商之间，单位负责人不为同一人并且不存在直接控股、管理关系；</w:t>
      </w:r>
    </w:p>
    <w:p w14:paraId="2F7EFD1C">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（八）未为本项目提供整体设计、规范编制或者项目管理、监理、检测等服务；</w:t>
      </w:r>
    </w:p>
    <w:p w14:paraId="4BC0D8A5">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（九）符合法律、行政法规规定的其他条件。</w:t>
      </w:r>
    </w:p>
    <w:p w14:paraId="05612F8F">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二、我单位（本人）保证上述承诺事项的真实性。如有弄虚作假或其他违法违规行为，自愿按照规定将违背承诺行为作为失信行为记录到社会信用信息平台，并视同为“提供虚假材料谋取中标、成交”按照《</w:t>
      </w:r>
      <w:r>
        <w:rPr>
          <w:rFonts w:hint="eastAsia" w:ascii="宋体" w:cs="仿宋_GB2312"/>
          <w:spacing w:val="-11"/>
          <w:sz w:val="24"/>
          <w:szCs w:val="24"/>
          <w:lang w:eastAsia="zh-CN" w:bidi="ar-SA"/>
        </w:rPr>
        <w:t>中华人民共和国政府采购法</w:t>
      </w:r>
      <w:r>
        <w:rPr>
          <w:rFonts w:hint="eastAsia" w:ascii="宋体" w:cs="仿宋_GB2312"/>
          <w:spacing w:val="-11"/>
          <w:sz w:val="24"/>
          <w:szCs w:val="24"/>
          <w:lang w:bidi="ar-SA"/>
        </w:rPr>
        <w:t>》第七十七、七十九条规定，处以招标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3122BA60">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投标人（电子章）:</w:t>
      </w:r>
    </w:p>
    <w:p w14:paraId="1C747607">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法定代表人、负责人、本人</w:t>
      </w:r>
      <w:r>
        <w:rPr>
          <w:rFonts w:hint="eastAsia" w:ascii="宋体" w:cs="仿宋_GB2312"/>
          <w:spacing w:val="-11"/>
          <w:sz w:val="24"/>
          <w:szCs w:val="24"/>
          <w:lang w:eastAsia="zh-CN" w:bidi="ar-SA"/>
        </w:rPr>
        <w:t>或</w:t>
      </w:r>
      <w:r>
        <w:rPr>
          <w:rFonts w:hint="eastAsia" w:ascii="宋体" w:cs="仿宋_GB2312"/>
          <w:spacing w:val="-11"/>
          <w:sz w:val="24"/>
          <w:szCs w:val="24"/>
          <w:lang w:bidi="ar-SA"/>
        </w:rPr>
        <w:t>授权代表（签字或电子印章）:</w:t>
      </w:r>
    </w:p>
    <w:p w14:paraId="5A3E33A0">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日期：    年   月  日</w:t>
      </w:r>
    </w:p>
    <w:p w14:paraId="797F4D85">
      <w:pPr>
        <w:rPr>
          <w:rFonts w:hint="eastAsia" w:ascii="仿宋_GB2312" w:hAnsi="仿宋_GB2312" w:eastAsia="仿宋_GB2312" w:cs="仿宋_GB2312"/>
          <w:sz w:val="24"/>
          <w:szCs w:val="24"/>
          <w:lang w:bidi="ar-SA"/>
        </w:rPr>
      </w:pPr>
    </w:p>
    <w:p w14:paraId="6BDD848D">
      <w:pPr>
        <w:rPr>
          <w:rFonts w:hint="eastAsia" w:ascii="华文仿宋" w:hAnsi="华文仿宋" w:eastAsia="华文仿宋" w:cs="华文仿宋"/>
          <w:sz w:val="24"/>
          <w:szCs w:val="24"/>
          <w:lang w:bidi="ar-SA"/>
        </w:rPr>
      </w:pPr>
    </w:p>
    <w:p w14:paraId="1DF3966C">
      <w:pPr>
        <w:rPr>
          <w:rFonts w:hint="eastAsia" w:ascii="宋体" w:cs="华文仿宋"/>
          <w:b/>
          <w:sz w:val="24"/>
          <w:szCs w:val="24"/>
          <w:lang w:bidi="ar-SA"/>
        </w:rPr>
      </w:pPr>
      <w:r>
        <w:rPr>
          <w:rFonts w:hint="eastAsia" w:ascii="宋体" w:cs="华文仿宋"/>
          <w:b/>
          <w:sz w:val="24"/>
          <w:szCs w:val="24"/>
          <w:lang w:bidi="ar-SA"/>
        </w:rPr>
        <w:t>注：1.投标人须在投标文件中按此模板提供承诺函，未提供视为未实质性响应招标文件要求，按无效投标处理。</w:t>
      </w:r>
    </w:p>
    <w:p w14:paraId="020FB224">
      <w:pPr>
        <w:rPr>
          <w:rFonts w:hint="eastAsia" w:ascii="宋体" w:cs="华文仿宋"/>
          <w:b/>
          <w:sz w:val="24"/>
          <w:szCs w:val="24"/>
          <w:lang w:bidi="ar-SA"/>
        </w:rPr>
      </w:pPr>
      <w:r>
        <w:rPr>
          <w:rFonts w:hint="eastAsia" w:ascii="宋体" w:cs="华文仿宋"/>
          <w:b/>
          <w:sz w:val="24"/>
          <w:szCs w:val="24"/>
          <w:lang w:bidi="ar-SA"/>
        </w:rPr>
        <w:t>2.投标人的法定代表人或者授权代表的签字或盖章应真实、有效，如由授权代表签字或盖章的，应提供“法定代表人授权书”。</w:t>
      </w:r>
    </w:p>
    <w:p w14:paraId="69816FF1">
      <w:pPr>
        <w:spacing w:line="360" w:lineRule="auto"/>
        <w:jc w:val="center"/>
        <w:rPr>
          <w:rFonts w:hint="eastAsia" w:ascii="仿宋" w:hAnsi="仿宋" w:eastAsia="仿宋"/>
          <w:sz w:val="24"/>
          <w:szCs w:val="24"/>
        </w:rPr>
      </w:pPr>
    </w:p>
    <w:p w14:paraId="4D0DCDBF">
      <w:pPr>
        <w:rPr>
          <w:rFonts w:hint="eastAsia" w:ascii="仿宋" w:hAnsi="仿宋" w:eastAsia="仿宋"/>
          <w:sz w:val="24"/>
          <w:szCs w:val="24"/>
        </w:rPr>
      </w:pPr>
    </w:p>
    <w:p w14:paraId="6D5A75F2">
      <w:pPr>
        <w:rPr>
          <w:rFonts w:hint="eastAsia" w:ascii="仿宋" w:hAnsi="仿宋" w:eastAsia="仿宋"/>
          <w:sz w:val="24"/>
          <w:szCs w:val="24"/>
        </w:rPr>
      </w:pPr>
    </w:p>
    <w:p w14:paraId="3EF30056">
      <w:pPr>
        <w:rPr>
          <w:rFonts w:hint="eastAsia" w:ascii="仿宋" w:hAnsi="仿宋" w:eastAsia="仿宋"/>
          <w:sz w:val="24"/>
          <w:szCs w:val="24"/>
        </w:rPr>
      </w:pPr>
    </w:p>
    <w:p w14:paraId="46F33C75">
      <w:pPr>
        <w:pStyle w:val="9"/>
        <w:rPr>
          <w:rFonts w:hint="eastAsia" w:ascii="宋体" w:cs="宋体"/>
          <w:sz w:val="24"/>
          <w:szCs w:val="24"/>
          <w:lang w:val="zh-CN" w:eastAsia="zh-CN" w:bidi="ar-SA"/>
        </w:rPr>
      </w:pPr>
    </w:p>
    <w:p w14:paraId="1199F9BD">
      <w:pPr>
        <w:pStyle w:val="9"/>
        <w:rPr>
          <w:rFonts w:hint="eastAsia" w:ascii="宋体" w:cs="宋体"/>
          <w:sz w:val="24"/>
          <w:szCs w:val="24"/>
          <w:lang w:val="zh-CN" w:eastAsia="zh-CN" w:bidi="ar-SA"/>
        </w:rPr>
      </w:pPr>
    </w:p>
    <w:p w14:paraId="3DFDCEBA">
      <w:pPr>
        <w:pStyle w:val="9"/>
        <w:rPr>
          <w:rFonts w:hint="eastAsia" w:ascii="宋体" w:cs="宋体"/>
          <w:sz w:val="24"/>
          <w:szCs w:val="24"/>
          <w:lang w:val="zh-CN" w:eastAsia="zh-CN" w:bidi="ar-SA"/>
        </w:rPr>
      </w:pPr>
    </w:p>
    <w:p w14:paraId="08D18FB2">
      <w:pPr>
        <w:spacing w:line="360" w:lineRule="auto"/>
        <w:rPr>
          <w:rFonts w:hint="eastAsia" w:ascii="宋体"/>
          <w:b/>
          <w:bCs/>
          <w:sz w:val="24"/>
          <w:szCs w:val="24"/>
        </w:rPr>
      </w:pPr>
    </w:p>
    <w:p w14:paraId="543F0B0D">
      <w:pPr>
        <w:spacing w:line="360" w:lineRule="auto"/>
        <w:jc w:val="center"/>
        <w:rPr>
          <w:rFonts w:hint="eastAsia" w:ascii="宋体"/>
          <w:b/>
          <w:bCs/>
          <w:sz w:val="24"/>
          <w:szCs w:val="24"/>
        </w:rPr>
      </w:pPr>
      <w:r>
        <w:rPr>
          <w:rFonts w:hint="eastAsia" w:ascii="宋体"/>
          <w:b/>
          <w:bCs/>
          <w:sz w:val="24"/>
          <w:szCs w:val="24"/>
        </w:rPr>
        <w:br w:type="page"/>
      </w:r>
    </w:p>
    <w:p w14:paraId="18657B5F">
      <w:pPr>
        <w:spacing w:line="360" w:lineRule="auto"/>
        <w:jc w:val="center"/>
        <w:rPr>
          <w:rFonts w:hint="eastAsia" w:ascii="宋体"/>
          <w:b/>
          <w:bCs/>
          <w:sz w:val="24"/>
          <w:szCs w:val="24"/>
        </w:rPr>
      </w:pPr>
      <w:r>
        <w:rPr>
          <w:rFonts w:hint="eastAsia" w:ascii="宋体"/>
          <w:b/>
          <w:bCs/>
          <w:sz w:val="24"/>
          <w:szCs w:val="24"/>
        </w:rPr>
        <w:t>3.6投标人提供与参加本项目投标的其他投标人之间，单位负责人不为同一人并且不存在直接控股、管理关系承诺函</w:t>
      </w:r>
    </w:p>
    <w:p w14:paraId="6823C4C1">
      <w:pPr>
        <w:spacing w:line="360" w:lineRule="auto"/>
        <w:jc w:val="center"/>
        <w:rPr>
          <w:rFonts w:hint="eastAsia" w:ascii="宋体"/>
          <w:bCs/>
          <w:sz w:val="24"/>
          <w:szCs w:val="24"/>
        </w:rPr>
      </w:pPr>
      <w:r>
        <w:rPr>
          <w:rFonts w:hint="eastAsia" w:ascii="宋体"/>
          <w:bCs/>
          <w:sz w:val="24"/>
          <w:szCs w:val="24"/>
        </w:rPr>
        <w:t>（承诺函格式自拟）</w:t>
      </w:r>
    </w:p>
    <w:p w14:paraId="634E44B1">
      <w:pPr>
        <w:autoSpaceDE w:val="0"/>
        <w:autoSpaceDN w:val="0"/>
        <w:adjustRightInd w:val="0"/>
        <w:spacing w:line="360" w:lineRule="auto"/>
        <w:jc w:val="center"/>
        <w:outlineLvl w:val="0"/>
        <w:rPr>
          <w:rFonts w:hint="eastAsia" w:ascii="宋体"/>
          <w:b/>
          <w:bCs/>
          <w:sz w:val="24"/>
          <w:szCs w:val="24"/>
        </w:rPr>
      </w:pPr>
    </w:p>
    <w:p w14:paraId="54BA190B">
      <w:pPr>
        <w:widowControl/>
        <w:jc w:val="left"/>
        <w:rPr>
          <w:rFonts w:hint="eastAsia" w:ascii="宋体"/>
          <w:b/>
          <w:bCs/>
          <w:sz w:val="24"/>
          <w:szCs w:val="24"/>
        </w:rPr>
      </w:pPr>
      <w:r>
        <w:rPr>
          <w:rFonts w:hint="eastAsia" w:ascii="宋体"/>
          <w:b/>
          <w:bCs/>
          <w:sz w:val="24"/>
          <w:szCs w:val="24"/>
        </w:rPr>
        <w:br w:type="page"/>
      </w:r>
    </w:p>
    <w:p w14:paraId="0F5B4CAC">
      <w:pPr>
        <w:spacing w:line="360" w:lineRule="auto"/>
        <w:jc w:val="center"/>
        <w:rPr>
          <w:rFonts w:hint="eastAsia" w:ascii="宋体"/>
          <w:b/>
          <w:bCs/>
          <w:sz w:val="24"/>
          <w:szCs w:val="24"/>
        </w:rPr>
      </w:pPr>
      <w:r>
        <w:rPr>
          <w:rFonts w:hint="eastAsia" w:ascii="宋体"/>
          <w:b/>
          <w:bCs/>
          <w:sz w:val="24"/>
          <w:szCs w:val="24"/>
        </w:rPr>
        <w:t>3.7投标人提供未为本项目提供整体设计、规范编制或者项目管理、监理、检测等服务承诺函</w:t>
      </w:r>
    </w:p>
    <w:p w14:paraId="7AA7987B">
      <w:pPr>
        <w:spacing w:line="360" w:lineRule="auto"/>
        <w:jc w:val="center"/>
        <w:rPr>
          <w:rFonts w:hint="eastAsia" w:ascii="宋体"/>
          <w:bCs/>
          <w:sz w:val="24"/>
          <w:szCs w:val="24"/>
        </w:rPr>
      </w:pPr>
      <w:r>
        <w:rPr>
          <w:rFonts w:hint="eastAsia" w:ascii="宋体"/>
          <w:bCs/>
          <w:sz w:val="24"/>
          <w:szCs w:val="24"/>
        </w:rPr>
        <w:t>（承诺函格式自拟）</w:t>
      </w:r>
    </w:p>
    <w:p w14:paraId="0D73481E">
      <w:pPr>
        <w:spacing w:line="360" w:lineRule="auto"/>
        <w:jc w:val="center"/>
        <w:rPr>
          <w:rFonts w:hint="eastAsia" w:ascii="宋体"/>
          <w:bCs/>
          <w:sz w:val="24"/>
          <w:szCs w:val="24"/>
        </w:rPr>
      </w:pPr>
    </w:p>
    <w:p w14:paraId="0105EB8B">
      <w:pPr>
        <w:spacing w:line="360" w:lineRule="auto"/>
        <w:jc w:val="center"/>
        <w:rPr>
          <w:rFonts w:hint="eastAsia" w:ascii="宋体"/>
          <w:bCs/>
          <w:sz w:val="24"/>
          <w:szCs w:val="24"/>
        </w:rPr>
      </w:pPr>
    </w:p>
    <w:p w14:paraId="1B93259E">
      <w:pPr>
        <w:spacing w:line="360" w:lineRule="auto"/>
        <w:jc w:val="center"/>
        <w:rPr>
          <w:rFonts w:hint="eastAsia" w:ascii="宋体"/>
          <w:bCs/>
          <w:sz w:val="24"/>
          <w:szCs w:val="24"/>
        </w:rPr>
      </w:pPr>
    </w:p>
    <w:p w14:paraId="711871D5">
      <w:pPr>
        <w:spacing w:line="360" w:lineRule="auto"/>
        <w:jc w:val="center"/>
        <w:rPr>
          <w:rFonts w:hint="eastAsia" w:ascii="宋体"/>
          <w:bCs/>
          <w:sz w:val="24"/>
          <w:szCs w:val="24"/>
        </w:rPr>
      </w:pPr>
    </w:p>
    <w:p w14:paraId="2054AB62">
      <w:pPr>
        <w:spacing w:line="360" w:lineRule="auto"/>
        <w:jc w:val="center"/>
        <w:rPr>
          <w:rFonts w:hint="eastAsia" w:ascii="宋体"/>
          <w:bCs/>
          <w:sz w:val="24"/>
          <w:szCs w:val="24"/>
        </w:rPr>
      </w:pPr>
    </w:p>
    <w:p w14:paraId="06346FAB">
      <w:pPr>
        <w:spacing w:line="360" w:lineRule="auto"/>
        <w:jc w:val="center"/>
        <w:rPr>
          <w:rFonts w:hint="eastAsia" w:ascii="宋体"/>
          <w:bCs/>
          <w:sz w:val="24"/>
          <w:szCs w:val="24"/>
        </w:rPr>
      </w:pPr>
    </w:p>
    <w:p w14:paraId="503994B4">
      <w:pPr>
        <w:spacing w:line="360" w:lineRule="auto"/>
        <w:jc w:val="center"/>
        <w:rPr>
          <w:rFonts w:hint="eastAsia" w:ascii="宋体"/>
          <w:bCs/>
          <w:sz w:val="24"/>
          <w:szCs w:val="24"/>
        </w:rPr>
      </w:pPr>
    </w:p>
    <w:p w14:paraId="2125D35A">
      <w:pPr>
        <w:spacing w:line="360" w:lineRule="auto"/>
        <w:jc w:val="center"/>
        <w:rPr>
          <w:rFonts w:hint="eastAsia" w:ascii="宋体"/>
          <w:bCs/>
          <w:sz w:val="24"/>
          <w:szCs w:val="24"/>
        </w:rPr>
      </w:pPr>
    </w:p>
    <w:p w14:paraId="14C59E9E">
      <w:pPr>
        <w:spacing w:line="360" w:lineRule="auto"/>
        <w:jc w:val="center"/>
        <w:rPr>
          <w:rFonts w:hint="eastAsia" w:ascii="宋体"/>
          <w:bCs/>
          <w:sz w:val="24"/>
          <w:szCs w:val="24"/>
        </w:rPr>
      </w:pPr>
    </w:p>
    <w:p w14:paraId="0D14BF2A">
      <w:pPr>
        <w:spacing w:line="360" w:lineRule="auto"/>
        <w:jc w:val="center"/>
        <w:rPr>
          <w:rFonts w:hint="eastAsia" w:ascii="宋体"/>
          <w:bCs/>
          <w:sz w:val="24"/>
          <w:szCs w:val="24"/>
        </w:rPr>
      </w:pPr>
    </w:p>
    <w:p w14:paraId="18876948">
      <w:pPr>
        <w:spacing w:line="360" w:lineRule="auto"/>
        <w:jc w:val="center"/>
        <w:rPr>
          <w:rFonts w:hint="eastAsia" w:ascii="宋体"/>
          <w:bCs/>
          <w:sz w:val="24"/>
          <w:szCs w:val="24"/>
        </w:rPr>
      </w:pPr>
    </w:p>
    <w:p w14:paraId="66B814F8">
      <w:pPr>
        <w:spacing w:line="360" w:lineRule="auto"/>
        <w:jc w:val="center"/>
        <w:rPr>
          <w:rFonts w:hint="eastAsia" w:ascii="宋体"/>
          <w:bCs/>
          <w:sz w:val="24"/>
          <w:szCs w:val="24"/>
        </w:rPr>
      </w:pPr>
    </w:p>
    <w:p w14:paraId="67CD1D69">
      <w:pPr>
        <w:spacing w:line="360" w:lineRule="auto"/>
        <w:jc w:val="center"/>
        <w:rPr>
          <w:rFonts w:hint="eastAsia" w:ascii="宋体"/>
          <w:bCs/>
          <w:sz w:val="24"/>
          <w:szCs w:val="24"/>
        </w:rPr>
      </w:pPr>
    </w:p>
    <w:p w14:paraId="3EBDBE12">
      <w:pPr>
        <w:spacing w:line="360" w:lineRule="auto"/>
        <w:jc w:val="center"/>
        <w:rPr>
          <w:rFonts w:hint="eastAsia" w:ascii="宋体"/>
          <w:bCs/>
          <w:sz w:val="24"/>
          <w:szCs w:val="24"/>
        </w:rPr>
      </w:pPr>
    </w:p>
    <w:p w14:paraId="3F4BEA1E">
      <w:pPr>
        <w:spacing w:line="360" w:lineRule="auto"/>
        <w:jc w:val="center"/>
        <w:rPr>
          <w:rFonts w:hint="eastAsia" w:ascii="宋体"/>
          <w:bCs/>
          <w:sz w:val="24"/>
          <w:szCs w:val="24"/>
        </w:rPr>
      </w:pPr>
    </w:p>
    <w:p w14:paraId="54ED967B">
      <w:pPr>
        <w:spacing w:line="360" w:lineRule="auto"/>
        <w:jc w:val="center"/>
        <w:rPr>
          <w:rFonts w:hint="eastAsia" w:ascii="宋体"/>
          <w:bCs/>
          <w:sz w:val="24"/>
          <w:szCs w:val="24"/>
        </w:rPr>
      </w:pPr>
    </w:p>
    <w:p w14:paraId="2AD4C137">
      <w:pPr>
        <w:spacing w:line="360" w:lineRule="auto"/>
        <w:jc w:val="center"/>
        <w:rPr>
          <w:rFonts w:hint="eastAsia" w:ascii="宋体"/>
          <w:bCs/>
          <w:sz w:val="24"/>
          <w:szCs w:val="24"/>
        </w:rPr>
      </w:pPr>
    </w:p>
    <w:p w14:paraId="091CF37E">
      <w:pPr>
        <w:spacing w:line="360" w:lineRule="auto"/>
        <w:jc w:val="center"/>
        <w:rPr>
          <w:rFonts w:hint="eastAsia" w:ascii="宋体"/>
          <w:bCs/>
          <w:sz w:val="24"/>
          <w:szCs w:val="24"/>
        </w:rPr>
      </w:pPr>
    </w:p>
    <w:p w14:paraId="7D054664">
      <w:pPr>
        <w:spacing w:line="360" w:lineRule="auto"/>
        <w:jc w:val="center"/>
        <w:rPr>
          <w:rFonts w:hint="eastAsia" w:ascii="宋体"/>
          <w:bCs/>
          <w:sz w:val="24"/>
          <w:szCs w:val="24"/>
        </w:rPr>
      </w:pPr>
    </w:p>
    <w:p w14:paraId="3CB9C789">
      <w:pPr>
        <w:spacing w:line="360" w:lineRule="auto"/>
        <w:jc w:val="center"/>
        <w:rPr>
          <w:rFonts w:hint="eastAsia" w:ascii="宋体"/>
          <w:bCs/>
          <w:sz w:val="24"/>
          <w:szCs w:val="24"/>
        </w:rPr>
      </w:pPr>
    </w:p>
    <w:p w14:paraId="73A0373F">
      <w:pPr>
        <w:spacing w:line="360" w:lineRule="auto"/>
        <w:jc w:val="center"/>
        <w:rPr>
          <w:rFonts w:hint="eastAsia" w:ascii="宋体"/>
          <w:bCs/>
          <w:sz w:val="24"/>
          <w:szCs w:val="24"/>
        </w:rPr>
      </w:pPr>
    </w:p>
    <w:p w14:paraId="448A469A">
      <w:pPr>
        <w:spacing w:line="360" w:lineRule="auto"/>
        <w:jc w:val="center"/>
        <w:rPr>
          <w:rFonts w:hint="eastAsia" w:ascii="宋体"/>
          <w:bCs/>
          <w:sz w:val="24"/>
          <w:szCs w:val="24"/>
        </w:rPr>
      </w:pPr>
    </w:p>
    <w:p w14:paraId="26EADF02">
      <w:pPr>
        <w:autoSpaceDE w:val="0"/>
        <w:autoSpaceDN w:val="0"/>
        <w:adjustRightInd w:val="0"/>
        <w:spacing w:line="360" w:lineRule="auto"/>
        <w:jc w:val="center"/>
        <w:outlineLvl w:val="0"/>
        <w:rPr>
          <w:rFonts w:hint="eastAsia" w:ascii="宋体"/>
          <w:b/>
          <w:bCs/>
          <w:sz w:val="24"/>
          <w:szCs w:val="24"/>
        </w:rPr>
      </w:pPr>
    </w:p>
    <w:p w14:paraId="3025A425">
      <w:pPr>
        <w:autoSpaceDE w:val="0"/>
        <w:autoSpaceDN w:val="0"/>
        <w:adjustRightInd w:val="0"/>
        <w:spacing w:line="360" w:lineRule="auto"/>
        <w:jc w:val="center"/>
        <w:outlineLvl w:val="0"/>
        <w:rPr>
          <w:rFonts w:hint="eastAsia" w:ascii="宋体"/>
          <w:b/>
          <w:bCs/>
          <w:sz w:val="24"/>
          <w:szCs w:val="24"/>
        </w:rPr>
      </w:pPr>
    </w:p>
    <w:p w14:paraId="55270B8C">
      <w:pPr>
        <w:autoSpaceDE w:val="0"/>
        <w:autoSpaceDN w:val="0"/>
        <w:adjustRightInd w:val="0"/>
        <w:spacing w:line="360" w:lineRule="auto"/>
        <w:outlineLvl w:val="0"/>
        <w:rPr>
          <w:rFonts w:hint="eastAsia" w:ascii="宋体"/>
          <w:b/>
          <w:bCs/>
          <w:sz w:val="24"/>
          <w:szCs w:val="24"/>
        </w:rPr>
      </w:pPr>
    </w:p>
    <w:p w14:paraId="349AFD54">
      <w:pPr>
        <w:widowControl/>
        <w:jc w:val="center"/>
        <w:rPr>
          <w:rFonts w:hint="eastAsia" w:ascii="宋体"/>
          <w:b/>
          <w:bCs/>
          <w:sz w:val="24"/>
          <w:szCs w:val="24"/>
        </w:rPr>
      </w:pPr>
    </w:p>
    <w:p w14:paraId="36738354">
      <w:pPr>
        <w:widowControl/>
        <w:spacing w:before="100" w:beforeAutospacing="1" w:after="100" w:afterAutospacing="1" w:line="360" w:lineRule="auto"/>
        <w:jc w:val="center"/>
        <w:rPr>
          <w:rFonts w:hint="eastAsia" w:ascii="宋体" w:cs="宋体"/>
          <w:b/>
          <w:bCs/>
          <w:sz w:val="24"/>
          <w:szCs w:val="24"/>
          <w:lang w:bidi="ar-SA"/>
        </w:rPr>
      </w:pPr>
      <w:r>
        <w:rPr>
          <w:rFonts w:hint="eastAsia" w:ascii="宋体" w:cs="宋体"/>
          <w:b/>
          <w:bCs/>
          <w:sz w:val="24"/>
          <w:szCs w:val="24"/>
          <w:lang w:bidi="ar-SA"/>
        </w:rPr>
        <w:t>3.8没有重大违法记录的声明</w:t>
      </w:r>
    </w:p>
    <w:p w14:paraId="26015486">
      <w:pPr>
        <w:spacing w:before="162" w:beforeLines="50" w:after="162" w:afterLines="50"/>
        <w:jc w:val="center"/>
        <w:rPr>
          <w:rFonts w:hint="eastAsia" w:ascii="宋体" w:cs="宋体"/>
          <w:kern w:val="0"/>
          <w:sz w:val="24"/>
          <w:szCs w:val="24"/>
          <w:lang w:bidi="ar-SA"/>
        </w:rPr>
      </w:pPr>
      <w:r>
        <w:rPr>
          <w:rFonts w:hint="eastAsia" w:ascii="宋体" w:cs="宋体"/>
          <w:kern w:val="0"/>
          <w:sz w:val="24"/>
          <w:szCs w:val="24"/>
          <w:lang w:bidi="ar-SA"/>
        </w:rPr>
        <w:t>声　   明</w:t>
      </w:r>
    </w:p>
    <w:p w14:paraId="7B472240">
      <w:pPr>
        <w:spacing w:before="162" w:beforeLines="50" w:after="162" w:afterLines="50" w:line="360" w:lineRule="auto"/>
        <w:ind w:firstLine="480" w:firstLineChars="200"/>
        <w:rPr>
          <w:rFonts w:hint="eastAsia" w:ascii="宋体" w:cs="宋体"/>
          <w:sz w:val="24"/>
          <w:szCs w:val="24"/>
          <w:lang w:val="zh-CN" w:eastAsia="zh-CN" w:bidi="ar-SA"/>
        </w:rPr>
      </w:pPr>
      <w:r>
        <w:rPr>
          <w:rFonts w:hint="eastAsia" w:ascii="宋体" w:cs="宋体"/>
          <w:sz w:val="24"/>
          <w:szCs w:val="24"/>
          <w:lang w:val="zh-CN" w:eastAsia="zh-CN" w:bidi="ar-SA"/>
        </w:rPr>
        <w:t>本公司参加本次政府采购活动前三年内，在经营活动中没有重大违法记录。（重大违法记录，是指因违法经营受到刑事处罚或者责令停产停业、吊销许可证或者执照、较大数额罚款等行政处罚。）</w:t>
      </w:r>
    </w:p>
    <w:p w14:paraId="494B6464">
      <w:pPr>
        <w:spacing w:before="162" w:beforeLines="50" w:after="162" w:afterLines="50" w:line="360" w:lineRule="auto"/>
        <w:ind w:firstLine="480" w:firstLineChars="200"/>
        <w:rPr>
          <w:rFonts w:hint="eastAsia" w:ascii="宋体" w:cs="宋体"/>
          <w:sz w:val="24"/>
          <w:szCs w:val="24"/>
          <w:lang w:val="zh-CN" w:eastAsia="zh-CN" w:bidi="ar-SA"/>
        </w:rPr>
      </w:pPr>
      <w:r>
        <w:rPr>
          <w:rFonts w:hint="eastAsia" w:ascii="宋体" w:cs="宋体"/>
          <w:sz w:val="24"/>
          <w:szCs w:val="24"/>
          <w:lang w:val="zh-CN" w:eastAsia="zh-CN" w:bidi="ar-SA"/>
        </w:rPr>
        <w:t>特此声明。</w:t>
      </w:r>
    </w:p>
    <w:p w14:paraId="2FC78EA0">
      <w:pPr>
        <w:spacing w:before="162" w:beforeLines="50" w:after="162" w:afterLines="50" w:line="360" w:lineRule="auto"/>
        <w:ind w:firstLine="480" w:firstLineChars="200"/>
        <w:rPr>
          <w:rFonts w:hint="eastAsia" w:ascii="宋体" w:cs="宋体"/>
          <w:sz w:val="24"/>
          <w:szCs w:val="24"/>
          <w:lang w:val="zh-CN" w:eastAsia="zh-CN" w:bidi="ar-SA"/>
        </w:rPr>
      </w:pPr>
      <w:r>
        <w:rPr>
          <w:rFonts w:hint="eastAsia" w:ascii="宋体" w:cs="宋体"/>
          <w:sz w:val="24"/>
          <w:szCs w:val="24"/>
          <w:lang w:val="zh-CN" w:eastAsia="zh-CN" w:bidi="ar-SA"/>
        </w:rPr>
        <w:t>本公司对上述声明的真实性负责。如有虚假，将依法承担相应责任。</w:t>
      </w:r>
    </w:p>
    <w:p w14:paraId="24BFA1C2">
      <w:pPr>
        <w:spacing w:before="162" w:beforeLines="50" w:after="162" w:afterLines="50" w:line="360" w:lineRule="auto"/>
        <w:ind w:firstLine="559" w:firstLineChars="233"/>
        <w:rPr>
          <w:rFonts w:hint="eastAsia" w:ascii="宋体" w:cs="宋体"/>
          <w:sz w:val="24"/>
          <w:szCs w:val="24"/>
          <w:lang w:val="zh-CN" w:eastAsia="zh-CN" w:bidi="ar-SA"/>
        </w:rPr>
      </w:pPr>
    </w:p>
    <w:p w14:paraId="7BC2D43E">
      <w:pPr>
        <w:spacing w:before="162" w:beforeLines="50" w:after="162" w:afterLines="50" w:line="360" w:lineRule="auto"/>
        <w:ind w:right="420" w:firstLine="720" w:firstLineChars="300"/>
        <w:rPr>
          <w:rFonts w:hint="eastAsia" w:ascii="宋体" w:cs="宋体"/>
          <w:sz w:val="24"/>
          <w:szCs w:val="24"/>
          <w:lang w:val="zh-CN" w:eastAsia="zh-CN" w:bidi="ar-SA"/>
        </w:rPr>
      </w:pPr>
      <w:r>
        <w:rPr>
          <w:rFonts w:hint="eastAsia" w:ascii="宋体" w:cs="宋体"/>
          <w:sz w:val="24"/>
          <w:szCs w:val="24"/>
          <w:lang w:val="zh-CN" w:eastAsia="zh-CN" w:bidi="ar-SA"/>
        </w:rPr>
        <w:t>单位名称（盖章）：</w:t>
      </w:r>
    </w:p>
    <w:p w14:paraId="6DE60961">
      <w:pPr>
        <w:spacing w:before="162" w:beforeLines="50" w:after="162" w:afterLines="50" w:line="360" w:lineRule="auto"/>
        <w:ind w:right="420" w:firstLine="720" w:firstLineChars="300"/>
        <w:rPr>
          <w:rFonts w:hint="eastAsia" w:ascii="宋体" w:cs="宋体"/>
          <w:sz w:val="24"/>
          <w:szCs w:val="24"/>
          <w:lang w:val="zh-CN" w:eastAsia="zh-CN" w:bidi="ar-SA"/>
        </w:rPr>
      </w:pPr>
      <w:r>
        <w:rPr>
          <w:rFonts w:hint="eastAsia" w:ascii="宋体" w:cs="宋体"/>
          <w:sz w:val="24"/>
          <w:szCs w:val="24"/>
          <w:lang w:val="zh-CN" w:eastAsia="zh-CN" w:bidi="ar-SA"/>
        </w:rPr>
        <w:t xml:space="preserve">日    期： </w:t>
      </w:r>
      <w:r>
        <w:rPr>
          <w:rFonts w:hint="eastAsia" w:ascii="宋体" w:cs="宋体"/>
          <w:sz w:val="24"/>
          <w:szCs w:val="24"/>
          <w:lang w:bidi="ar-SA"/>
        </w:rPr>
        <w:t xml:space="preserve"> </w:t>
      </w:r>
      <w:r>
        <w:rPr>
          <w:rFonts w:hint="eastAsia" w:ascii="宋体" w:cs="宋体"/>
          <w:sz w:val="24"/>
          <w:szCs w:val="24"/>
          <w:lang w:val="zh-CN" w:eastAsia="zh-CN" w:bidi="ar-SA"/>
        </w:rPr>
        <w:t xml:space="preserve"> </w:t>
      </w:r>
      <w:r>
        <w:rPr>
          <w:rFonts w:hint="eastAsia" w:ascii="宋体" w:cs="宋体"/>
          <w:sz w:val="24"/>
          <w:szCs w:val="24"/>
          <w:lang w:bidi="ar-SA"/>
        </w:rPr>
        <w:t>年    月    日</w:t>
      </w:r>
    </w:p>
    <w:p w14:paraId="7DF15733">
      <w:pPr>
        <w:widowControl/>
        <w:jc w:val="center"/>
        <w:rPr>
          <w:rFonts w:hint="eastAsia" w:ascii="宋体"/>
          <w:b/>
          <w:bCs/>
          <w:sz w:val="24"/>
          <w:szCs w:val="24"/>
        </w:rPr>
      </w:pPr>
    </w:p>
    <w:p w14:paraId="12915C66">
      <w:pPr>
        <w:widowControl/>
        <w:jc w:val="center"/>
        <w:rPr>
          <w:rFonts w:hint="eastAsia" w:ascii="宋体"/>
          <w:b/>
          <w:bCs/>
          <w:sz w:val="24"/>
          <w:szCs w:val="24"/>
        </w:rPr>
      </w:pPr>
    </w:p>
    <w:p w14:paraId="6A92A01C">
      <w:pPr>
        <w:widowControl/>
        <w:jc w:val="center"/>
        <w:rPr>
          <w:rFonts w:hint="eastAsia" w:ascii="宋体"/>
          <w:b/>
          <w:bCs/>
          <w:sz w:val="24"/>
          <w:szCs w:val="24"/>
        </w:rPr>
      </w:pPr>
    </w:p>
    <w:p w14:paraId="0C6A95B7">
      <w:pPr>
        <w:widowControl/>
        <w:jc w:val="center"/>
        <w:rPr>
          <w:rFonts w:hint="eastAsia" w:ascii="宋体"/>
          <w:b/>
          <w:bCs/>
          <w:sz w:val="24"/>
          <w:szCs w:val="24"/>
        </w:rPr>
      </w:pPr>
    </w:p>
    <w:p w14:paraId="3EAFC6C0">
      <w:pPr>
        <w:widowControl/>
        <w:jc w:val="center"/>
        <w:rPr>
          <w:rFonts w:hint="eastAsia" w:ascii="宋体"/>
          <w:b/>
          <w:bCs/>
          <w:sz w:val="24"/>
          <w:szCs w:val="24"/>
        </w:rPr>
      </w:pPr>
    </w:p>
    <w:p w14:paraId="168BAB2F">
      <w:pPr>
        <w:widowControl/>
        <w:jc w:val="center"/>
        <w:rPr>
          <w:rFonts w:hint="eastAsia" w:ascii="宋体"/>
          <w:b/>
          <w:bCs/>
          <w:sz w:val="24"/>
          <w:szCs w:val="24"/>
        </w:rPr>
      </w:pPr>
    </w:p>
    <w:p w14:paraId="502394F3">
      <w:pPr>
        <w:widowControl/>
        <w:jc w:val="center"/>
        <w:rPr>
          <w:rFonts w:hint="eastAsia" w:ascii="宋体"/>
          <w:b/>
          <w:bCs/>
          <w:sz w:val="24"/>
          <w:szCs w:val="24"/>
        </w:rPr>
      </w:pPr>
    </w:p>
    <w:p w14:paraId="629D483E">
      <w:pPr>
        <w:widowControl/>
        <w:jc w:val="center"/>
        <w:rPr>
          <w:rFonts w:hint="eastAsia" w:ascii="宋体"/>
          <w:b/>
          <w:bCs/>
          <w:sz w:val="24"/>
          <w:szCs w:val="24"/>
        </w:rPr>
      </w:pPr>
    </w:p>
    <w:p w14:paraId="24ECFE03">
      <w:pPr>
        <w:widowControl/>
        <w:jc w:val="center"/>
        <w:rPr>
          <w:rFonts w:hint="eastAsia" w:ascii="宋体"/>
          <w:b/>
          <w:bCs/>
          <w:sz w:val="24"/>
          <w:szCs w:val="24"/>
        </w:rPr>
      </w:pPr>
    </w:p>
    <w:p w14:paraId="2261E2A0">
      <w:pPr>
        <w:widowControl/>
        <w:jc w:val="center"/>
        <w:rPr>
          <w:rFonts w:hint="eastAsia" w:ascii="宋体"/>
          <w:b/>
          <w:bCs/>
          <w:sz w:val="24"/>
          <w:szCs w:val="24"/>
        </w:rPr>
      </w:pPr>
    </w:p>
    <w:p w14:paraId="6BDB12A9">
      <w:pPr>
        <w:widowControl/>
        <w:jc w:val="center"/>
        <w:rPr>
          <w:rFonts w:hint="eastAsia" w:ascii="宋体"/>
          <w:b/>
          <w:bCs/>
          <w:sz w:val="24"/>
          <w:szCs w:val="24"/>
        </w:rPr>
      </w:pPr>
    </w:p>
    <w:p w14:paraId="0CA8B31B">
      <w:pPr>
        <w:widowControl/>
        <w:jc w:val="center"/>
        <w:rPr>
          <w:rFonts w:hint="eastAsia" w:ascii="宋体"/>
          <w:b/>
          <w:bCs/>
          <w:sz w:val="24"/>
          <w:szCs w:val="24"/>
        </w:rPr>
      </w:pPr>
    </w:p>
    <w:p w14:paraId="48B3D0D1">
      <w:pPr>
        <w:widowControl/>
        <w:jc w:val="center"/>
        <w:rPr>
          <w:rFonts w:hint="eastAsia" w:ascii="宋体"/>
          <w:b/>
          <w:bCs/>
          <w:sz w:val="24"/>
          <w:szCs w:val="24"/>
        </w:rPr>
      </w:pPr>
    </w:p>
    <w:p w14:paraId="5937773E">
      <w:pPr>
        <w:widowControl/>
        <w:jc w:val="center"/>
        <w:rPr>
          <w:rFonts w:hint="eastAsia" w:ascii="宋体"/>
          <w:b/>
          <w:bCs/>
          <w:sz w:val="24"/>
          <w:szCs w:val="24"/>
        </w:rPr>
      </w:pPr>
    </w:p>
    <w:p w14:paraId="50D82F46">
      <w:pPr>
        <w:widowControl/>
        <w:jc w:val="center"/>
        <w:rPr>
          <w:rFonts w:hint="eastAsia" w:ascii="宋体"/>
          <w:b/>
          <w:bCs/>
          <w:sz w:val="24"/>
          <w:szCs w:val="24"/>
        </w:rPr>
      </w:pPr>
    </w:p>
    <w:p w14:paraId="218CAA15">
      <w:pPr>
        <w:widowControl/>
        <w:jc w:val="center"/>
        <w:rPr>
          <w:rFonts w:hint="eastAsia" w:ascii="宋体"/>
          <w:b/>
          <w:bCs/>
          <w:sz w:val="24"/>
          <w:szCs w:val="24"/>
        </w:rPr>
      </w:pPr>
    </w:p>
    <w:p w14:paraId="7A8CEF2C">
      <w:pPr>
        <w:widowControl/>
        <w:jc w:val="center"/>
        <w:rPr>
          <w:rFonts w:hint="eastAsia" w:ascii="宋体"/>
          <w:b/>
          <w:bCs/>
          <w:sz w:val="24"/>
          <w:szCs w:val="24"/>
        </w:rPr>
      </w:pPr>
    </w:p>
    <w:p w14:paraId="52D1DAEE">
      <w:pPr>
        <w:widowControl/>
        <w:jc w:val="center"/>
        <w:rPr>
          <w:rFonts w:hint="eastAsia" w:ascii="宋体"/>
          <w:b/>
          <w:bCs/>
          <w:sz w:val="24"/>
          <w:szCs w:val="24"/>
        </w:rPr>
      </w:pPr>
    </w:p>
    <w:p w14:paraId="4144DBA4">
      <w:pPr>
        <w:widowControl/>
        <w:jc w:val="center"/>
        <w:rPr>
          <w:rFonts w:hint="eastAsia" w:ascii="宋体"/>
          <w:b/>
          <w:bCs/>
          <w:sz w:val="24"/>
          <w:szCs w:val="24"/>
        </w:rPr>
      </w:pPr>
    </w:p>
    <w:p w14:paraId="469E942D">
      <w:pPr>
        <w:widowControl/>
        <w:jc w:val="center"/>
        <w:rPr>
          <w:rFonts w:hint="eastAsia" w:ascii="宋体"/>
          <w:b/>
          <w:bCs/>
          <w:sz w:val="24"/>
          <w:szCs w:val="24"/>
        </w:rPr>
      </w:pPr>
    </w:p>
    <w:p w14:paraId="31603F05">
      <w:pPr>
        <w:widowControl/>
        <w:jc w:val="center"/>
        <w:rPr>
          <w:rFonts w:hint="eastAsia" w:ascii="宋体"/>
          <w:b/>
          <w:bCs/>
          <w:sz w:val="24"/>
          <w:szCs w:val="24"/>
        </w:rPr>
      </w:pPr>
    </w:p>
    <w:p w14:paraId="463CFE69">
      <w:pPr>
        <w:widowControl/>
        <w:jc w:val="center"/>
        <w:rPr>
          <w:rFonts w:hint="eastAsia" w:ascii="宋体"/>
          <w:b/>
          <w:bCs/>
          <w:sz w:val="24"/>
          <w:szCs w:val="24"/>
        </w:rPr>
      </w:pPr>
    </w:p>
    <w:p w14:paraId="71B4A817">
      <w:pPr>
        <w:widowControl/>
        <w:rPr>
          <w:rFonts w:hint="eastAsia" w:ascii="宋体"/>
          <w:b/>
          <w:bCs/>
          <w:sz w:val="24"/>
          <w:szCs w:val="24"/>
        </w:rPr>
      </w:pPr>
    </w:p>
    <w:p w14:paraId="5E4F5D17">
      <w:pPr>
        <w:pStyle w:val="4"/>
        <w:spacing w:line="460" w:lineRule="exact"/>
        <w:ind w:left="720" w:firstLine="138"/>
        <w:jc w:val="center"/>
        <w:rPr>
          <w:rFonts w:hint="eastAsia" w:ascii="宋体" w:cs="Calibri"/>
          <w:bCs/>
          <w:sz w:val="24"/>
          <w:lang w:bidi="ar-SA"/>
        </w:rPr>
      </w:pPr>
      <w:r>
        <w:rPr>
          <w:rFonts w:hint="eastAsia" w:ascii="宋体" w:cs="Calibri"/>
          <w:bCs/>
          <w:sz w:val="24"/>
          <w:lang w:bidi="ar-SA"/>
        </w:rPr>
        <w:t>3.9联合体协议书（如有）</w:t>
      </w:r>
    </w:p>
    <w:p w14:paraId="54B7E911">
      <w:pPr>
        <w:topLinePunct/>
        <w:spacing w:line="460" w:lineRule="exact"/>
        <w:ind w:left="210" w:leftChars="100" w:firstLine="240" w:firstLineChars="100"/>
        <w:contextualSpacing/>
        <w:rPr>
          <w:rFonts w:cs="宋体"/>
          <w:sz w:val="24"/>
          <w:szCs w:val="24"/>
          <w:lang w:bidi="ar-SA"/>
        </w:rPr>
      </w:pPr>
      <w:r>
        <w:rPr>
          <w:rFonts w:hint="eastAsia" w:cs="宋体"/>
          <w:sz w:val="24"/>
          <w:szCs w:val="24"/>
          <w:lang w:bidi="ar-SA"/>
        </w:rPr>
        <w:t>（所有成员单位名称）自愿组成（联合体名称）联合体，共同参加（项目名称）投标。现就联合体投标事宜订立如下协议。</w:t>
      </w:r>
    </w:p>
    <w:p w14:paraId="23380629">
      <w:pPr>
        <w:topLinePunct/>
        <w:spacing w:line="460" w:lineRule="exact"/>
        <w:ind w:firstLine="480" w:firstLineChars="200"/>
        <w:contextualSpacing/>
        <w:rPr>
          <w:rFonts w:cs="宋体"/>
          <w:sz w:val="24"/>
          <w:szCs w:val="24"/>
          <w:lang w:bidi="ar-SA"/>
        </w:rPr>
      </w:pPr>
      <w:r>
        <w:rPr>
          <w:rFonts w:hint="eastAsia" w:cs="宋体"/>
          <w:sz w:val="24"/>
          <w:szCs w:val="24"/>
          <w:lang w:bidi="ar-SA"/>
        </w:rPr>
        <w:t>1、（某成员单位名称）为（联合体名称）牵头人。</w:t>
      </w:r>
    </w:p>
    <w:p w14:paraId="215AFFFB">
      <w:pPr>
        <w:topLinePunct/>
        <w:spacing w:line="460" w:lineRule="exact"/>
        <w:ind w:firstLine="480" w:firstLineChars="200"/>
        <w:contextualSpacing/>
        <w:rPr>
          <w:rFonts w:cs="宋体"/>
          <w:sz w:val="24"/>
          <w:szCs w:val="24"/>
          <w:lang w:bidi="ar-SA"/>
        </w:rPr>
      </w:pPr>
      <w:r>
        <w:rPr>
          <w:rFonts w:hint="eastAsia" w:cs="宋体"/>
          <w:sz w:val="24"/>
          <w:szCs w:val="24"/>
          <w:lang w:bidi="ar-SA"/>
        </w:rPr>
        <w:t>2、联合体牵头人合法代表联合体各成员负责本招标项目投标文件编制和合同谈判活动，牵头人法定代表人或其授权的委托代理人负责签署本次投标文件相关资料，并代表联合体提交和接收相关的资料、信息及指示，并处理与之有关的一切事务，负责合同实施阶段的主办、组织和协调工作。</w:t>
      </w:r>
    </w:p>
    <w:p w14:paraId="31780301">
      <w:pPr>
        <w:topLinePunct/>
        <w:spacing w:line="460" w:lineRule="exact"/>
        <w:ind w:firstLine="480" w:firstLineChars="200"/>
        <w:contextualSpacing/>
        <w:rPr>
          <w:rFonts w:cs="宋体"/>
          <w:sz w:val="24"/>
          <w:szCs w:val="24"/>
          <w:lang w:bidi="ar-SA"/>
        </w:rPr>
      </w:pPr>
      <w:r>
        <w:rPr>
          <w:rFonts w:hint="eastAsia" w:cs="宋体"/>
          <w:sz w:val="24"/>
          <w:szCs w:val="24"/>
          <w:lang w:bidi="ar-SA"/>
        </w:rPr>
        <w:t>3、联合体将严格按照招标文件的各项要求，递交投标文件，履行合同，并对招标人承担连带责任。</w:t>
      </w:r>
    </w:p>
    <w:p w14:paraId="33C506CE">
      <w:pPr>
        <w:topLinePunct/>
        <w:spacing w:line="460" w:lineRule="exact"/>
        <w:ind w:firstLine="480" w:firstLineChars="200"/>
        <w:contextualSpacing/>
        <w:rPr>
          <w:rFonts w:cs="宋体"/>
          <w:sz w:val="24"/>
          <w:szCs w:val="24"/>
          <w:lang w:bidi="ar-SA"/>
        </w:rPr>
      </w:pPr>
      <w:r>
        <w:rPr>
          <w:rFonts w:hint="eastAsia" w:cs="宋体"/>
          <w:sz w:val="24"/>
          <w:szCs w:val="24"/>
          <w:lang w:bidi="ar-SA"/>
        </w:rPr>
        <w:t>4、联合体各成员单位内部的职责分工如下：  。</w:t>
      </w:r>
    </w:p>
    <w:p w14:paraId="3B775E19">
      <w:pPr>
        <w:topLinePunct/>
        <w:spacing w:line="460" w:lineRule="exact"/>
        <w:ind w:firstLine="480" w:firstLineChars="200"/>
        <w:contextualSpacing/>
        <w:rPr>
          <w:rFonts w:cs="宋体"/>
          <w:sz w:val="24"/>
          <w:szCs w:val="24"/>
          <w:lang w:bidi="ar-SA"/>
        </w:rPr>
      </w:pPr>
      <w:r>
        <w:rPr>
          <w:rFonts w:hint="eastAsia" w:cs="宋体"/>
          <w:sz w:val="24"/>
          <w:szCs w:val="24"/>
          <w:lang w:bidi="ar-SA"/>
        </w:rPr>
        <w:t>5、本协议书自签署之日起生效，合同履行完毕后自动失效。</w:t>
      </w:r>
    </w:p>
    <w:p w14:paraId="459C9A7A">
      <w:pPr>
        <w:topLinePunct/>
        <w:spacing w:line="460" w:lineRule="exact"/>
        <w:ind w:firstLine="480" w:firstLineChars="200"/>
        <w:contextualSpacing/>
        <w:rPr>
          <w:rFonts w:cs="宋体"/>
          <w:sz w:val="24"/>
          <w:szCs w:val="24"/>
          <w:lang w:bidi="ar-SA"/>
        </w:rPr>
      </w:pPr>
      <w:r>
        <w:rPr>
          <w:rFonts w:hint="eastAsia" w:cs="宋体"/>
          <w:sz w:val="24"/>
          <w:szCs w:val="24"/>
          <w:lang w:bidi="ar-SA"/>
        </w:rPr>
        <w:t>6、本协议书一式份，联合体成员和招标人各执一份。</w:t>
      </w:r>
    </w:p>
    <w:p w14:paraId="457DD9D7">
      <w:pPr>
        <w:topLinePunct/>
        <w:spacing w:line="460" w:lineRule="exact"/>
        <w:contextualSpacing/>
        <w:rPr>
          <w:rFonts w:cs="宋体"/>
          <w:sz w:val="24"/>
          <w:szCs w:val="24"/>
          <w:lang w:bidi="ar-SA"/>
        </w:rPr>
      </w:pPr>
    </w:p>
    <w:p w14:paraId="154B9DF6">
      <w:pPr>
        <w:topLinePunct/>
        <w:spacing w:line="460" w:lineRule="exact"/>
        <w:ind w:firstLine="480" w:firstLineChars="200"/>
        <w:contextualSpacing/>
        <w:rPr>
          <w:rFonts w:cs="宋体"/>
          <w:sz w:val="24"/>
          <w:szCs w:val="24"/>
          <w:lang w:bidi="ar-SA"/>
        </w:rPr>
      </w:pPr>
      <w:r>
        <w:rPr>
          <w:rFonts w:hint="eastAsia" w:cs="宋体"/>
          <w:sz w:val="24"/>
          <w:szCs w:val="24"/>
          <w:lang w:bidi="ar-SA"/>
        </w:rPr>
        <w:t>注：本协议书由委托代理人签字的，应附法定代表人签字的授权委托书。</w:t>
      </w:r>
    </w:p>
    <w:p w14:paraId="6EDB1C3D">
      <w:pPr>
        <w:topLinePunct/>
        <w:spacing w:line="460" w:lineRule="exact"/>
        <w:contextualSpacing/>
        <w:rPr>
          <w:rFonts w:cs="宋体"/>
          <w:sz w:val="24"/>
          <w:szCs w:val="24"/>
          <w:lang w:bidi="ar-SA"/>
        </w:rPr>
      </w:pPr>
    </w:p>
    <w:p w14:paraId="1E32BF0E">
      <w:pPr>
        <w:topLinePunct/>
        <w:spacing w:line="460" w:lineRule="exact"/>
        <w:contextualSpacing/>
        <w:rPr>
          <w:rFonts w:cs="宋体"/>
          <w:sz w:val="24"/>
          <w:szCs w:val="24"/>
          <w:lang w:bidi="ar-SA"/>
        </w:rPr>
      </w:pPr>
      <w:r>
        <w:rPr>
          <w:rFonts w:hint="eastAsia" w:cs="宋体"/>
          <w:sz w:val="24"/>
          <w:szCs w:val="24"/>
          <w:lang w:bidi="ar-SA"/>
        </w:rPr>
        <w:t>牵头人名称：（盖单位章）</w:t>
      </w:r>
    </w:p>
    <w:p w14:paraId="53C7386A">
      <w:pPr>
        <w:topLinePunct/>
        <w:spacing w:line="460" w:lineRule="exact"/>
        <w:contextualSpacing/>
        <w:rPr>
          <w:rFonts w:cs="宋体"/>
          <w:sz w:val="24"/>
          <w:szCs w:val="24"/>
          <w:lang w:bidi="ar-SA"/>
        </w:rPr>
      </w:pPr>
      <w:r>
        <w:rPr>
          <w:rFonts w:hint="eastAsia" w:cs="宋体"/>
          <w:sz w:val="24"/>
          <w:szCs w:val="24"/>
          <w:lang w:bidi="ar-SA"/>
        </w:rPr>
        <w:t>法定代表人或其委托代理人：（签字或盖章）</w:t>
      </w:r>
    </w:p>
    <w:p w14:paraId="46194D2D">
      <w:pPr>
        <w:topLinePunct/>
        <w:spacing w:line="460" w:lineRule="exact"/>
        <w:contextualSpacing/>
        <w:rPr>
          <w:rFonts w:cs="宋体"/>
          <w:sz w:val="24"/>
          <w:szCs w:val="24"/>
          <w:lang w:bidi="ar-SA"/>
        </w:rPr>
      </w:pPr>
    </w:p>
    <w:p w14:paraId="6E99C42E">
      <w:pPr>
        <w:topLinePunct/>
        <w:spacing w:line="460" w:lineRule="exact"/>
        <w:contextualSpacing/>
        <w:rPr>
          <w:rFonts w:cs="宋体"/>
          <w:sz w:val="24"/>
          <w:szCs w:val="24"/>
          <w:lang w:bidi="ar-SA"/>
        </w:rPr>
      </w:pPr>
      <w:r>
        <w:rPr>
          <w:rFonts w:hint="eastAsia" w:cs="宋体"/>
          <w:sz w:val="24"/>
          <w:szCs w:val="24"/>
          <w:lang w:bidi="ar-SA"/>
        </w:rPr>
        <w:t>成员一名称：（盖单位章）</w:t>
      </w:r>
    </w:p>
    <w:p w14:paraId="12B7E25B">
      <w:pPr>
        <w:topLinePunct/>
        <w:spacing w:line="460" w:lineRule="exact"/>
        <w:contextualSpacing/>
        <w:rPr>
          <w:rFonts w:cs="宋体"/>
          <w:sz w:val="24"/>
          <w:szCs w:val="24"/>
          <w:lang w:bidi="ar-SA"/>
        </w:rPr>
      </w:pPr>
      <w:r>
        <w:rPr>
          <w:rFonts w:hint="eastAsia" w:cs="宋体"/>
          <w:sz w:val="24"/>
          <w:szCs w:val="24"/>
          <w:lang w:bidi="ar-SA"/>
        </w:rPr>
        <w:t>法定代表人或其委托代理人：（签字或盖章）</w:t>
      </w:r>
    </w:p>
    <w:p w14:paraId="5A4D8894">
      <w:pPr>
        <w:topLinePunct/>
        <w:spacing w:line="460" w:lineRule="exact"/>
        <w:contextualSpacing/>
        <w:rPr>
          <w:rFonts w:cs="宋体"/>
          <w:sz w:val="24"/>
          <w:szCs w:val="24"/>
          <w:lang w:bidi="ar-SA"/>
        </w:rPr>
      </w:pPr>
    </w:p>
    <w:p w14:paraId="7D41294D">
      <w:pPr>
        <w:topLinePunct/>
        <w:spacing w:line="460" w:lineRule="exact"/>
        <w:contextualSpacing/>
        <w:rPr>
          <w:rFonts w:cs="宋体"/>
          <w:sz w:val="24"/>
          <w:szCs w:val="24"/>
          <w:lang w:bidi="ar-SA"/>
        </w:rPr>
      </w:pPr>
    </w:p>
    <w:p w14:paraId="3EFFB62E">
      <w:pPr>
        <w:topLinePunct/>
        <w:spacing w:line="460" w:lineRule="exact"/>
        <w:contextualSpacing/>
        <w:rPr>
          <w:rFonts w:cs="宋体"/>
          <w:sz w:val="24"/>
          <w:szCs w:val="24"/>
          <w:lang w:bidi="ar-SA"/>
        </w:rPr>
      </w:pPr>
    </w:p>
    <w:p w14:paraId="05207C8F">
      <w:pPr>
        <w:widowControl/>
        <w:jc w:val="center"/>
        <w:rPr>
          <w:b/>
          <w:sz w:val="24"/>
          <w:szCs w:val="24"/>
        </w:rPr>
      </w:pPr>
      <w:r>
        <w:rPr>
          <w:rFonts w:hint="eastAsia" w:cs="宋体"/>
          <w:sz w:val="24"/>
          <w:szCs w:val="24"/>
          <w:lang w:bidi="ar-SA"/>
        </w:rPr>
        <w:t xml:space="preserve">                                      年    月     日</w:t>
      </w:r>
    </w:p>
    <w:p w14:paraId="25FACDA9">
      <w:pPr>
        <w:widowControl/>
        <w:jc w:val="center"/>
        <w:rPr>
          <w:rFonts w:hint="eastAsia" w:ascii="宋体"/>
          <w:b/>
          <w:bCs/>
          <w:sz w:val="24"/>
          <w:szCs w:val="24"/>
        </w:rPr>
      </w:pPr>
    </w:p>
    <w:p w14:paraId="36D0DEB2">
      <w:pPr>
        <w:widowControl/>
        <w:jc w:val="center"/>
        <w:rPr>
          <w:rFonts w:hint="eastAsia" w:ascii="宋体"/>
          <w:b/>
          <w:bCs/>
          <w:sz w:val="24"/>
          <w:szCs w:val="24"/>
        </w:rPr>
      </w:pPr>
    </w:p>
    <w:p w14:paraId="74E7A6B9">
      <w:pPr>
        <w:widowControl/>
        <w:jc w:val="center"/>
        <w:rPr>
          <w:rFonts w:hint="eastAsia" w:ascii="宋体"/>
          <w:b/>
          <w:bCs/>
          <w:sz w:val="24"/>
          <w:szCs w:val="24"/>
        </w:rPr>
      </w:pPr>
    </w:p>
    <w:p w14:paraId="1CC373C5">
      <w:pPr>
        <w:widowControl/>
        <w:jc w:val="center"/>
        <w:rPr>
          <w:rFonts w:hint="eastAsia" w:ascii="宋体"/>
          <w:b/>
          <w:bCs/>
          <w:sz w:val="24"/>
          <w:szCs w:val="24"/>
        </w:rPr>
      </w:pPr>
    </w:p>
    <w:p w14:paraId="3FEC08FC">
      <w:pPr>
        <w:widowControl/>
        <w:jc w:val="center"/>
        <w:rPr>
          <w:rFonts w:hint="eastAsia" w:ascii="宋体"/>
          <w:b/>
          <w:bCs/>
          <w:sz w:val="24"/>
          <w:szCs w:val="24"/>
        </w:rPr>
      </w:pPr>
    </w:p>
    <w:p w14:paraId="55367535">
      <w:pPr>
        <w:widowControl/>
        <w:jc w:val="center"/>
        <w:rPr>
          <w:rFonts w:hint="eastAsia" w:ascii="宋体"/>
          <w:b/>
          <w:bCs/>
          <w:sz w:val="24"/>
          <w:szCs w:val="24"/>
        </w:rPr>
      </w:pPr>
    </w:p>
    <w:p w14:paraId="1707404F">
      <w:pPr>
        <w:widowControl/>
        <w:jc w:val="center"/>
        <w:rPr>
          <w:rFonts w:hint="eastAsia" w:ascii="宋体"/>
          <w:b/>
          <w:bCs/>
          <w:sz w:val="24"/>
          <w:szCs w:val="24"/>
        </w:rPr>
      </w:pPr>
    </w:p>
    <w:p w14:paraId="5C66D722">
      <w:pPr>
        <w:widowControl/>
        <w:jc w:val="center"/>
        <w:rPr>
          <w:rFonts w:hint="eastAsia" w:ascii="宋体"/>
          <w:b/>
          <w:bCs/>
          <w:sz w:val="24"/>
          <w:szCs w:val="24"/>
        </w:rPr>
      </w:pPr>
    </w:p>
    <w:p w14:paraId="1D29529F">
      <w:pPr>
        <w:widowControl/>
        <w:jc w:val="center"/>
        <w:rPr>
          <w:rFonts w:hint="eastAsia" w:ascii="宋体"/>
          <w:b/>
          <w:bCs/>
          <w:sz w:val="24"/>
          <w:szCs w:val="24"/>
        </w:rPr>
      </w:pPr>
    </w:p>
    <w:p w14:paraId="2177CC46">
      <w:pPr>
        <w:widowControl/>
        <w:jc w:val="center"/>
        <w:rPr>
          <w:rFonts w:hint="eastAsia" w:ascii="宋体"/>
          <w:b/>
          <w:bCs/>
          <w:sz w:val="24"/>
          <w:szCs w:val="24"/>
        </w:rPr>
      </w:pPr>
    </w:p>
    <w:p w14:paraId="49DD2BAF">
      <w:pPr>
        <w:widowControl/>
        <w:jc w:val="center"/>
        <w:rPr>
          <w:rFonts w:hint="eastAsia" w:ascii="宋体"/>
          <w:b/>
          <w:bCs/>
          <w:sz w:val="24"/>
          <w:szCs w:val="24"/>
        </w:rPr>
      </w:pPr>
    </w:p>
    <w:p w14:paraId="72C25F3D">
      <w:pPr>
        <w:widowControl/>
        <w:rPr>
          <w:rFonts w:hint="eastAsia" w:ascii="宋体"/>
          <w:b/>
          <w:bCs/>
          <w:sz w:val="24"/>
          <w:szCs w:val="24"/>
        </w:rPr>
      </w:pPr>
    </w:p>
    <w:p w14:paraId="457D2AB0">
      <w:pPr>
        <w:widowControl/>
        <w:jc w:val="center"/>
        <w:rPr>
          <w:rFonts w:hint="eastAsia" w:ascii="宋体"/>
          <w:b/>
          <w:bCs/>
          <w:sz w:val="24"/>
          <w:szCs w:val="24"/>
        </w:rPr>
      </w:pPr>
    </w:p>
    <w:p w14:paraId="63919A6E">
      <w:pPr>
        <w:widowControl/>
        <w:jc w:val="center"/>
        <w:rPr>
          <w:rFonts w:hint="eastAsia" w:ascii="宋体"/>
          <w:b/>
          <w:bCs/>
          <w:sz w:val="24"/>
          <w:szCs w:val="24"/>
        </w:rPr>
      </w:pPr>
      <w:r>
        <w:rPr>
          <w:rFonts w:hint="eastAsia" w:ascii="宋体"/>
          <w:b/>
          <w:bCs/>
          <w:sz w:val="24"/>
          <w:szCs w:val="24"/>
        </w:rPr>
        <w:t>3.10其他资格证书或材料</w:t>
      </w:r>
    </w:p>
    <w:p w14:paraId="5729FB26">
      <w:pPr>
        <w:autoSpaceDE w:val="0"/>
        <w:autoSpaceDN w:val="0"/>
        <w:adjustRightInd w:val="0"/>
        <w:spacing w:line="360" w:lineRule="auto"/>
        <w:jc w:val="center"/>
        <w:outlineLvl w:val="0"/>
        <w:rPr>
          <w:b/>
          <w:snapToGrid w:val="0"/>
          <w:kern w:val="0"/>
          <w:sz w:val="24"/>
          <w:szCs w:val="24"/>
        </w:rPr>
      </w:pPr>
    </w:p>
    <w:p w14:paraId="7A6C57A0">
      <w:pPr>
        <w:autoSpaceDE w:val="0"/>
        <w:autoSpaceDN w:val="0"/>
        <w:adjustRightInd w:val="0"/>
        <w:spacing w:line="360" w:lineRule="auto"/>
        <w:jc w:val="center"/>
        <w:outlineLvl w:val="0"/>
        <w:rPr>
          <w:b/>
          <w:snapToGrid w:val="0"/>
          <w:kern w:val="0"/>
          <w:sz w:val="24"/>
          <w:szCs w:val="24"/>
        </w:rPr>
      </w:pPr>
    </w:p>
    <w:p w14:paraId="4354AB8E">
      <w:pPr>
        <w:autoSpaceDE w:val="0"/>
        <w:autoSpaceDN w:val="0"/>
        <w:adjustRightInd w:val="0"/>
        <w:spacing w:line="360" w:lineRule="auto"/>
        <w:jc w:val="center"/>
        <w:outlineLvl w:val="0"/>
        <w:rPr>
          <w:b/>
          <w:snapToGrid w:val="0"/>
          <w:kern w:val="0"/>
          <w:sz w:val="24"/>
          <w:szCs w:val="24"/>
        </w:rPr>
      </w:pPr>
    </w:p>
    <w:p w14:paraId="5B57F26A">
      <w:pPr>
        <w:autoSpaceDE w:val="0"/>
        <w:autoSpaceDN w:val="0"/>
        <w:adjustRightInd w:val="0"/>
        <w:spacing w:line="360" w:lineRule="auto"/>
        <w:jc w:val="center"/>
        <w:outlineLvl w:val="0"/>
        <w:rPr>
          <w:b/>
          <w:snapToGrid w:val="0"/>
          <w:kern w:val="0"/>
          <w:sz w:val="24"/>
          <w:szCs w:val="24"/>
        </w:rPr>
      </w:pPr>
    </w:p>
    <w:p w14:paraId="5D23B2CD">
      <w:pPr>
        <w:autoSpaceDE w:val="0"/>
        <w:autoSpaceDN w:val="0"/>
        <w:adjustRightInd w:val="0"/>
        <w:spacing w:line="360" w:lineRule="auto"/>
        <w:jc w:val="center"/>
        <w:rPr>
          <w:rFonts w:hint="eastAsia" w:ascii="宋体" w:cs="黑体"/>
          <w:b/>
          <w:bCs/>
          <w:sz w:val="24"/>
          <w:szCs w:val="24"/>
          <w:lang w:val="zh-CN" w:eastAsia="zh-CN" w:bidi="ar-SA"/>
        </w:rPr>
      </w:pPr>
    </w:p>
    <w:p w14:paraId="0EAC8C25">
      <w:pPr>
        <w:autoSpaceDE w:val="0"/>
        <w:autoSpaceDN w:val="0"/>
        <w:adjustRightInd w:val="0"/>
        <w:spacing w:line="360" w:lineRule="auto"/>
        <w:jc w:val="center"/>
        <w:rPr>
          <w:rFonts w:hint="eastAsia" w:ascii="宋体" w:cs="黑体"/>
          <w:b/>
          <w:bCs/>
          <w:sz w:val="24"/>
          <w:szCs w:val="24"/>
          <w:lang w:val="zh-CN" w:eastAsia="zh-CN" w:bidi="ar-SA"/>
        </w:rPr>
      </w:pPr>
    </w:p>
    <w:p w14:paraId="6A95780B">
      <w:pPr>
        <w:autoSpaceDE w:val="0"/>
        <w:autoSpaceDN w:val="0"/>
        <w:adjustRightInd w:val="0"/>
        <w:spacing w:line="360" w:lineRule="auto"/>
        <w:jc w:val="center"/>
        <w:rPr>
          <w:rFonts w:hint="eastAsia" w:ascii="宋体" w:cs="黑体"/>
          <w:b/>
          <w:bCs/>
          <w:sz w:val="24"/>
          <w:szCs w:val="24"/>
          <w:lang w:val="zh-CN" w:eastAsia="zh-CN" w:bidi="ar-SA"/>
        </w:rPr>
      </w:pPr>
    </w:p>
    <w:p w14:paraId="6D7EF7AD">
      <w:pPr>
        <w:autoSpaceDE w:val="0"/>
        <w:autoSpaceDN w:val="0"/>
        <w:adjustRightInd w:val="0"/>
        <w:spacing w:line="360" w:lineRule="auto"/>
        <w:jc w:val="center"/>
        <w:rPr>
          <w:rFonts w:hint="eastAsia" w:ascii="宋体" w:cs="黑体"/>
          <w:b/>
          <w:bCs/>
          <w:sz w:val="24"/>
          <w:szCs w:val="24"/>
          <w:lang w:val="zh-CN" w:eastAsia="zh-CN" w:bidi="ar-SA"/>
        </w:rPr>
      </w:pPr>
    </w:p>
    <w:p w14:paraId="715B888E">
      <w:pPr>
        <w:autoSpaceDE w:val="0"/>
        <w:autoSpaceDN w:val="0"/>
        <w:adjustRightInd w:val="0"/>
        <w:spacing w:line="360" w:lineRule="auto"/>
        <w:jc w:val="center"/>
        <w:rPr>
          <w:rFonts w:hint="eastAsia" w:ascii="宋体" w:cs="黑体"/>
          <w:b/>
          <w:bCs/>
          <w:sz w:val="24"/>
          <w:szCs w:val="24"/>
          <w:lang w:val="zh-CN" w:eastAsia="zh-CN" w:bidi="ar-SA"/>
        </w:rPr>
      </w:pPr>
    </w:p>
    <w:p w14:paraId="18645F75">
      <w:pPr>
        <w:autoSpaceDE w:val="0"/>
        <w:autoSpaceDN w:val="0"/>
        <w:adjustRightInd w:val="0"/>
        <w:spacing w:line="360" w:lineRule="auto"/>
        <w:jc w:val="center"/>
        <w:rPr>
          <w:rFonts w:hint="eastAsia" w:ascii="宋体" w:cs="黑体"/>
          <w:b/>
          <w:bCs/>
          <w:sz w:val="24"/>
          <w:szCs w:val="24"/>
          <w:lang w:val="zh-CN" w:eastAsia="zh-CN" w:bidi="ar-SA"/>
        </w:rPr>
      </w:pPr>
    </w:p>
    <w:p w14:paraId="0520E7EB">
      <w:pPr>
        <w:autoSpaceDE w:val="0"/>
        <w:autoSpaceDN w:val="0"/>
        <w:adjustRightInd w:val="0"/>
        <w:spacing w:line="360" w:lineRule="auto"/>
        <w:jc w:val="center"/>
        <w:rPr>
          <w:rFonts w:hint="eastAsia" w:ascii="宋体" w:cs="黑体"/>
          <w:b/>
          <w:bCs/>
          <w:sz w:val="24"/>
          <w:szCs w:val="24"/>
          <w:lang w:val="zh-CN" w:eastAsia="zh-CN" w:bidi="ar-SA"/>
        </w:rPr>
      </w:pPr>
    </w:p>
    <w:p w14:paraId="5BEDD8FE">
      <w:pPr>
        <w:autoSpaceDE w:val="0"/>
        <w:autoSpaceDN w:val="0"/>
        <w:adjustRightInd w:val="0"/>
        <w:spacing w:line="360" w:lineRule="auto"/>
        <w:jc w:val="center"/>
        <w:rPr>
          <w:rFonts w:hint="eastAsia" w:ascii="宋体" w:cs="黑体"/>
          <w:b/>
          <w:bCs/>
          <w:sz w:val="24"/>
          <w:szCs w:val="24"/>
          <w:lang w:val="zh-CN" w:eastAsia="zh-CN" w:bidi="ar-SA"/>
        </w:rPr>
      </w:pPr>
    </w:p>
    <w:p w14:paraId="18FFE852">
      <w:pPr>
        <w:autoSpaceDE w:val="0"/>
        <w:autoSpaceDN w:val="0"/>
        <w:adjustRightInd w:val="0"/>
        <w:spacing w:line="360" w:lineRule="auto"/>
        <w:jc w:val="center"/>
        <w:rPr>
          <w:rFonts w:hint="eastAsia" w:ascii="宋体" w:cs="黑体"/>
          <w:b/>
          <w:bCs/>
          <w:sz w:val="24"/>
          <w:szCs w:val="24"/>
          <w:lang w:val="zh-CN" w:eastAsia="zh-CN" w:bidi="ar-SA"/>
        </w:rPr>
      </w:pPr>
    </w:p>
    <w:p w14:paraId="528F77B6">
      <w:pPr>
        <w:autoSpaceDE w:val="0"/>
        <w:autoSpaceDN w:val="0"/>
        <w:adjustRightInd w:val="0"/>
        <w:spacing w:line="360" w:lineRule="auto"/>
        <w:jc w:val="center"/>
        <w:rPr>
          <w:rFonts w:hint="eastAsia" w:ascii="宋体" w:cs="黑体"/>
          <w:b/>
          <w:bCs/>
          <w:sz w:val="24"/>
          <w:szCs w:val="24"/>
          <w:lang w:val="zh-CN" w:eastAsia="zh-CN" w:bidi="ar-SA"/>
        </w:rPr>
      </w:pPr>
    </w:p>
    <w:p w14:paraId="12E73F32">
      <w:pPr>
        <w:autoSpaceDE w:val="0"/>
        <w:autoSpaceDN w:val="0"/>
        <w:adjustRightInd w:val="0"/>
        <w:spacing w:line="360" w:lineRule="auto"/>
        <w:jc w:val="center"/>
        <w:rPr>
          <w:rFonts w:hint="eastAsia" w:ascii="宋体" w:cs="黑体"/>
          <w:b/>
          <w:bCs/>
          <w:sz w:val="24"/>
          <w:szCs w:val="24"/>
          <w:lang w:val="zh-CN" w:eastAsia="zh-CN" w:bidi="ar-SA"/>
        </w:rPr>
      </w:pPr>
    </w:p>
    <w:p w14:paraId="26B64A7B">
      <w:pPr>
        <w:autoSpaceDE w:val="0"/>
        <w:autoSpaceDN w:val="0"/>
        <w:adjustRightInd w:val="0"/>
        <w:spacing w:line="360" w:lineRule="auto"/>
        <w:jc w:val="center"/>
        <w:rPr>
          <w:rFonts w:hint="eastAsia" w:ascii="宋体" w:cs="黑体"/>
          <w:b/>
          <w:bCs/>
          <w:sz w:val="24"/>
          <w:szCs w:val="24"/>
          <w:lang w:val="zh-CN" w:eastAsia="zh-CN" w:bidi="ar-SA"/>
        </w:rPr>
      </w:pPr>
    </w:p>
    <w:p w14:paraId="35065276">
      <w:pPr>
        <w:autoSpaceDE w:val="0"/>
        <w:autoSpaceDN w:val="0"/>
        <w:adjustRightInd w:val="0"/>
        <w:spacing w:line="360" w:lineRule="auto"/>
        <w:jc w:val="center"/>
        <w:rPr>
          <w:rFonts w:hint="eastAsia" w:ascii="宋体" w:cs="黑体"/>
          <w:b/>
          <w:bCs/>
          <w:sz w:val="24"/>
          <w:szCs w:val="24"/>
          <w:lang w:val="zh-CN" w:eastAsia="zh-CN" w:bidi="ar-SA"/>
        </w:rPr>
      </w:pPr>
    </w:p>
    <w:p w14:paraId="745803DE">
      <w:pPr>
        <w:autoSpaceDE w:val="0"/>
        <w:autoSpaceDN w:val="0"/>
        <w:adjustRightInd w:val="0"/>
        <w:spacing w:line="360" w:lineRule="auto"/>
        <w:jc w:val="center"/>
        <w:rPr>
          <w:rFonts w:hint="eastAsia" w:ascii="宋体" w:cs="黑体"/>
          <w:b/>
          <w:bCs/>
          <w:sz w:val="24"/>
          <w:szCs w:val="24"/>
          <w:lang w:val="zh-CN" w:eastAsia="zh-CN" w:bidi="ar-SA"/>
        </w:rPr>
      </w:pPr>
    </w:p>
    <w:p w14:paraId="794D809F">
      <w:pPr>
        <w:autoSpaceDE w:val="0"/>
        <w:autoSpaceDN w:val="0"/>
        <w:adjustRightInd w:val="0"/>
        <w:spacing w:line="360" w:lineRule="auto"/>
        <w:jc w:val="center"/>
        <w:rPr>
          <w:rFonts w:hint="eastAsia" w:ascii="宋体" w:cs="黑体"/>
          <w:b/>
          <w:bCs/>
          <w:sz w:val="24"/>
          <w:szCs w:val="24"/>
          <w:lang w:val="zh-CN" w:eastAsia="zh-CN" w:bidi="ar-SA"/>
        </w:rPr>
      </w:pPr>
      <w:r>
        <w:rPr>
          <w:rFonts w:hint="eastAsia" w:ascii="宋体" w:cs="黑体"/>
          <w:b/>
          <w:bCs/>
          <w:sz w:val="24"/>
          <w:szCs w:val="24"/>
          <w:lang w:val="zh-CN" w:eastAsia="zh-CN" w:bidi="ar-SA"/>
        </w:rPr>
        <w:br w:type="page"/>
      </w:r>
      <w:r>
        <w:rPr>
          <w:rFonts w:hint="eastAsia" w:ascii="宋体" w:cs="黑体"/>
          <w:b/>
          <w:bCs/>
          <w:sz w:val="24"/>
          <w:szCs w:val="24"/>
          <w:lang w:val="zh-CN" w:eastAsia="zh-CN" w:bidi="ar-SA"/>
        </w:rPr>
        <w:t>四、符合性审查证明材料</w:t>
      </w:r>
    </w:p>
    <w:p w14:paraId="799AC768">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t>4.1 投标分项报价表</w:t>
      </w:r>
    </w:p>
    <w:p w14:paraId="2943FB62">
      <w:pPr>
        <w:spacing w:before="50" w:after="162" w:afterLines="50" w:line="360" w:lineRule="auto"/>
        <w:contextualSpacing/>
        <w:jc w:val="left"/>
        <w:rPr>
          <w:rFonts w:hint="eastAsia" w:ascii="宋体"/>
          <w:sz w:val="24"/>
          <w:szCs w:val="24"/>
        </w:rPr>
      </w:pPr>
      <w:r>
        <w:rPr>
          <w:rFonts w:hint="eastAsia" w:ascii="宋体"/>
          <w:sz w:val="24"/>
          <w:szCs w:val="24"/>
        </w:rPr>
        <w:t>项目编号：</w:t>
      </w:r>
    </w:p>
    <w:p w14:paraId="644F8667">
      <w:pPr>
        <w:autoSpaceDE w:val="0"/>
        <w:autoSpaceDN w:val="0"/>
        <w:adjustRightInd w:val="0"/>
        <w:spacing w:line="360" w:lineRule="auto"/>
        <w:outlineLvl w:val="0"/>
        <w:rPr>
          <w:b/>
          <w:snapToGrid w:val="0"/>
          <w:kern w:val="0"/>
          <w:sz w:val="24"/>
          <w:szCs w:val="24"/>
        </w:rPr>
      </w:pPr>
      <w:r>
        <w:rPr>
          <w:rFonts w:hint="eastAsia" w:ascii="宋体"/>
          <w:sz w:val="24"/>
          <w:szCs w:val="24"/>
        </w:rPr>
        <w:t xml:space="preserve">项目名称：   </w:t>
      </w:r>
    </w:p>
    <w:tbl>
      <w:tblPr>
        <w:tblStyle w:val="19"/>
        <w:tblW w:w="9687" w:type="dxa"/>
        <w:tblInd w:w="0" w:type="dxa"/>
        <w:tblLayout w:type="fixed"/>
        <w:tblCellMar>
          <w:top w:w="0" w:type="dxa"/>
          <w:left w:w="108" w:type="dxa"/>
          <w:bottom w:w="0" w:type="dxa"/>
          <w:right w:w="108" w:type="dxa"/>
        </w:tblCellMar>
      </w:tblPr>
      <w:tblGrid>
        <w:gridCol w:w="702"/>
        <w:gridCol w:w="1290"/>
        <w:gridCol w:w="2190"/>
        <w:gridCol w:w="1455"/>
        <w:gridCol w:w="825"/>
        <w:gridCol w:w="810"/>
        <w:gridCol w:w="900"/>
        <w:gridCol w:w="1515"/>
      </w:tblGrid>
      <w:tr w14:paraId="44CBEBD1">
        <w:tblPrEx>
          <w:tblCellMar>
            <w:top w:w="0" w:type="dxa"/>
            <w:left w:w="108" w:type="dxa"/>
            <w:bottom w:w="0" w:type="dxa"/>
            <w:right w:w="108" w:type="dxa"/>
          </w:tblCellMar>
        </w:tblPrEx>
        <w:trPr>
          <w:trHeight w:val="851" w:hRule="atLeast"/>
        </w:trPr>
        <w:tc>
          <w:tcPr>
            <w:tcW w:w="702"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31B69246">
            <w:pPr>
              <w:autoSpaceDE w:val="0"/>
              <w:autoSpaceDN w:val="0"/>
              <w:adjustRightInd w:val="0"/>
              <w:spacing w:line="280" w:lineRule="exact"/>
              <w:jc w:val="center"/>
              <w:rPr>
                <w:rFonts w:hint="eastAsia" w:ascii="宋体" w:cs="宋体"/>
                <w:b/>
                <w:sz w:val="24"/>
                <w:szCs w:val="24"/>
                <w:lang w:val="zh-CN" w:eastAsia="zh-CN" w:bidi="ar-SA"/>
              </w:rPr>
            </w:pPr>
            <w:r>
              <w:rPr>
                <w:rFonts w:hint="eastAsia" w:ascii="宋体" w:cs="宋体"/>
                <w:b/>
                <w:sz w:val="24"/>
                <w:szCs w:val="24"/>
                <w:lang w:val="zh-CN" w:eastAsia="zh-CN" w:bidi="ar-SA"/>
              </w:rPr>
              <w:t>序号</w:t>
            </w:r>
          </w:p>
        </w:tc>
        <w:tc>
          <w:tcPr>
            <w:tcW w:w="1290"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72B64A3D">
            <w:pPr>
              <w:autoSpaceDE w:val="0"/>
              <w:autoSpaceDN w:val="0"/>
              <w:adjustRightInd w:val="0"/>
              <w:spacing w:line="360" w:lineRule="auto"/>
              <w:jc w:val="center"/>
              <w:rPr>
                <w:rFonts w:hint="eastAsia" w:ascii="宋体" w:cs="宋体"/>
                <w:b/>
                <w:sz w:val="24"/>
                <w:szCs w:val="24"/>
                <w:lang w:val="zh-CN" w:eastAsia="zh-CN" w:bidi="ar-SA"/>
              </w:rPr>
            </w:pPr>
            <w:r>
              <w:rPr>
                <w:rFonts w:hint="eastAsia" w:ascii="宋体" w:cs="宋体"/>
                <w:b/>
                <w:sz w:val="24"/>
                <w:szCs w:val="24"/>
                <w:lang w:val="zh-CN" w:eastAsia="zh-CN" w:bidi="ar-SA"/>
              </w:rPr>
              <w:t>名称</w:t>
            </w:r>
          </w:p>
        </w:tc>
        <w:tc>
          <w:tcPr>
            <w:tcW w:w="2190"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5D366346">
            <w:pPr>
              <w:autoSpaceDE w:val="0"/>
              <w:autoSpaceDN w:val="0"/>
              <w:adjustRightInd w:val="0"/>
              <w:spacing w:line="360" w:lineRule="auto"/>
              <w:ind w:firstLine="120"/>
              <w:jc w:val="center"/>
              <w:rPr>
                <w:rFonts w:hint="eastAsia" w:ascii="宋体" w:cs="宋体"/>
                <w:b/>
                <w:sz w:val="24"/>
                <w:szCs w:val="24"/>
                <w:lang w:val="zh-CN" w:eastAsia="zh-CN" w:bidi="ar-SA"/>
              </w:rPr>
            </w:pPr>
            <w:r>
              <w:rPr>
                <w:rFonts w:hint="eastAsia" w:ascii="宋体" w:cs="宋体"/>
                <w:b/>
                <w:sz w:val="24"/>
                <w:szCs w:val="24"/>
                <w:lang w:val="zh-CN" w:eastAsia="zh-CN" w:bidi="ar-SA"/>
              </w:rPr>
              <w:t>厂家、品牌、</w:t>
            </w:r>
          </w:p>
          <w:p w14:paraId="44F42A4C">
            <w:pPr>
              <w:autoSpaceDE w:val="0"/>
              <w:autoSpaceDN w:val="0"/>
              <w:adjustRightInd w:val="0"/>
              <w:spacing w:line="360" w:lineRule="auto"/>
              <w:ind w:firstLine="120"/>
              <w:jc w:val="center"/>
              <w:rPr>
                <w:rFonts w:hint="eastAsia" w:ascii="宋体" w:cs="宋体"/>
                <w:b/>
                <w:sz w:val="24"/>
                <w:szCs w:val="24"/>
                <w:lang w:val="zh-CN" w:eastAsia="zh-CN" w:bidi="ar-SA"/>
              </w:rPr>
            </w:pPr>
            <w:r>
              <w:rPr>
                <w:rFonts w:hint="eastAsia" w:ascii="宋体" w:cs="宋体"/>
                <w:b/>
                <w:sz w:val="24"/>
                <w:szCs w:val="24"/>
                <w:lang w:val="zh-CN" w:eastAsia="zh-CN" w:bidi="ar-SA"/>
              </w:rPr>
              <w:t>规格、型号</w:t>
            </w:r>
          </w:p>
        </w:tc>
        <w:tc>
          <w:tcPr>
            <w:tcW w:w="1455"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0501E218">
            <w:pPr>
              <w:autoSpaceDE w:val="0"/>
              <w:autoSpaceDN w:val="0"/>
              <w:adjustRightInd w:val="0"/>
              <w:spacing w:line="360" w:lineRule="auto"/>
              <w:jc w:val="center"/>
              <w:rPr>
                <w:rFonts w:hint="eastAsia" w:ascii="宋体" w:cs="宋体"/>
                <w:b/>
                <w:sz w:val="24"/>
                <w:szCs w:val="24"/>
                <w:lang w:val="zh-CN" w:eastAsia="zh-CN" w:bidi="ar-SA"/>
              </w:rPr>
            </w:pPr>
            <w:r>
              <w:rPr>
                <w:rFonts w:hint="eastAsia" w:ascii="宋体" w:cs="宋体"/>
                <w:b/>
                <w:sz w:val="24"/>
                <w:szCs w:val="24"/>
                <w:lang w:val="zh-CN" w:eastAsia="zh-CN" w:bidi="ar-SA"/>
              </w:rPr>
              <w:t>技术</w:t>
            </w:r>
          </w:p>
          <w:p w14:paraId="01EBEEBE">
            <w:pPr>
              <w:autoSpaceDE w:val="0"/>
              <w:autoSpaceDN w:val="0"/>
              <w:adjustRightInd w:val="0"/>
              <w:spacing w:line="360" w:lineRule="auto"/>
              <w:jc w:val="center"/>
              <w:rPr>
                <w:rFonts w:hint="eastAsia" w:ascii="宋体" w:cs="宋体"/>
                <w:b/>
                <w:sz w:val="24"/>
                <w:szCs w:val="24"/>
                <w:lang w:val="zh-CN" w:eastAsia="zh-CN" w:bidi="ar-SA"/>
              </w:rPr>
            </w:pPr>
            <w:r>
              <w:rPr>
                <w:rFonts w:hint="eastAsia" w:ascii="宋体" w:cs="宋体"/>
                <w:b/>
                <w:sz w:val="24"/>
                <w:szCs w:val="24"/>
                <w:lang w:val="zh-CN" w:eastAsia="zh-CN" w:bidi="ar-SA"/>
              </w:rPr>
              <w:t>参数</w:t>
            </w:r>
          </w:p>
        </w:tc>
        <w:tc>
          <w:tcPr>
            <w:tcW w:w="825"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7A35FC1F">
            <w:pPr>
              <w:autoSpaceDE w:val="0"/>
              <w:autoSpaceDN w:val="0"/>
              <w:adjustRightInd w:val="0"/>
              <w:spacing w:line="360" w:lineRule="auto"/>
              <w:jc w:val="center"/>
              <w:rPr>
                <w:rFonts w:hint="eastAsia" w:ascii="宋体" w:cs="宋体"/>
                <w:b/>
                <w:sz w:val="24"/>
                <w:szCs w:val="24"/>
                <w:lang w:val="zh-CN" w:eastAsia="zh-CN" w:bidi="ar-SA"/>
              </w:rPr>
            </w:pPr>
            <w:r>
              <w:rPr>
                <w:rFonts w:hint="eastAsia" w:ascii="宋体" w:cs="宋体"/>
                <w:b/>
                <w:sz w:val="24"/>
                <w:szCs w:val="24"/>
                <w:lang w:val="zh-CN" w:eastAsia="zh-CN" w:bidi="ar-SA"/>
              </w:rPr>
              <w:t>单位</w:t>
            </w:r>
          </w:p>
        </w:tc>
        <w:tc>
          <w:tcPr>
            <w:tcW w:w="810"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2489E3DD">
            <w:pPr>
              <w:autoSpaceDE w:val="0"/>
              <w:autoSpaceDN w:val="0"/>
              <w:adjustRightInd w:val="0"/>
              <w:spacing w:line="360" w:lineRule="auto"/>
              <w:jc w:val="center"/>
              <w:rPr>
                <w:rFonts w:hint="eastAsia" w:ascii="宋体" w:cs="宋体"/>
                <w:b/>
                <w:sz w:val="24"/>
                <w:szCs w:val="24"/>
                <w:lang w:val="zh-CN" w:eastAsia="zh-CN" w:bidi="ar-SA"/>
              </w:rPr>
            </w:pPr>
            <w:r>
              <w:rPr>
                <w:rFonts w:hint="eastAsia" w:ascii="宋体" w:cs="宋体"/>
                <w:b/>
                <w:sz w:val="24"/>
                <w:szCs w:val="24"/>
                <w:lang w:val="zh-CN" w:eastAsia="zh-CN" w:bidi="ar-SA"/>
              </w:rPr>
              <w:t>数量</w:t>
            </w:r>
          </w:p>
        </w:tc>
        <w:tc>
          <w:tcPr>
            <w:tcW w:w="900"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65B6C8D4">
            <w:pPr>
              <w:autoSpaceDE w:val="0"/>
              <w:autoSpaceDN w:val="0"/>
              <w:adjustRightInd w:val="0"/>
              <w:spacing w:line="360" w:lineRule="auto"/>
              <w:jc w:val="center"/>
              <w:rPr>
                <w:rFonts w:hint="eastAsia" w:ascii="宋体" w:cs="宋体"/>
                <w:b/>
                <w:sz w:val="24"/>
                <w:szCs w:val="24"/>
                <w:lang w:val="zh-CN" w:eastAsia="zh-CN" w:bidi="ar-SA"/>
              </w:rPr>
            </w:pPr>
            <w:r>
              <w:rPr>
                <w:rFonts w:hint="eastAsia" w:ascii="宋体" w:cs="宋体"/>
                <w:b/>
                <w:sz w:val="24"/>
                <w:szCs w:val="24"/>
                <w:lang w:val="zh-CN" w:eastAsia="zh-CN" w:bidi="ar-SA"/>
              </w:rPr>
              <w:t>单价</w:t>
            </w:r>
          </w:p>
        </w:tc>
        <w:tc>
          <w:tcPr>
            <w:tcW w:w="1515"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7B7E0625">
            <w:pPr>
              <w:autoSpaceDE w:val="0"/>
              <w:autoSpaceDN w:val="0"/>
              <w:adjustRightInd w:val="0"/>
              <w:spacing w:line="360" w:lineRule="auto"/>
              <w:ind w:firstLine="120"/>
              <w:jc w:val="center"/>
              <w:rPr>
                <w:rFonts w:hint="eastAsia" w:ascii="宋体" w:cs="宋体"/>
                <w:b/>
                <w:sz w:val="24"/>
                <w:szCs w:val="24"/>
                <w:lang w:val="zh-CN" w:eastAsia="zh-CN" w:bidi="ar-SA"/>
              </w:rPr>
            </w:pPr>
            <w:r>
              <w:rPr>
                <w:rFonts w:hint="eastAsia" w:ascii="宋体" w:cs="宋体"/>
                <w:b/>
                <w:sz w:val="24"/>
                <w:szCs w:val="24"/>
                <w:lang w:val="zh-CN" w:eastAsia="zh-CN" w:bidi="ar-SA"/>
              </w:rPr>
              <w:t>总价</w:t>
            </w:r>
          </w:p>
        </w:tc>
      </w:tr>
      <w:tr w14:paraId="6F081BC6">
        <w:tblPrEx>
          <w:tblCellMar>
            <w:top w:w="0" w:type="dxa"/>
            <w:left w:w="108" w:type="dxa"/>
            <w:bottom w:w="0" w:type="dxa"/>
            <w:right w:w="108" w:type="dxa"/>
          </w:tblCellMar>
        </w:tblPrEx>
        <w:trPr>
          <w:trHeight w:val="851" w:hRule="atLeast"/>
        </w:trPr>
        <w:tc>
          <w:tcPr>
            <w:tcW w:w="702" w:type="dxa"/>
            <w:tcBorders>
              <w:top w:val="single" w:color="auto" w:sz="6" w:space="0"/>
              <w:left w:val="single" w:color="auto" w:sz="6" w:space="0"/>
              <w:bottom w:val="single" w:color="auto" w:sz="6" w:space="0"/>
              <w:right w:val="single" w:color="auto" w:sz="6" w:space="0"/>
            </w:tcBorders>
            <w:noWrap w:val="0"/>
            <w:vAlign w:val="center"/>
          </w:tcPr>
          <w:p w14:paraId="604F15B3">
            <w:pPr>
              <w:autoSpaceDE w:val="0"/>
              <w:autoSpaceDN w:val="0"/>
              <w:adjustRightInd w:val="0"/>
              <w:spacing w:line="480" w:lineRule="exact"/>
              <w:jc w:val="center"/>
              <w:rPr>
                <w:rFonts w:hint="eastAsia" w:ascii="宋体"/>
                <w:sz w:val="24"/>
                <w:szCs w:val="24"/>
              </w:rPr>
            </w:pPr>
            <w:r>
              <w:rPr>
                <w:rFonts w:hint="eastAsia" w:ascii="宋体"/>
                <w:sz w:val="24"/>
                <w:szCs w:val="24"/>
              </w:rPr>
              <w:t>1</w:t>
            </w:r>
          </w:p>
        </w:tc>
        <w:tc>
          <w:tcPr>
            <w:tcW w:w="1290" w:type="dxa"/>
            <w:tcBorders>
              <w:top w:val="single" w:color="auto" w:sz="6" w:space="0"/>
              <w:left w:val="single" w:color="auto" w:sz="6" w:space="0"/>
              <w:bottom w:val="single" w:color="auto" w:sz="6" w:space="0"/>
              <w:right w:val="single" w:color="auto" w:sz="6" w:space="0"/>
            </w:tcBorders>
            <w:noWrap w:val="0"/>
            <w:vAlign w:val="top"/>
          </w:tcPr>
          <w:p w14:paraId="10DDE0B0">
            <w:pPr>
              <w:autoSpaceDE w:val="0"/>
              <w:autoSpaceDN w:val="0"/>
              <w:adjustRightInd w:val="0"/>
              <w:spacing w:line="360" w:lineRule="auto"/>
              <w:rPr>
                <w:rFonts w:hint="eastAsia" w:ascii="宋体"/>
                <w:sz w:val="24"/>
                <w:szCs w:val="24"/>
              </w:rPr>
            </w:pPr>
          </w:p>
        </w:tc>
        <w:tc>
          <w:tcPr>
            <w:tcW w:w="2190" w:type="dxa"/>
            <w:tcBorders>
              <w:top w:val="single" w:color="auto" w:sz="6" w:space="0"/>
              <w:left w:val="single" w:color="auto" w:sz="6" w:space="0"/>
              <w:bottom w:val="single" w:color="auto" w:sz="6" w:space="0"/>
              <w:right w:val="single" w:color="auto" w:sz="6" w:space="0"/>
            </w:tcBorders>
            <w:noWrap w:val="0"/>
            <w:vAlign w:val="top"/>
          </w:tcPr>
          <w:p w14:paraId="78BEAE47">
            <w:pPr>
              <w:autoSpaceDE w:val="0"/>
              <w:autoSpaceDN w:val="0"/>
              <w:adjustRightInd w:val="0"/>
              <w:spacing w:line="360" w:lineRule="auto"/>
              <w:rPr>
                <w:rFonts w:hint="eastAsia" w:ascii="宋体"/>
                <w:sz w:val="24"/>
                <w:szCs w:val="24"/>
              </w:rPr>
            </w:pPr>
          </w:p>
        </w:tc>
        <w:tc>
          <w:tcPr>
            <w:tcW w:w="1455" w:type="dxa"/>
            <w:tcBorders>
              <w:top w:val="single" w:color="auto" w:sz="6" w:space="0"/>
              <w:left w:val="single" w:color="auto" w:sz="6" w:space="0"/>
              <w:bottom w:val="single" w:color="auto" w:sz="6" w:space="0"/>
              <w:right w:val="single" w:color="auto" w:sz="6" w:space="0"/>
            </w:tcBorders>
            <w:noWrap w:val="0"/>
            <w:vAlign w:val="top"/>
          </w:tcPr>
          <w:p w14:paraId="71976530">
            <w:pPr>
              <w:autoSpaceDE w:val="0"/>
              <w:autoSpaceDN w:val="0"/>
              <w:adjustRightInd w:val="0"/>
              <w:spacing w:line="360" w:lineRule="auto"/>
              <w:rPr>
                <w:rFonts w:hint="eastAsia" w:ascii="宋体"/>
                <w:sz w:val="24"/>
                <w:szCs w:val="24"/>
              </w:rPr>
            </w:pPr>
          </w:p>
        </w:tc>
        <w:tc>
          <w:tcPr>
            <w:tcW w:w="825" w:type="dxa"/>
            <w:tcBorders>
              <w:top w:val="single" w:color="auto" w:sz="6" w:space="0"/>
              <w:left w:val="single" w:color="auto" w:sz="6" w:space="0"/>
              <w:bottom w:val="single" w:color="auto" w:sz="6" w:space="0"/>
              <w:right w:val="single" w:color="auto" w:sz="6" w:space="0"/>
            </w:tcBorders>
            <w:noWrap w:val="0"/>
            <w:vAlign w:val="top"/>
          </w:tcPr>
          <w:p w14:paraId="3DF04209">
            <w:pPr>
              <w:autoSpaceDE w:val="0"/>
              <w:autoSpaceDN w:val="0"/>
              <w:adjustRightInd w:val="0"/>
              <w:spacing w:line="360" w:lineRule="auto"/>
              <w:rPr>
                <w:rFonts w:hint="eastAsia" w:ascii="宋体"/>
                <w:sz w:val="24"/>
                <w:szCs w:val="24"/>
              </w:rPr>
            </w:pPr>
          </w:p>
        </w:tc>
        <w:tc>
          <w:tcPr>
            <w:tcW w:w="810" w:type="dxa"/>
            <w:tcBorders>
              <w:top w:val="single" w:color="auto" w:sz="6" w:space="0"/>
              <w:left w:val="single" w:color="auto" w:sz="6" w:space="0"/>
              <w:bottom w:val="single" w:color="auto" w:sz="6" w:space="0"/>
              <w:right w:val="single" w:color="auto" w:sz="6" w:space="0"/>
            </w:tcBorders>
            <w:noWrap w:val="0"/>
            <w:vAlign w:val="top"/>
          </w:tcPr>
          <w:p w14:paraId="2C344B72">
            <w:pPr>
              <w:autoSpaceDE w:val="0"/>
              <w:autoSpaceDN w:val="0"/>
              <w:adjustRightInd w:val="0"/>
              <w:spacing w:line="360" w:lineRule="auto"/>
              <w:rPr>
                <w:rFonts w:hint="eastAsia" w:ascii="宋体"/>
                <w:sz w:val="24"/>
                <w:szCs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4C0174E">
            <w:pPr>
              <w:autoSpaceDE w:val="0"/>
              <w:autoSpaceDN w:val="0"/>
              <w:adjustRightInd w:val="0"/>
              <w:spacing w:line="360" w:lineRule="auto"/>
              <w:rPr>
                <w:rFonts w:hint="eastAsia" w:ascii="宋体"/>
                <w:sz w:val="24"/>
                <w:szCs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6715EA9D">
            <w:pPr>
              <w:autoSpaceDE w:val="0"/>
              <w:autoSpaceDN w:val="0"/>
              <w:adjustRightInd w:val="0"/>
              <w:spacing w:line="360" w:lineRule="auto"/>
              <w:rPr>
                <w:rFonts w:hint="eastAsia" w:ascii="宋体"/>
                <w:sz w:val="24"/>
                <w:szCs w:val="24"/>
              </w:rPr>
            </w:pPr>
          </w:p>
        </w:tc>
      </w:tr>
      <w:tr w14:paraId="3355D3EF">
        <w:tblPrEx>
          <w:tblCellMar>
            <w:top w:w="0" w:type="dxa"/>
            <w:left w:w="108" w:type="dxa"/>
            <w:bottom w:w="0" w:type="dxa"/>
            <w:right w:w="108" w:type="dxa"/>
          </w:tblCellMar>
        </w:tblPrEx>
        <w:trPr>
          <w:trHeight w:val="851" w:hRule="atLeast"/>
        </w:trPr>
        <w:tc>
          <w:tcPr>
            <w:tcW w:w="702" w:type="dxa"/>
            <w:tcBorders>
              <w:top w:val="single" w:color="auto" w:sz="6" w:space="0"/>
              <w:left w:val="single" w:color="auto" w:sz="6" w:space="0"/>
              <w:bottom w:val="single" w:color="auto" w:sz="6" w:space="0"/>
              <w:right w:val="single" w:color="auto" w:sz="6" w:space="0"/>
            </w:tcBorders>
            <w:noWrap w:val="0"/>
            <w:vAlign w:val="center"/>
          </w:tcPr>
          <w:p w14:paraId="06F30309">
            <w:pPr>
              <w:autoSpaceDE w:val="0"/>
              <w:autoSpaceDN w:val="0"/>
              <w:adjustRightInd w:val="0"/>
              <w:spacing w:line="480" w:lineRule="exact"/>
              <w:jc w:val="center"/>
              <w:rPr>
                <w:rFonts w:hint="eastAsia" w:ascii="宋体"/>
                <w:sz w:val="24"/>
                <w:szCs w:val="24"/>
              </w:rPr>
            </w:pPr>
            <w:r>
              <w:rPr>
                <w:rFonts w:hint="eastAsia" w:ascii="宋体"/>
                <w:sz w:val="24"/>
                <w:szCs w:val="24"/>
              </w:rPr>
              <w:t>2</w:t>
            </w:r>
          </w:p>
        </w:tc>
        <w:tc>
          <w:tcPr>
            <w:tcW w:w="1290" w:type="dxa"/>
            <w:tcBorders>
              <w:top w:val="single" w:color="auto" w:sz="6" w:space="0"/>
              <w:left w:val="single" w:color="auto" w:sz="6" w:space="0"/>
              <w:bottom w:val="single" w:color="auto" w:sz="6" w:space="0"/>
              <w:right w:val="single" w:color="auto" w:sz="6" w:space="0"/>
            </w:tcBorders>
            <w:noWrap w:val="0"/>
            <w:vAlign w:val="top"/>
          </w:tcPr>
          <w:p w14:paraId="5E65F4A0">
            <w:pPr>
              <w:autoSpaceDE w:val="0"/>
              <w:autoSpaceDN w:val="0"/>
              <w:adjustRightInd w:val="0"/>
              <w:spacing w:line="360" w:lineRule="auto"/>
              <w:rPr>
                <w:rFonts w:hint="eastAsia" w:ascii="宋体"/>
                <w:sz w:val="24"/>
                <w:szCs w:val="24"/>
              </w:rPr>
            </w:pPr>
          </w:p>
        </w:tc>
        <w:tc>
          <w:tcPr>
            <w:tcW w:w="2190" w:type="dxa"/>
            <w:tcBorders>
              <w:top w:val="single" w:color="auto" w:sz="6" w:space="0"/>
              <w:left w:val="single" w:color="auto" w:sz="6" w:space="0"/>
              <w:bottom w:val="single" w:color="auto" w:sz="6" w:space="0"/>
              <w:right w:val="single" w:color="auto" w:sz="6" w:space="0"/>
            </w:tcBorders>
            <w:noWrap w:val="0"/>
            <w:vAlign w:val="top"/>
          </w:tcPr>
          <w:p w14:paraId="7382E138">
            <w:pPr>
              <w:autoSpaceDE w:val="0"/>
              <w:autoSpaceDN w:val="0"/>
              <w:adjustRightInd w:val="0"/>
              <w:spacing w:line="360" w:lineRule="auto"/>
              <w:rPr>
                <w:rFonts w:hint="eastAsia" w:ascii="宋体"/>
                <w:sz w:val="24"/>
                <w:szCs w:val="24"/>
              </w:rPr>
            </w:pPr>
          </w:p>
        </w:tc>
        <w:tc>
          <w:tcPr>
            <w:tcW w:w="1455" w:type="dxa"/>
            <w:tcBorders>
              <w:top w:val="single" w:color="auto" w:sz="6" w:space="0"/>
              <w:left w:val="single" w:color="auto" w:sz="6" w:space="0"/>
              <w:bottom w:val="single" w:color="auto" w:sz="6" w:space="0"/>
              <w:right w:val="single" w:color="auto" w:sz="6" w:space="0"/>
            </w:tcBorders>
            <w:noWrap w:val="0"/>
            <w:vAlign w:val="top"/>
          </w:tcPr>
          <w:p w14:paraId="28A73721">
            <w:pPr>
              <w:autoSpaceDE w:val="0"/>
              <w:autoSpaceDN w:val="0"/>
              <w:adjustRightInd w:val="0"/>
              <w:spacing w:line="360" w:lineRule="auto"/>
              <w:rPr>
                <w:rFonts w:hint="eastAsia" w:ascii="宋体"/>
                <w:sz w:val="24"/>
                <w:szCs w:val="24"/>
              </w:rPr>
            </w:pPr>
          </w:p>
        </w:tc>
        <w:tc>
          <w:tcPr>
            <w:tcW w:w="825" w:type="dxa"/>
            <w:tcBorders>
              <w:top w:val="single" w:color="auto" w:sz="6" w:space="0"/>
              <w:left w:val="single" w:color="auto" w:sz="6" w:space="0"/>
              <w:bottom w:val="single" w:color="auto" w:sz="6" w:space="0"/>
              <w:right w:val="single" w:color="auto" w:sz="6" w:space="0"/>
            </w:tcBorders>
            <w:noWrap w:val="0"/>
            <w:vAlign w:val="top"/>
          </w:tcPr>
          <w:p w14:paraId="0A563B69">
            <w:pPr>
              <w:autoSpaceDE w:val="0"/>
              <w:autoSpaceDN w:val="0"/>
              <w:adjustRightInd w:val="0"/>
              <w:spacing w:line="360" w:lineRule="auto"/>
              <w:rPr>
                <w:rFonts w:hint="eastAsia" w:ascii="宋体"/>
                <w:sz w:val="24"/>
                <w:szCs w:val="24"/>
              </w:rPr>
            </w:pPr>
          </w:p>
        </w:tc>
        <w:tc>
          <w:tcPr>
            <w:tcW w:w="810" w:type="dxa"/>
            <w:tcBorders>
              <w:top w:val="single" w:color="auto" w:sz="6" w:space="0"/>
              <w:left w:val="single" w:color="auto" w:sz="6" w:space="0"/>
              <w:bottom w:val="single" w:color="auto" w:sz="6" w:space="0"/>
              <w:right w:val="single" w:color="auto" w:sz="6" w:space="0"/>
            </w:tcBorders>
            <w:noWrap w:val="0"/>
            <w:vAlign w:val="top"/>
          </w:tcPr>
          <w:p w14:paraId="26D51AC3">
            <w:pPr>
              <w:autoSpaceDE w:val="0"/>
              <w:autoSpaceDN w:val="0"/>
              <w:adjustRightInd w:val="0"/>
              <w:spacing w:line="360" w:lineRule="auto"/>
              <w:rPr>
                <w:rFonts w:hint="eastAsia" w:ascii="宋体"/>
                <w:sz w:val="24"/>
                <w:szCs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C1C9365">
            <w:pPr>
              <w:autoSpaceDE w:val="0"/>
              <w:autoSpaceDN w:val="0"/>
              <w:adjustRightInd w:val="0"/>
              <w:spacing w:line="360" w:lineRule="auto"/>
              <w:rPr>
                <w:rFonts w:hint="eastAsia" w:ascii="宋体"/>
                <w:sz w:val="24"/>
                <w:szCs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2E2B6C41">
            <w:pPr>
              <w:autoSpaceDE w:val="0"/>
              <w:autoSpaceDN w:val="0"/>
              <w:adjustRightInd w:val="0"/>
              <w:spacing w:line="360" w:lineRule="auto"/>
              <w:rPr>
                <w:rFonts w:hint="eastAsia" w:ascii="宋体"/>
                <w:sz w:val="24"/>
                <w:szCs w:val="24"/>
              </w:rPr>
            </w:pPr>
          </w:p>
        </w:tc>
      </w:tr>
      <w:tr w14:paraId="48C28C52">
        <w:tblPrEx>
          <w:tblCellMar>
            <w:top w:w="0" w:type="dxa"/>
            <w:left w:w="108" w:type="dxa"/>
            <w:bottom w:w="0" w:type="dxa"/>
            <w:right w:w="108" w:type="dxa"/>
          </w:tblCellMar>
        </w:tblPrEx>
        <w:trPr>
          <w:trHeight w:val="851" w:hRule="atLeast"/>
        </w:trPr>
        <w:tc>
          <w:tcPr>
            <w:tcW w:w="702" w:type="dxa"/>
            <w:tcBorders>
              <w:top w:val="single" w:color="auto" w:sz="6" w:space="0"/>
              <w:left w:val="single" w:color="auto" w:sz="6" w:space="0"/>
              <w:bottom w:val="single" w:color="auto" w:sz="6" w:space="0"/>
              <w:right w:val="single" w:color="auto" w:sz="6" w:space="0"/>
            </w:tcBorders>
            <w:noWrap w:val="0"/>
            <w:vAlign w:val="center"/>
          </w:tcPr>
          <w:p w14:paraId="1C096DE0">
            <w:pPr>
              <w:autoSpaceDE w:val="0"/>
              <w:autoSpaceDN w:val="0"/>
              <w:adjustRightInd w:val="0"/>
              <w:spacing w:line="480" w:lineRule="exact"/>
              <w:jc w:val="center"/>
              <w:rPr>
                <w:rFonts w:hint="eastAsia" w:ascii="宋体"/>
                <w:sz w:val="24"/>
                <w:szCs w:val="24"/>
              </w:rPr>
            </w:pPr>
            <w:r>
              <w:rPr>
                <w:rFonts w:hint="eastAsia" w:ascii="宋体"/>
                <w:sz w:val="24"/>
                <w:szCs w:val="24"/>
              </w:rPr>
              <w:t>…</w:t>
            </w:r>
          </w:p>
        </w:tc>
        <w:tc>
          <w:tcPr>
            <w:tcW w:w="1290" w:type="dxa"/>
            <w:tcBorders>
              <w:top w:val="single" w:color="auto" w:sz="6" w:space="0"/>
              <w:left w:val="single" w:color="auto" w:sz="6" w:space="0"/>
              <w:bottom w:val="single" w:color="auto" w:sz="6" w:space="0"/>
              <w:right w:val="single" w:color="auto" w:sz="6" w:space="0"/>
            </w:tcBorders>
            <w:noWrap w:val="0"/>
            <w:vAlign w:val="top"/>
          </w:tcPr>
          <w:p w14:paraId="1E5FEFD8">
            <w:pPr>
              <w:autoSpaceDE w:val="0"/>
              <w:autoSpaceDN w:val="0"/>
              <w:adjustRightInd w:val="0"/>
              <w:spacing w:line="360" w:lineRule="auto"/>
              <w:rPr>
                <w:rFonts w:hint="eastAsia" w:ascii="宋体"/>
                <w:sz w:val="24"/>
                <w:szCs w:val="24"/>
              </w:rPr>
            </w:pPr>
          </w:p>
        </w:tc>
        <w:tc>
          <w:tcPr>
            <w:tcW w:w="2190" w:type="dxa"/>
            <w:tcBorders>
              <w:top w:val="single" w:color="auto" w:sz="6" w:space="0"/>
              <w:left w:val="single" w:color="auto" w:sz="6" w:space="0"/>
              <w:bottom w:val="single" w:color="auto" w:sz="6" w:space="0"/>
              <w:right w:val="single" w:color="auto" w:sz="6" w:space="0"/>
            </w:tcBorders>
            <w:noWrap w:val="0"/>
            <w:vAlign w:val="top"/>
          </w:tcPr>
          <w:p w14:paraId="1F61CBAB">
            <w:pPr>
              <w:autoSpaceDE w:val="0"/>
              <w:autoSpaceDN w:val="0"/>
              <w:adjustRightInd w:val="0"/>
              <w:spacing w:line="360" w:lineRule="auto"/>
              <w:rPr>
                <w:rFonts w:hint="eastAsia" w:ascii="宋体"/>
                <w:sz w:val="24"/>
                <w:szCs w:val="24"/>
              </w:rPr>
            </w:pPr>
          </w:p>
        </w:tc>
        <w:tc>
          <w:tcPr>
            <w:tcW w:w="1455" w:type="dxa"/>
            <w:tcBorders>
              <w:top w:val="single" w:color="auto" w:sz="6" w:space="0"/>
              <w:left w:val="single" w:color="auto" w:sz="6" w:space="0"/>
              <w:bottom w:val="single" w:color="auto" w:sz="6" w:space="0"/>
              <w:right w:val="single" w:color="auto" w:sz="6" w:space="0"/>
            </w:tcBorders>
            <w:noWrap w:val="0"/>
            <w:vAlign w:val="top"/>
          </w:tcPr>
          <w:p w14:paraId="6C333DA8">
            <w:pPr>
              <w:autoSpaceDE w:val="0"/>
              <w:autoSpaceDN w:val="0"/>
              <w:adjustRightInd w:val="0"/>
              <w:spacing w:line="360" w:lineRule="auto"/>
              <w:rPr>
                <w:rFonts w:hint="eastAsia" w:ascii="宋体"/>
                <w:sz w:val="24"/>
                <w:szCs w:val="24"/>
              </w:rPr>
            </w:pPr>
          </w:p>
        </w:tc>
        <w:tc>
          <w:tcPr>
            <w:tcW w:w="825" w:type="dxa"/>
            <w:tcBorders>
              <w:top w:val="single" w:color="auto" w:sz="6" w:space="0"/>
              <w:left w:val="single" w:color="auto" w:sz="6" w:space="0"/>
              <w:bottom w:val="single" w:color="auto" w:sz="6" w:space="0"/>
              <w:right w:val="single" w:color="auto" w:sz="6" w:space="0"/>
            </w:tcBorders>
            <w:noWrap w:val="0"/>
            <w:vAlign w:val="top"/>
          </w:tcPr>
          <w:p w14:paraId="54BA40F1">
            <w:pPr>
              <w:autoSpaceDE w:val="0"/>
              <w:autoSpaceDN w:val="0"/>
              <w:adjustRightInd w:val="0"/>
              <w:spacing w:line="360" w:lineRule="auto"/>
              <w:rPr>
                <w:rFonts w:hint="eastAsia" w:ascii="宋体"/>
                <w:sz w:val="24"/>
                <w:szCs w:val="24"/>
              </w:rPr>
            </w:pPr>
          </w:p>
        </w:tc>
        <w:tc>
          <w:tcPr>
            <w:tcW w:w="810" w:type="dxa"/>
            <w:tcBorders>
              <w:top w:val="single" w:color="auto" w:sz="6" w:space="0"/>
              <w:left w:val="single" w:color="auto" w:sz="6" w:space="0"/>
              <w:bottom w:val="single" w:color="auto" w:sz="6" w:space="0"/>
              <w:right w:val="single" w:color="auto" w:sz="6" w:space="0"/>
            </w:tcBorders>
            <w:noWrap w:val="0"/>
            <w:vAlign w:val="top"/>
          </w:tcPr>
          <w:p w14:paraId="65CC02CC">
            <w:pPr>
              <w:autoSpaceDE w:val="0"/>
              <w:autoSpaceDN w:val="0"/>
              <w:adjustRightInd w:val="0"/>
              <w:spacing w:line="360" w:lineRule="auto"/>
              <w:rPr>
                <w:rFonts w:hint="eastAsia" w:ascii="宋体"/>
                <w:sz w:val="24"/>
                <w:szCs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17FFAA9">
            <w:pPr>
              <w:autoSpaceDE w:val="0"/>
              <w:autoSpaceDN w:val="0"/>
              <w:adjustRightInd w:val="0"/>
              <w:spacing w:line="360" w:lineRule="auto"/>
              <w:rPr>
                <w:rFonts w:hint="eastAsia" w:ascii="宋体"/>
                <w:sz w:val="24"/>
                <w:szCs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0E73ABA5">
            <w:pPr>
              <w:autoSpaceDE w:val="0"/>
              <w:autoSpaceDN w:val="0"/>
              <w:adjustRightInd w:val="0"/>
              <w:spacing w:line="360" w:lineRule="auto"/>
              <w:rPr>
                <w:rFonts w:hint="eastAsia" w:ascii="宋体"/>
                <w:sz w:val="24"/>
                <w:szCs w:val="24"/>
              </w:rPr>
            </w:pPr>
          </w:p>
        </w:tc>
      </w:tr>
      <w:tr w14:paraId="0329E52C">
        <w:tblPrEx>
          <w:tblCellMar>
            <w:top w:w="0" w:type="dxa"/>
            <w:left w:w="108" w:type="dxa"/>
            <w:bottom w:w="0" w:type="dxa"/>
            <w:right w:w="108" w:type="dxa"/>
          </w:tblCellMar>
        </w:tblPrEx>
        <w:trPr>
          <w:trHeight w:val="851" w:hRule="atLeast"/>
        </w:trPr>
        <w:tc>
          <w:tcPr>
            <w:tcW w:w="1992" w:type="dxa"/>
            <w:gridSpan w:val="2"/>
            <w:tcBorders>
              <w:top w:val="single" w:color="auto" w:sz="6" w:space="0"/>
              <w:left w:val="single" w:color="auto" w:sz="6" w:space="0"/>
              <w:bottom w:val="single" w:color="auto" w:sz="6" w:space="0"/>
              <w:right w:val="single" w:color="auto" w:sz="6" w:space="0"/>
            </w:tcBorders>
            <w:noWrap w:val="0"/>
            <w:vAlign w:val="center"/>
          </w:tcPr>
          <w:p w14:paraId="0CD4C6DF">
            <w:pPr>
              <w:autoSpaceDE w:val="0"/>
              <w:autoSpaceDN w:val="0"/>
              <w:adjustRightInd w:val="0"/>
              <w:spacing w:line="360" w:lineRule="auto"/>
              <w:jc w:val="center"/>
              <w:rPr>
                <w:rFonts w:hint="eastAsia" w:ascii="宋体"/>
                <w:sz w:val="24"/>
                <w:szCs w:val="24"/>
              </w:rPr>
            </w:pPr>
            <w:r>
              <w:rPr>
                <w:rFonts w:hint="eastAsia" w:ascii="宋体"/>
                <w:sz w:val="24"/>
                <w:szCs w:val="24"/>
              </w:rPr>
              <w:t>合计</w:t>
            </w:r>
          </w:p>
        </w:tc>
        <w:tc>
          <w:tcPr>
            <w:tcW w:w="7695" w:type="dxa"/>
            <w:gridSpan w:val="6"/>
            <w:tcBorders>
              <w:top w:val="single" w:color="auto" w:sz="6" w:space="0"/>
              <w:left w:val="single" w:color="auto" w:sz="6" w:space="0"/>
              <w:bottom w:val="single" w:color="auto" w:sz="6" w:space="0"/>
              <w:right w:val="single" w:color="auto" w:sz="6" w:space="0"/>
            </w:tcBorders>
            <w:noWrap w:val="0"/>
            <w:vAlign w:val="center"/>
          </w:tcPr>
          <w:p w14:paraId="69E64463">
            <w:pPr>
              <w:autoSpaceDE w:val="0"/>
              <w:autoSpaceDN w:val="0"/>
              <w:adjustRightInd w:val="0"/>
              <w:spacing w:line="360" w:lineRule="auto"/>
              <w:rPr>
                <w:rFonts w:hint="eastAsia" w:ascii="宋体"/>
                <w:sz w:val="24"/>
                <w:szCs w:val="24"/>
              </w:rPr>
            </w:pPr>
            <w:r>
              <w:rPr>
                <w:rFonts w:hint="eastAsia" w:ascii="宋体"/>
                <w:sz w:val="24"/>
                <w:szCs w:val="24"/>
              </w:rPr>
              <w:t>大写：                   小写：</w:t>
            </w:r>
          </w:p>
        </w:tc>
      </w:tr>
    </w:tbl>
    <w:p w14:paraId="1B299D96">
      <w:pPr>
        <w:autoSpaceDE w:val="0"/>
        <w:autoSpaceDN w:val="0"/>
        <w:adjustRightInd w:val="0"/>
        <w:spacing w:line="480" w:lineRule="auto"/>
        <w:rPr>
          <w:rFonts w:hint="eastAsia" w:ascii="宋体" w:cs="宋体"/>
          <w:sz w:val="24"/>
          <w:szCs w:val="24"/>
          <w:lang w:val="zh-CN" w:eastAsia="zh-CN" w:bidi="ar-SA"/>
        </w:rPr>
      </w:pPr>
    </w:p>
    <w:p w14:paraId="464F74EC">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14:paraId="0F2CA66E">
      <w:pPr>
        <w:autoSpaceDE w:val="0"/>
        <w:autoSpaceDN w:val="0"/>
        <w:adjustRightInd w:val="0"/>
        <w:spacing w:line="480" w:lineRule="auto"/>
        <w:rPr>
          <w:rFonts w:hint="eastAsia" w:ascii="宋体" w:cs="宋体"/>
          <w:sz w:val="24"/>
          <w:szCs w:val="24"/>
          <w:lang w:val="zh-CN" w:eastAsia="zh-CN" w:bidi="ar-SA"/>
        </w:rPr>
      </w:pPr>
    </w:p>
    <w:p w14:paraId="7D292EE8">
      <w:pPr>
        <w:autoSpaceDE w:val="0"/>
        <w:autoSpaceDN w:val="0"/>
        <w:adjustRightInd w:val="0"/>
        <w:spacing w:line="480" w:lineRule="auto"/>
        <w:rPr>
          <w:rFonts w:hint="eastAsia" w:ascii="宋体" w:cs="宋体"/>
          <w:sz w:val="24"/>
          <w:szCs w:val="24"/>
          <w:lang w:val="zh-CN" w:eastAsia="zh-CN" w:bidi="ar-SA"/>
        </w:rPr>
      </w:pPr>
    </w:p>
    <w:p w14:paraId="4B4BA4A1">
      <w:pPr>
        <w:autoSpaceDE w:val="0"/>
        <w:autoSpaceDN w:val="0"/>
        <w:adjustRightInd w:val="0"/>
        <w:spacing w:line="480" w:lineRule="auto"/>
        <w:rPr>
          <w:rFonts w:hint="eastAsia" w:ascii="宋体" w:cs="宋体"/>
          <w:sz w:val="24"/>
          <w:szCs w:val="24"/>
          <w:lang w:val="zh-CN" w:eastAsia="zh-CN" w:bidi="ar-SA"/>
        </w:rPr>
      </w:pPr>
    </w:p>
    <w:p w14:paraId="5A14DFB4">
      <w:pPr>
        <w:autoSpaceDE w:val="0"/>
        <w:autoSpaceDN w:val="0"/>
        <w:adjustRightInd w:val="0"/>
        <w:spacing w:line="480" w:lineRule="auto"/>
        <w:rPr>
          <w:rFonts w:hint="eastAsia" w:ascii="宋体" w:cs="宋体"/>
          <w:sz w:val="24"/>
          <w:szCs w:val="24"/>
          <w:lang w:val="zh-CN" w:eastAsia="zh-CN" w:bidi="ar-SA"/>
        </w:rPr>
      </w:pPr>
    </w:p>
    <w:p w14:paraId="3ADE08E3">
      <w:pPr>
        <w:autoSpaceDE w:val="0"/>
        <w:autoSpaceDN w:val="0"/>
        <w:adjustRightInd w:val="0"/>
        <w:spacing w:line="480" w:lineRule="auto"/>
        <w:rPr>
          <w:rFonts w:hint="eastAsia" w:ascii="宋体" w:cs="宋体"/>
          <w:sz w:val="24"/>
          <w:szCs w:val="24"/>
          <w:lang w:val="zh-CN" w:eastAsia="zh-CN" w:bidi="ar-SA"/>
        </w:rPr>
      </w:pPr>
    </w:p>
    <w:p w14:paraId="24DA7E34">
      <w:pPr>
        <w:autoSpaceDE w:val="0"/>
        <w:autoSpaceDN w:val="0"/>
        <w:adjustRightInd w:val="0"/>
        <w:spacing w:line="480" w:lineRule="auto"/>
        <w:rPr>
          <w:rFonts w:hint="eastAsia" w:ascii="宋体" w:cs="宋体"/>
          <w:sz w:val="24"/>
          <w:szCs w:val="24"/>
          <w:lang w:val="zh-CN" w:eastAsia="zh-CN" w:bidi="ar-SA"/>
        </w:rPr>
      </w:pPr>
    </w:p>
    <w:p w14:paraId="3DD9A863">
      <w:pPr>
        <w:autoSpaceDE w:val="0"/>
        <w:autoSpaceDN w:val="0"/>
        <w:adjustRightInd w:val="0"/>
        <w:spacing w:line="480" w:lineRule="auto"/>
        <w:jc w:val="center"/>
        <w:rPr>
          <w:rFonts w:hint="eastAsia" w:ascii="宋体"/>
          <w:b/>
          <w:bCs/>
          <w:sz w:val="24"/>
          <w:szCs w:val="24"/>
        </w:rPr>
      </w:pPr>
      <w:r>
        <w:rPr>
          <w:rFonts w:hint="eastAsia" w:ascii="宋体" w:cs="宋体"/>
          <w:sz w:val="24"/>
          <w:szCs w:val="24"/>
          <w:lang w:val="zh-CN" w:eastAsia="zh-CN" w:bidi="ar-SA"/>
        </w:rPr>
        <w:br w:type="page"/>
      </w:r>
      <w:r>
        <w:rPr>
          <w:rFonts w:hint="eastAsia" w:ascii="宋体"/>
          <w:b/>
          <w:bCs/>
          <w:sz w:val="24"/>
          <w:szCs w:val="24"/>
        </w:rPr>
        <w:t>4.2 技术规格偏离表</w:t>
      </w:r>
    </w:p>
    <w:p w14:paraId="3F32D6CF">
      <w:pPr>
        <w:spacing w:before="50" w:after="162" w:afterLines="50" w:line="360" w:lineRule="auto"/>
        <w:contextualSpacing/>
        <w:jc w:val="left"/>
        <w:rPr>
          <w:rFonts w:hint="eastAsia" w:ascii="宋体"/>
          <w:sz w:val="24"/>
          <w:szCs w:val="24"/>
        </w:rPr>
      </w:pPr>
      <w:r>
        <w:rPr>
          <w:rFonts w:hint="eastAsia" w:ascii="宋体"/>
          <w:sz w:val="24"/>
          <w:szCs w:val="24"/>
        </w:rPr>
        <w:t>项目编号：</w:t>
      </w:r>
    </w:p>
    <w:p w14:paraId="1C662E37">
      <w:pPr>
        <w:autoSpaceDE w:val="0"/>
        <w:autoSpaceDN w:val="0"/>
        <w:adjustRightInd w:val="0"/>
        <w:spacing w:line="360" w:lineRule="auto"/>
        <w:outlineLvl w:val="0"/>
        <w:rPr>
          <w:rFonts w:hint="eastAsia" w:ascii="宋体"/>
          <w:sz w:val="24"/>
          <w:szCs w:val="24"/>
        </w:rPr>
      </w:pPr>
      <w:r>
        <w:rPr>
          <w:rFonts w:hint="eastAsia" w:ascii="宋体"/>
          <w:sz w:val="24"/>
          <w:szCs w:val="24"/>
        </w:rPr>
        <w:t xml:space="preserve">项目名称：   </w:t>
      </w:r>
    </w:p>
    <w:p w14:paraId="5CC10748">
      <w:pPr>
        <w:autoSpaceDE w:val="0"/>
        <w:autoSpaceDN w:val="0"/>
        <w:adjustRightInd w:val="0"/>
        <w:spacing w:line="360" w:lineRule="auto"/>
        <w:outlineLvl w:val="0"/>
        <w:rPr>
          <w:b/>
          <w:snapToGrid w:val="0"/>
          <w:kern w:val="0"/>
          <w:sz w:val="24"/>
          <w:szCs w:val="24"/>
        </w:rPr>
      </w:pPr>
    </w:p>
    <w:tbl>
      <w:tblPr>
        <w:tblStyle w:val="19"/>
        <w:tblW w:w="9322" w:type="dxa"/>
        <w:tblInd w:w="0" w:type="dxa"/>
        <w:tblLayout w:type="fixed"/>
        <w:tblCellMar>
          <w:top w:w="0" w:type="dxa"/>
          <w:left w:w="108" w:type="dxa"/>
          <w:bottom w:w="0" w:type="dxa"/>
          <w:right w:w="108" w:type="dxa"/>
        </w:tblCellMar>
      </w:tblPr>
      <w:tblGrid>
        <w:gridCol w:w="867"/>
        <w:gridCol w:w="1226"/>
        <w:gridCol w:w="1276"/>
        <w:gridCol w:w="1559"/>
        <w:gridCol w:w="1417"/>
        <w:gridCol w:w="1560"/>
        <w:gridCol w:w="1417"/>
      </w:tblGrid>
      <w:tr w14:paraId="0221B9BB">
        <w:tblPrEx>
          <w:tblCellMar>
            <w:top w:w="0" w:type="dxa"/>
            <w:left w:w="108" w:type="dxa"/>
            <w:bottom w:w="0" w:type="dxa"/>
            <w:right w:w="108" w:type="dxa"/>
          </w:tblCellMar>
        </w:tblPrEx>
        <w:trPr>
          <w:trHeight w:val="851" w:hRule="atLeast"/>
        </w:trPr>
        <w:tc>
          <w:tcPr>
            <w:tcW w:w="867"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773F70E4">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226"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3A000384">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货物服务</w:t>
            </w:r>
          </w:p>
          <w:p w14:paraId="4C09EFF2">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名称</w:t>
            </w:r>
          </w:p>
        </w:tc>
        <w:tc>
          <w:tcPr>
            <w:tcW w:w="1276"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57B145FC">
            <w:pPr>
              <w:autoSpaceDE w:val="0"/>
              <w:autoSpaceDN w:val="0"/>
              <w:adjustRightInd w:val="0"/>
              <w:spacing w:line="360" w:lineRule="auto"/>
              <w:rPr>
                <w:rFonts w:hint="eastAsia" w:ascii="宋体" w:hAnsi="宋体" w:eastAsia="宋体" w:cs="宋体"/>
                <w:b/>
                <w:bCs/>
                <w:sz w:val="24"/>
                <w:szCs w:val="24"/>
                <w:lang w:bidi="ar-SA"/>
              </w:rPr>
            </w:pPr>
            <w:r>
              <w:rPr>
                <w:rFonts w:hint="eastAsia" w:ascii="宋体" w:cs="宋体"/>
                <w:b/>
                <w:sz w:val="24"/>
                <w:szCs w:val="24"/>
                <w:lang w:val="zh-CN" w:eastAsia="zh-CN" w:bidi="ar-SA"/>
              </w:rPr>
              <w:t>厂家、品牌、</w:t>
            </w:r>
            <w:r>
              <w:rPr>
                <w:rFonts w:hint="eastAsia" w:ascii="宋体" w:hAnsi="宋体" w:eastAsia="宋体" w:cs="宋体"/>
                <w:b/>
                <w:bCs/>
                <w:sz w:val="24"/>
                <w:szCs w:val="24"/>
                <w:lang w:bidi="ar-SA"/>
              </w:rPr>
              <w:t>规格、型号</w:t>
            </w:r>
          </w:p>
        </w:tc>
        <w:tc>
          <w:tcPr>
            <w:tcW w:w="1559"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27907F2C">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招标文件</w:t>
            </w:r>
          </w:p>
          <w:p w14:paraId="7DCB68EE">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技术参数</w:t>
            </w:r>
          </w:p>
        </w:tc>
        <w:tc>
          <w:tcPr>
            <w:tcW w:w="1417"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319BA283">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投标文件</w:t>
            </w:r>
          </w:p>
          <w:p w14:paraId="5B95EEDB">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技术参数</w:t>
            </w:r>
          </w:p>
        </w:tc>
        <w:tc>
          <w:tcPr>
            <w:tcW w:w="1560"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7524A796">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偏离</w:t>
            </w:r>
          </w:p>
          <w:p w14:paraId="3C93CF3D">
            <w:pPr>
              <w:jc w:val="center"/>
              <w:rPr>
                <w:rFonts w:hint="eastAsia" w:ascii="宋体" w:cs="宋体"/>
                <w:b/>
                <w:bCs/>
                <w:sz w:val="24"/>
                <w:szCs w:val="24"/>
                <w:lang w:bidi="ar-SA"/>
              </w:rPr>
            </w:pPr>
            <w:r>
              <w:rPr>
                <w:rFonts w:hint="eastAsia" w:ascii="宋体" w:cs="宋体"/>
                <w:b/>
                <w:bCs/>
                <w:sz w:val="24"/>
                <w:szCs w:val="24"/>
                <w:lang w:bidi="ar-SA"/>
              </w:rPr>
              <w:t>（无偏离/正偏离/负偏离）</w:t>
            </w:r>
          </w:p>
        </w:tc>
        <w:tc>
          <w:tcPr>
            <w:tcW w:w="1417"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194B09EF">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偏离内容</w:t>
            </w:r>
          </w:p>
          <w:p w14:paraId="4384B267">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说明</w:t>
            </w:r>
          </w:p>
        </w:tc>
      </w:tr>
      <w:tr w14:paraId="7A8B44CD">
        <w:tblPrEx>
          <w:tblCellMar>
            <w:top w:w="0" w:type="dxa"/>
            <w:left w:w="108" w:type="dxa"/>
            <w:bottom w:w="0" w:type="dxa"/>
            <w:right w:w="108" w:type="dxa"/>
          </w:tblCellMar>
        </w:tblPrEx>
        <w:trPr>
          <w:trHeight w:val="851" w:hRule="atLeast"/>
        </w:trPr>
        <w:tc>
          <w:tcPr>
            <w:tcW w:w="867" w:type="dxa"/>
            <w:tcBorders>
              <w:top w:val="single" w:color="auto" w:sz="6" w:space="0"/>
              <w:left w:val="single" w:color="auto" w:sz="6" w:space="0"/>
              <w:bottom w:val="single" w:color="auto" w:sz="6" w:space="0"/>
              <w:right w:val="single" w:color="auto" w:sz="6" w:space="0"/>
            </w:tcBorders>
            <w:noWrap w:val="0"/>
            <w:vAlign w:val="center"/>
          </w:tcPr>
          <w:p w14:paraId="6A9F232D">
            <w:pPr>
              <w:autoSpaceDE w:val="0"/>
              <w:autoSpaceDN w:val="0"/>
              <w:adjustRightInd w:val="0"/>
              <w:spacing w:line="480" w:lineRule="exact"/>
              <w:jc w:val="center"/>
              <w:rPr>
                <w:rFonts w:hint="eastAsia" w:ascii="宋体"/>
                <w:bCs/>
                <w:sz w:val="24"/>
                <w:szCs w:val="24"/>
              </w:rPr>
            </w:pPr>
            <w:r>
              <w:rPr>
                <w:rFonts w:hint="eastAsia" w:ascii="宋体"/>
                <w:bCs/>
                <w:sz w:val="24"/>
                <w:szCs w:val="24"/>
              </w:rPr>
              <w:t>1</w:t>
            </w:r>
          </w:p>
        </w:tc>
        <w:tc>
          <w:tcPr>
            <w:tcW w:w="1226" w:type="dxa"/>
            <w:tcBorders>
              <w:top w:val="single" w:color="auto" w:sz="6" w:space="0"/>
              <w:left w:val="single" w:color="auto" w:sz="6" w:space="0"/>
              <w:bottom w:val="single" w:color="auto" w:sz="6" w:space="0"/>
              <w:right w:val="single" w:color="auto" w:sz="6" w:space="0"/>
            </w:tcBorders>
            <w:noWrap w:val="0"/>
            <w:vAlign w:val="top"/>
          </w:tcPr>
          <w:p w14:paraId="3F75E838">
            <w:pPr>
              <w:autoSpaceDE w:val="0"/>
              <w:autoSpaceDN w:val="0"/>
              <w:adjustRightInd w:val="0"/>
              <w:spacing w:line="480" w:lineRule="exact"/>
              <w:rPr>
                <w:rFonts w:hint="eastAsia" w:ascii="宋体"/>
                <w:b/>
                <w:bCs/>
                <w:sz w:val="24"/>
                <w:szCs w:val="24"/>
              </w:rPr>
            </w:pPr>
          </w:p>
        </w:tc>
        <w:tc>
          <w:tcPr>
            <w:tcW w:w="1276" w:type="dxa"/>
            <w:tcBorders>
              <w:top w:val="single" w:color="auto" w:sz="6" w:space="0"/>
              <w:left w:val="single" w:color="auto" w:sz="6" w:space="0"/>
              <w:bottom w:val="single" w:color="auto" w:sz="6" w:space="0"/>
              <w:right w:val="single" w:color="auto" w:sz="6" w:space="0"/>
            </w:tcBorders>
            <w:noWrap w:val="0"/>
            <w:vAlign w:val="top"/>
          </w:tcPr>
          <w:p w14:paraId="5B76608D">
            <w:pPr>
              <w:autoSpaceDE w:val="0"/>
              <w:autoSpaceDN w:val="0"/>
              <w:adjustRightInd w:val="0"/>
              <w:spacing w:line="480" w:lineRule="exact"/>
              <w:rPr>
                <w:rFonts w:hint="eastAsia" w:ascii="宋体"/>
                <w:b/>
                <w:bCs/>
                <w:sz w:val="24"/>
                <w:szCs w:val="24"/>
              </w:rPr>
            </w:pPr>
          </w:p>
        </w:tc>
        <w:tc>
          <w:tcPr>
            <w:tcW w:w="1559" w:type="dxa"/>
            <w:tcBorders>
              <w:top w:val="single" w:color="auto" w:sz="6" w:space="0"/>
              <w:left w:val="single" w:color="auto" w:sz="6" w:space="0"/>
              <w:bottom w:val="single" w:color="auto" w:sz="6" w:space="0"/>
              <w:right w:val="single" w:color="auto" w:sz="6" w:space="0"/>
            </w:tcBorders>
            <w:noWrap w:val="0"/>
            <w:vAlign w:val="top"/>
          </w:tcPr>
          <w:p w14:paraId="444A177B">
            <w:pPr>
              <w:autoSpaceDE w:val="0"/>
              <w:autoSpaceDN w:val="0"/>
              <w:adjustRightInd w:val="0"/>
              <w:spacing w:line="480" w:lineRule="exact"/>
              <w:rPr>
                <w:rFonts w:hint="eastAsia" w:ascii="宋体"/>
                <w:b/>
                <w:bCs/>
                <w:sz w:val="24"/>
                <w:szCs w:val="24"/>
              </w:rPr>
            </w:pPr>
          </w:p>
        </w:tc>
        <w:tc>
          <w:tcPr>
            <w:tcW w:w="1417" w:type="dxa"/>
            <w:tcBorders>
              <w:top w:val="single" w:color="auto" w:sz="6" w:space="0"/>
              <w:left w:val="single" w:color="auto" w:sz="6" w:space="0"/>
              <w:bottom w:val="single" w:color="auto" w:sz="6" w:space="0"/>
              <w:right w:val="single" w:color="auto" w:sz="6" w:space="0"/>
            </w:tcBorders>
            <w:noWrap w:val="0"/>
            <w:vAlign w:val="top"/>
          </w:tcPr>
          <w:p w14:paraId="107F5302">
            <w:pPr>
              <w:autoSpaceDE w:val="0"/>
              <w:autoSpaceDN w:val="0"/>
              <w:adjustRightInd w:val="0"/>
              <w:spacing w:line="480" w:lineRule="exact"/>
              <w:rPr>
                <w:rFonts w:hint="eastAsia" w:ascii="宋体"/>
                <w:b/>
                <w:bCs/>
                <w:sz w:val="24"/>
                <w:szCs w:val="24"/>
              </w:rPr>
            </w:pPr>
          </w:p>
        </w:tc>
        <w:tc>
          <w:tcPr>
            <w:tcW w:w="1560" w:type="dxa"/>
            <w:tcBorders>
              <w:top w:val="single" w:color="auto" w:sz="6" w:space="0"/>
              <w:left w:val="single" w:color="auto" w:sz="6" w:space="0"/>
              <w:bottom w:val="single" w:color="auto" w:sz="6" w:space="0"/>
              <w:right w:val="single" w:color="auto" w:sz="6" w:space="0"/>
            </w:tcBorders>
            <w:noWrap w:val="0"/>
            <w:vAlign w:val="top"/>
          </w:tcPr>
          <w:p w14:paraId="27091286">
            <w:pPr>
              <w:autoSpaceDE w:val="0"/>
              <w:autoSpaceDN w:val="0"/>
              <w:adjustRightInd w:val="0"/>
              <w:spacing w:line="480" w:lineRule="exact"/>
              <w:rPr>
                <w:rFonts w:hint="eastAsia" w:ascii="宋体"/>
                <w:b/>
                <w:bCs/>
                <w:sz w:val="24"/>
                <w:szCs w:val="24"/>
              </w:rPr>
            </w:pPr>
          </w:p>
        </w:tc>
        <w:tc>
          <w:tcPr>
            <w:tcW w:w="1417" w:type="dxa"/>
            <w:tcBorders>
              <w:top w:val="single" w:color="auto" w:sz="6" w:space="0"/>
              <w:left w:val="single" w:color="auto" w:sz="6" w:space="0"/>
              <w:bottom w:val="single" w:color="auto" w:sz="6" w:space="0"/>
              <w:right w:val="single" w:color="auto" w:sz="6" w:space="0"/>
            </w:tcBorders>
            <w:noWrap w:val="0"/>
            <w:vAlign w:val="center"/>
          </w:tcPr>
          <w:p w14:paraId="63231A1A">
            <w:pPr>
              <w:autoSpaceDE w:val="0"/>
              <w:autoSpaceDN w:val="0"/>
              <w:adjustRightInd w:val="0"/>
              <w:spacing w:line="480" w:lineRule="exact"/>
              <w:jc w:val="center"/>
              <w:rPr>
                <w:rFonts w:hint="eastAsia" w:ascii="宋体"/>
                <w:b/>
                <w:bCs/>
                <w:sz w:val="24"/>
                <w:szCs w:val="24"/>
              </w:rPr>
            </w:pPr>
          </w:p>
        </w:tc>
      </w:tr>
      <w:tr w14:paraId="34E5E34C">
        <w:tblPrEx>
          <w:tblCellMar>
            <w:top w:w="0" w:type="dxa"/>
            <w:left w:w="108" w:type="dxa"/>
            <w:bottom w:w="0" w:type="dxa"/>
            <w:right w:w="108" w:type="dxa"/>
          </w:tblCellMar>
        </w:tblPrEx>
        <w:trPr>
          <w:trHeight w:val="851" w:hRule="atLeast"/>
        </w:trPr>
        <w:tc>
          <w:tcPr>
            <w:tcW w:w="867" w:type="dxa"/>
            <w:tcBorders>
              <w:top w:val="single" w:color="auto" w:sz="6" w:space="0"/>
              <w:left w:val="single" w:color="auto" w:sz="6" w:space="0"/>
              <w:bottom w:val="single" w:color="auto" w:sz="6" w:space="0"/>
              <w:right w:val="single" w:color="auto" w:sz="6" w:space="0"/>
            </w:tcBorders>
            <w:noWrap w:val="0"/>
            <w:vAlign w:val="center"/>
          </w:tcPr>
          <w:p w14:paraId="1E4339F1">
            <w:pPr>
              <w:autoSpaceDE w:val="0"/>
              <w:autoSpaceDN w:val="0"/>
              <w:adjustRightInd w:val="0"/>
              <w:spacing w:line="480" w:lineRule="exact"/>
              <w:jc w:val="center"/>
              <w:rPr>
                <w:rFonts w:hint="eastAsia" w:ascii="宋体"/>
                <w:bCs/>
                <w:sz w:val="24"/>
                <w:szCs w:val="24"/>
              </w:rPr>
            </w:pPr>
            <w:r>
              <w:rPr>
                <w:rFonts w:hint="eastAsia" w:ascii="宋体"/>
                <w:bCs/>
                <w:sz w:val="24"/>
                <w:szCs w:val="24"/>
              </w:rPr>
              <w:t>2</w:t>
            </w:r>
          </w:p>
        </w:tc>
        <w:tc>
          <w:tcPr>
            <w:tcW w:w="1226" w:type="dxa"/>
            <w:tcBorders>
              <w:top w:val="single" w:color="auto" w:sz="6" w:space="0"/>
              <w:left w:val="single" w:color="auto" w:sz="6" w:space="0"/>
              <w:bottom w:val="single" w:color="auto" w:sz="6" w:space="0"/>
              <w:right w:val="single" w:color="auto" w:sz="6" w:space="0"/>
            </w:tcBorders>
            <w:noWrap w:val="0"/>
            <w:vAlign w:val="top"/>
          </w:tcPr>
          <w:p w14:paraId="623E11A1">
            <w:pPr>
              <w:autoSpaceDE w:val="0"/>
              <w:autoSpaceDN w:val="0"/>
              <w:adjustRightInd w:val="0"/>
              <w:spacing w:line="480" w:lineRule="exact"/>
              <w:rPr>
                <w:rFonts w:hint="eastAsia" w:ascii="宋体"/>
                <w:b/>
                <w:bCs/>
                <w:sz w:val="24"/>
                <w:szCs w:val="24"/>
              </w:rPr>
            </w:pPr>
          </w:p>
        </w:tc>
        <w:tc>
          <w:tcPr>
            <w:tcW w:w="1276" w:type="dxa"/>
            <w:tcBorders>
              <w:top w:val="single" w:color="auto" w:sz="6" w:space="0"/>
              <w:left w:val="single" w:color="auto" w:sz="6" w:space="0"/>
              <w:bottom w:val="single" w:color="auto" w:sz="6" w:space="0"/>
              <w:right w:val="single" w:color="auto" w:sz="6" w:space="0"/>
            </w:tcBorders>
            <w:noWrap w:val="0"/>
            <w:vAlign w:val="top"/>
          </w:tcPr>
          <w:p w14:paraId="22C6C235">
            <w:pPr>
              <w:autoSpaceDE w:val="0"/>
              <w:autoSpaceDN w:val="0"/>
              <w:adjustRightInd w:val="0"/>
              <w:spacing w:line="480" w:lineRule="exact"/>
              <w:rPr>
                <w:rFonts w:hint="eastAsia" w:ascii="宋体"/>
                <w:b/>
                <w:bCs/>
                <w:sz w:val="24"/>
                <w:szCs w:val="24"/>
              </w:rPr>
            </w:pPr>
          </w:p>
        </w:tc>
        <w:tc>
          <w:tcPr>
            <w:tcW w:w="1559" w:type="dxa"/>
            <w:tcBorders>
              <w:top w:val="single" w:color="auto" w:sz="6" w:space="0"/>
              <w:left w:val="single" w:color="auto" w:sz="6" w:space="0"/>
              <w:bottom w:val="single" w:color="auto" w:sz="6" w:space="0"/>
              <w:right w:val="single" w:color="auto" w:sz="6" w:space="0"/>
            </w:tcBorders>
            <w:noWrap w:val="0"/>
            <w:vAlign w:val="top"/>
          </w:tcPr>
          <w:p w14:paraId="519B2FA4">
            <w:pPr>
              <w:autoSpaceDE w:val="0"/>
              <w:autoSpaceDN w:val="0"/>
              <w:adjustRightInd w:val="0"/>
              <w:spacing w:line="480" w:lineRule="exact"/>
              <w:rPr>
                <w:rFonts w:hint="eastAsia" w:ascii="宋体"/>
                <w:b/>
                <w:bCs/>
                <w:sz w:val="24"/>
                <w:szCs w:val="24"/>
              </w:rPr>
            </w:pPr>
          </w:p>
        </w:tc>
        <w:tc>
          <w:tcPr>
            <w:tcW w:w="1417" w:type="dxa"/>
            <w:tcBorders>
              <w:top w:val="single" w:color="auto" w:sz="6" w:space="0"/>
              <w:left w:val="single" w:color="auto" w:sz="6" w:space="0"/>
              <w:bottom w:val="single" w:color="auto" w:sz="6" w:space="0"/>
              <w:right w:val="single" w:color="auto" w:sz="6" w:space="0"/>
            </w:tcBorders>
            <w:noWrap w:val="0"/>
            <w:vAlign w:val="top"/>
          </w:tcPr>
          <w:p w14:paraId="3F55E0C9">
            <w:pPr>
              <w:autoSpaceDE w:val="0"/>
              <w:autoSpaceDN w:val="0"/>
              <w:adjustRightInd w:val="0"/>
              <w:spacing w:line="480" w:lineRule="exact"/>
              <w:rPr>
                <w:rFonts w:hint="eastAsia" w:ascii="宋体"/>
                <w:b/>
                <w:bCs/>
                <w:sz w:val="24"/>
                <w:szCs w:val="24"/>
              </w:rPr>
            </w:pPr>
          </w:p>
        </w:tc>
        <w:tc>
          <w:tcPr>
            <w:tcW w:w="1560" w:type="dxa"/>
            <w:tcBorders>
              <w:top w:val="single" w:color="auto" w:sz="6" w:space="0"/>
              <w:left w:val="single" w:color="auto" w:sz="6" w:space="0"/>
              <w:bottom w:val="single" w:color="auto" w:sz="6" w:space="0"/>
              <w:right w:val="single" w:color="auto" w:sz="6" w:space="0"/>
            </w:tcBorders>
            <w:noWrap w:val="0"/>
            <w:vAlign w:val="top"/>
          </w:tcPr>
          <w:p w14:paraId="50D5EAF0">
            <w:pPr>
              <w:autoSpaceDE w:val="0"/>
              <w:autoSpaceDN w:val="0"/>
              <w:adjustRightInd w:val="0"/>
              <w:spacing w:line="480" w:lineRule="exact"/>
              <w:rPr>
                <w:rFonts w:hint="eastAsia" w:ascii="宋体"/>
                <w:b/>
                <w:bCs/>
                <w:sz w:val="24"/>
                <w:szCs w:val="24"/>
              </w:rPr>
            </w:pPr>
          </w:p>
        </w:tc>
        <w:tc>
          <w:tcPr>
            <w:tcW w:w="1417" w:type="dxa"/>
            <w:tcBorders>
              <w:top w:val="single" w:color="auto" w:sz="6" w:space="0"/>
              <w:left w:val="single" w:color="auto" w:sz="6" w:space="0"/>
              <w:bottom w:val="single" w:color="auto" w:sz="6" w:space="0"/>
              <w:right w:val="single" w:color="auto" w:sz="6" w:space="0"/>
            </w:tcBorders>
            <w:noWrap w:val="0"/>
            <w:vAlign w:val="center"/>
          </w:tcPr>
          <w:p w14:paraId="26D7D9C9">
            <w:pPr>
              <w:autoSpaceDE w:val="0"/>
              <w:autoSpaceDN w:val="0"/>
              <w:adjustRightInd w:val="0"/>
              <w:spacing w:line="480" w:lineRule="exact"/>
              <w:jc w:val="center"/>
              <w:rPr>
                <w:rFonts w:hint="eastAsia" w:ascii="宋体"/>
                <w:b/>
                <w:bCs/>
                <w:sz w:val="24"/>
                <w:szCs w:val="24"/>
              </w:rPr>
            </w:pPr>
          </w:p>
        </w:tc>
      </w:tr>
      <w:tr w14:paraId="4A8570A4">
        <w:tblPrEx>
          <w:tblCellMar>
            <w:top w:w="0" w:type="dxa"/>
            <w:left w:w="108" w:type="dxa"/>
            <w:bottom w:w="0" w:type="dxa"/>
            <w:right w:w="108" w:type="dxa"/>
          </w:tblCellMar>
        </w:tblPrEx>
        <w:trPr>
          <w:trHeight w:val="851" w:hRule="atLeast"/>
        </w:trPr>
        <w:tc>
          <w:tcPr>
            <w:tcW w:w="867" w:type="dxa"/>
            <w:tcBorders>
              <w:top w:val="single" w:color="auto" w:sz="6" w:space="0"/>
              <w:left w:val="single" w:color="auto" w:sz="6" w:space="0"/>
              <w:bottom w:val="single" w:color="auto" w:sz="6" w:space="0"/>
              <w:right w:val="single" w:color="auto" w:sz="6" w:space="0"/>
            </w:tcBorders>
            <w:noWrap w:val="0"/>
            <w:vAlign w:val="center"/>
          </w:tcPr>
          <w:p w14:paraId="6CAD276B">
            <w:pPr>
              <w:autoSpaceDE w:val="0"/>
              <w:autoSpaceDN w:val="0"/>
              <w:adjustRightInd w:val="0"/>
              <w:spacing w:line="480" w:lineRule="exact"/>
              <w:jc w:val="center"/>
              <w:rPr>
                <w:rFonts w:hint="eastAsia" w:ascii="宋体"/>
                <w:bCs/>
                <w:sz w:val="24"/>
                <w:szCs w:val="24"/>
              </w:rPr>
            </w:pPr>
            <w:r>
              <w:rPr>
                <w:rFonts w:hint="eastAsia" w:ascii="宋体"/>
                <w:sz w:val="24"/>
                <w:szCs w:val="24"/>
              </w:rPr>
              <w:t>…</w:t>
            </w:r>
          </w:p>
        </w:tc>
        <w:tc>
          <w:tcPr>
            <w:tcW w:w="1226" w:type="dxa"/>
            <w:tcBorders>
              <w:top w:val="single" w:color="auto" w:sz="6" w:space="0"/>
              <w:left w:val="single" w:color="auto" w:sz="6" w:space="0"/>
              <w:bottom w:val="single" w:color="auto" w:sz="6" w:space="0"/>
              <w:right w:val="single" w:color="auto" w:sz="6" w:space="0"/>
            </w:tcBorders>
            <w:noWrap w:val="0"/>
            <w:vAlign w:val="top"/>
          </w:tcPr>
          <w:p w14:paraId="68417357">
            <w:pPr>
              <w:autoSpaceDE w:val="0"/>
              <w:autoSpaceDN w:val="0"/>
              <w:adjustRightInd w:val="0"/>
              <w:spacing w:line="480" w:lineRule="exact"/>
              <w:rPr>
                <w:rFonts w:hint="eastAsia" w:ascii="宋体"/>
                <w:b/>
                <w:bCs/>
                <w:sz w:val="24"/>
                <w:szCs w:val="24"/>
              </w:rPr>
            </w:pPr>
          </w:p>
        </w:tc>
        <w:tc>
          <w:tcPr>
            <w:tcW w:w="1276" w:type="dxa"/>
            <w:tcBorders>
              <w:top w:val="single" w:color="auto" w:sz="6" w:space="0"/>
              <w:left w:val="single" w:color="auto" w:sz="6" w:space="0"/>
              <w:bottom w:val="single" w:color="auto" w:sz="6" w:space="0"/>
              <w:right w:val="single" w:color="auto" w:sz="6" w:space="0"/>
            </w:tcBorders>
            <w:noWrap w:val="0"/>
            <w:vAlign w:val="top"/>
          </w:tcPr>
          <w:p w14:paraId="61D90908">
            <w:pPr>
              <w:autoSpaceDE w:val="0"/>
              <w:autoSpaceDN w:val="0"/>
              <w:adjustRightInd w:val="0"/>
              <w:spacing w:line="480" w:lineRule="exact"/>
              <w:rPr>
                <w:rFonts w:hint="eastAsia" w:ascii="宋体"/>
                <w:b/>
                <w:bCs/>
                <w:sz w:val="24"/>
                <w:szCs w:val="24"/>
              </w:rPr>
            </w:pPr>
          </w:p>
        </w:tc>
        <w:tc>
          <w:tcPr>
            <w:tcW w:w="1559" w:type="dxa"/>
            <w:tcBorders>
              <w:top w:val="single" w:color="auto" w:sz="6" w:space="0"/>
              <w:left w:val="single" w:color="auto" w:sz="6" w:space="0"/>
              <w:bottom w:val="single" w:color="auto" w:sz="6" w:space="0"/>
              <w:right w:val="single" w:color="auto" w:sz="6" w:space="0"/>
            </w:tcBorders>
            <w:noWrap w:val="0"/>
            <w:vAlign w:val="top"/>
          </w:tcPr>
          <w:p w14:paraId="3099E6E5">
            <w:pPr>
              <w:autoSpaceDE w:val="0"/>
              <w:autoSpaceDN w:val="0"/>
              <w:adjustRightInd w:val="0"/>
              <w:spacing w:line="480" w:lineRule="exact"/>
              <w:rPr>
                <w:rFonts w:hint="eastAsia" w:ascii="宋体"/>
                <w:b/>
                <w:bCs/>
                <w:sz w:val="24"/>
                <w:szCs w:val="24"/>
              </w:rPr>
            </w:pPr>
          </w:p>
        </w:tc>
        <w:tc>
          <w:tcPr>
            <w:tcW w:w="1417" w:type="dxa"/>
            <w:tcBorders>
              <w:top w:val="single" w:color="auto" w:sz="6" w:space="0"/>
              <w:left w:val="single" w:color="auto" w:sz="6" w:space="0"/>
              <w:bottom w:val="single" w:color="auto" w:sz="6" w:space="0"/>
              <w:right w:val="single" w:color="auto" w:sz="6" w:space="0"/>
            </w:tcBorders>
            <w:noWrap w:val="0"/>
            <w:vAlign w:val="top"/>
          </w:tcPr>
          <w:p w14:paraId="7BE2FD7C">
            <w:pPr>
              <w:autoSpaceDE w:val="0"/>
              <w:autoSpaceDN w:val="0"/>
              <w:adjustRightInd w:val="0"/>
              <w:spacing w:line="480" w:lineRule="exact"/>
              <w:rPr>
                <w:rFonts w:hint="eastAsia" w:ascii="宋体"/>
                <w:b/>
                <w:bCs/>
                <w:sz w:val="24"/>
                <w:szCs w:val="24"/>
              </w:rPr>
            </w:pPr>
          </w:p>
        </w:tc>
        <w:tc>
          <w:tcPr>
            <w:tcW w:w="1560" w:type="dxa"/>
            <w:tcBorders>
              <w:top w:val="single" w:color="auto" w:sz="6" w:space="0"/>
              <w:left w:val="single" w:color="auto" w:sz="6" w:space="0"/>
              <w:bottom w:val="single" w:color="auto" w:sz="6" w:space="0"/>
              <w:right w:val="single" w:color="auto" w:sz="6" w:space="0"/>
            </w:tcBorders>
            <w:noWrap w:val="0"/>
            <w:vAlign w:val="top"/>
          </w:tcPr>
          <w:p w14:paraId="6D2D6318">
            <w:pPr>
              <w:autoSpaceDE w:val="0"/>
              <w:autoSpaceDN w:val="0"/>
              <w:adjustRightInd w:val="0"/>
              <w:spacing w:line="480" w:lineRule="exact"/>
              <w:rPr>
                <w:rFonts w:hint="eastAsia" w:ascii="宋体"/>
                <w:b/>
                <w:bCs/>
                <w:sz w:val="24"/>
                <w:szCs w:val="24"/>
              </w:rPr>
            </w:pPr>
          </w:p>
        </w:tc>
        <w:tc>
          <w:tcPr>
            <w:tcW w:w="1417" w:type="dxa"/>
            <w:tcBorders>
              <w:top w:val="single" w:color="auto" w:sz="6" w:space="0"/>
              <w:left w:val="single" w:color="auto" w:sz="6" w:space="0"/>
              <w:bottom w:val="single" w:color="auto" w:sz="6" w:space="0"/>
              <w:right w:val="single" w:color="auto" w:sz="6" w:space="0"/>
            </w:tcBorders>
            <w:noWrap w:val="0"/>
            <w:vAlign w:val="center"/>
          </w:tcPr>
          <w:p w14:paraId="29237A34">
            <w:pPr>
              <w:autoSpaceDE w:val="0"/>
              <w:autoSpaceDN w:val="0"/>
              <w:adjustRightInd w:val="0"/>
              <w:spacing w:line="480" w:lineRule="exact"/>
              <w:jc w:val="center"/>
              <w:rPr>
                <w:rFonts w:hint="eastAsia" w:ascii="宋体"/>
                <w:b/>
                <w:bCs/>
                <w:sz w:val="24"/>
                <w:szCs w:val="24"/>
              </w:rPr>
            </w:pPr>
          </w:p>
        </w:tc>
      </w:tr>
    </w:tbl>
    <w:p w14:paraId="4BA8EB75">
      <w:pPr>
        <w:autoSpaceDE w:val="0"/>
        <w:autoSpaceDN w:val="0"/>
        <w:adjustRightInd w:val="0"/>
        <w:spacing w:line="480" w:lineRule="auto"/>
        <w:rPr>
          <w:rFonts w:hint="eastAsia" w:ascii="宋体" w:cs="宋体"/>
          <w:sz w:val="24"/>
          <w:szCs w:val="24"/>
          <w:lang w:val="zh-CN" w:eastAsia="zh-CN" w:bidi="ar-SA"/>
        </w:rPr>
      </w:pPr>
    </w:p>
    <w:p w14:paraId="4011464B">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14:paraId="5C35E6C9">
      <w:pPr>
        <w:autoSpaceDE w:val="0"/>
        <w:autoSpaceDN w:val="0"/>
        <w:adjustRightInd w:val="0"/>
        <w:spacing w:line="480" w:lineRule="auto"/>
        <w:rPr>
          <w:rFonts w:hint="eastAsia" w:ascii="宋体" w:cs="宋体"/>
          <w:sz w:val="24"/>
          <w:szCs w:val="24"/>
          <w:lang w:val="zh-CN" w:eastAsia="zh-CN" w:bidi="ar-SA"/>
        </w:rPr>
      </w:pPr>
    </w:p>
    <w:p w14:paraId="2FF65853">
      <w:pPr>
        <w:autoSpaceDE w:val="0"/>
        <w:autoSpaceDN w:val="0"/>
        <w:adjustRightInd w:val="0"/>
        <w:spacing w:line="480" w:lineRule="auto"/>
        <w:rPr>
          <w:rFonts w:hint="eastAsia" w:ascii="宋体" w:cs="宋体"/>
          <w:sz w:val="24"/>
          <w:szCs w:val="24"/>
          <w:lang w:val="zh-CN" w:eastAsia="zh-CN" w:bidi="ar-SA"/>
        </w:rPr>
      </w:pPr>
    </w:p>
    <w:p w14:paraId="6C77A3ED">
      <w:pPr>
        <w:autoSpaceDE w:val="0"/>
        <w:autoSpaceDN w:val="0"/>
        <w:adjustRightInd w:val="0"/>
        <w:spacing w:line="360" w:lineRule="auto"/>
        <w:jc w:val="center"/>
        <w:outlineLvl w:val="0"/>
        <w:rPr>
          <w:rFonts w:hint="eastAsia" w:ascii="宋体"/>
          <w:b/>
          <w:bCs/>
          <w:sz w:val="24"/>
          <w:szCs w:val="24"/>
        </w:rPr>
      </w:pPr>
    </w:p>
    <w:p w14:paraId="300F79CF">
      <w:pPr>
        <w:autoSpaceDE w:val="0"/>
        <w:autoSpaceDN w:val="0"/>
        <w:adjustRightInd w:val="0"/>
        <w:spacing w:line="360" w:lineRule="auto"/>
        <w:jc w:val="center"/>
        <w:outlineLvl w:val="0"/>
        <w:rPr>
          <w:rFonts w:hint="eastAsia" w:ascii="宋体"/>
          <w:b/>
          <w:bCs/>
          <w:sz w:val="24"/>
          <w:szCs w:val="24"/>
        </w:rPr>
      </w:pPr>
    </w:p>
    <w:p w14:paraId="583EA434">
      <w:pPr>
        <w:autoSpaceDE w:val="0"/>
        <w:autoSpaceDN w:val="0"/>
        <w:adjustRightInd w:val="0"/>
        <w:spacing w:line="360" w:lineRule="auto"/>
        <w:jc w:val="center"/>
        <w:outlineLvl w:val="0"/>
        <w:rPr>
          <w:rFonts w:hint="eastAsia" w:ascii="宋体"/>
          <w:b/>
          <w:bCs/>
          <w:sz w:val="24"/>
          <w:szCs w:val="24"/>
        </w:rPr>
      </w:pPr>
    </w:p>
    <w:p w14:paraId="7B603157">
      <w:pPr>
        <w:autoSpaceDE w:val="0"/>
        <w:autoSpaceDN w:val="0"/>
        <w:adjustRightInd w:val="0"/>
        <w:spacing w:line="360" w:lineRule="auto"/>
        <w:jc w:val="center"/>
        <w:outlineLvl w:val="0"/>
        <w:rPr>
          <w:rFonts w:hint="eastAsia" w:ascii="宋体"/>
          <w:b/>
          <w:bCs/>
          <w:sz w:val="24"/>
          <w:szCs w:val="24"/>
        </w:rPr>
      </w:pPr>
    </w:p>
    <w:p w14:paraId="7A77D38C">
      <w:pPr>
        <w:autoSpaceDE w:val="0"/>
        <w:autoSpaceDN w:val="0"/>
        <w:adjustRightInd w:val="0"/>
        <w:spacing w:line="360" w:lineRule="auto"/>
        <w:jc w:val="center"/>
        <w:outlineLvl w:val="0"/>
        <w:rPr>
          <w:rFonts w:hint="eastAsia" w:ascii="宋体"/>
          <w:b/>
          <w:bCs/>
          <w:sz w:val="24"/>
          <w:szCs w:val="24"/>
        </w:rPr>
      </w:pPr>
    </w:p>
    <w:p w14:paraId="01F2C176">
      <w:pPr>
        <w:autoSpaceDE w:val="0"/>
        <w:autoSpaceDN w:val="0"/>
        <w:adjustRightInd w:val="0"/>
        <w:spacing w:line="360" w:lineRule="auto"/>
        <w:jc w:val="center"/>
        <w:outlineLvl w:val="0"/>
        <w:rPr>
          <w:rFonts w:hint="eastAsia" w:ascii="宋体"/>
          <w:b/>
          <w:bCs/>
          <w:sz w:val="24"/>
          <w:szCs w:val="24"/>
        </w:rPr>
      </w:pPr>
    </w:p>
    <w:p w14:paraId="7CAE73F7">
      <w:pPr>
        <w:autoSpaceDE w:val="0"/>
        <w:autoSpaceDN w:val="0"/>
        <w:adjustRightInd w:val="0"/>
        <w:spacing w:line="360" w:lineRule="auto"/>
        <w:jc w:val="center"/>
        <w:outlineLvl w:val="0"/>
        <w:rPr>
          <w:rFonts w:hint="eastAsia" w:ascii="宋体"/>
          <w:b/>
          <w:bCs/>
          <w:sz w:val="24"/>
          <w:szCs w:val="24"/>
        </w:rPr>
      </w:pPr>
    </w:p>
    <w:p w14:paraId="270BB894">
      <w:pPr>
        <w:autoSpaceDE w:val="0"/>
        <w:autoSpaceDN w:val="0"/>
        <w:adjustRightInd w:val="0"/>
        <w:spacing w:line="360" w:lineRule="auto"/>
        <w:jc w:val="center"/>
        <w:outlineLvl w:val="0"/>
        <w:rPr>
          <w:rFonts w:hint="eastAsia" w:ascii="宋体"/>
          <w:b/>
          <w:bCs/>
          <w:sz w:val="24"/>
          <w:szCs w:val="24"/>
        </w:rPr>
      </w:pPr>
    </w:p>
    <w:p w14:paraId="09C8BFC4">
      <w:pPr>
        <w:autoSpaceDE w:val="0"/>
        <w:autoSpaceDN w:val="0"/>
        <w:adjustRightInd w:val="0"/>
        <w:spacing w:line="360" w:lineRule="auto"/>
        <w:jc w:val="center"/>
        <w:outlineLvl w:val="0"/>
        <w:rPr>
          <w:rFonts w:hint="eastAsia" w:ascii="宋体"/>
          <w:b/>
          <w:bCs/>
          <w:sz w:val="24"/>
          <w:szCs w:val="24"/>
        </w:rPr>
      </w:pPr>
    </w:p>
    <w:p w14:paraId="14052FA5">
      <w:pPr>
        <w:autoSpaceDE w:val="0"/>
        <w:autoSpaceDN w:val="0"/>
        <w:adjustRightInd w:val="0"/>
        <w:spacing w:line="360" w:lineRule="auto"/>
        <w:jc w:val="center"/>
        <w:outlineLvl w:val="0"/>
        <w:rPr>
          <w:rFonts w:hint="eastAsia" w:ascii="宋体"/>
          <w:b/>
          <w:bCs/>
          <w:sz w:val="24"/>
          <w:szCs w:val="24"/>
        </w:rPr>
      </w:pPr>
    </w:p>
    <w:p w14:paraId="00BB5B57">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4.3 技术方案（实施方案）</w:t>
      </w:r>
    </w:p>
    <w:p w14:paraId="2F03F2B6">
      <w:pPr>
        <w:snapToGrid w:val="0"/>
        <w:spacing w:line="360" w:lineRule="auto"/>
        <w:jc w:val="center"/>
        <w:rPr>
          <w:b/>
          <w:snapToGrid w:val="0"/>
          <w:kern w:val="0"/>
          <w:sz w:val="24"/>
          <w:szCs w:val="24"/>
        </w:rPr>
      </w:pPr>
    </w:p>
    <w:p w14:paraId="78A2BC63">
      <w:pPr>
        <w:snapToGrid w:val="0"/>
        <w:spacing w:line="360" w:lineRule="auto"/>
        <w:jc w:val="center"/>
        <w:rPr>
          <w:b/>
          <w:snapToGrid w:val="0"/>
          <w:kern w:val="0"/>
          <w:sz w:val="24"/>
          <w:szCs w:val="24"/>
        </w:rPr>
      </w:pPr>
    </w:p>
    <w:p w14:paraId="274E063A">
      <w:pPr>
        <w:autoSpaceDE w:val="0"/>
        <w:autoSpaceDN w:val="0"/>
        <w:adjustRightInd w:val="0"/>
        <w:spacing w:line="360" w:lineRule="auto"/>
        <w:jc w:val="center"/>
        <w:rPr>
          <w:rFonts w:hint="eastAsia" w:ascii="宋体" w:cs="宋体"/>
          <w:sz w:val="24"/>
          <w:szCs w:val="24"/>
          <w:lang w:val="zh-CN" w:eastAsia="zh-CN" w:bidi="ar-SA"/>
        </w:rPr>
      </w:pPr>
      <w:r>
        <w:rPr>
          <w:rFonts w:hint="eastAsia" w:ascii="宋体" w:cs="宋体"/>
          <w:sz w:val="24"/>
          <w:szCs w:val="24"/>
          <w:lang w:val="zh-CN" w:eastAsia="zh-CN" w:bidi="ar-SA"/>
        </w:rPr>
        <w:t>（投标人根据招标文件要求自行编制）</w:t>
      </w:r>
    </w:p>
    <w:p w14:paraId="1E14EDD0">
      <w:pPr>
        <w:snapToGrid w:val="0"/>
        <w:spacing w:line="360" w:lineRule="auto"/>
        <w:jc w:val="center"/>
        <w:rPr>
          <w:b/>
          <w:snapToGrid w:val="0"/>
          <w:kern w:val="0"/>
          <w:sz w:val="24"/>
          <w:szCs w:val="24"/>
        </w:rPr>
      </w:pPr>
    </w:p>
    <w:p w14:paraId="371B6F4E">
      <w:pPr>
        <w:snapToGrid w:val="0"/>
        <w:spacing w:line="360" w:lineRule="auto"/>
        <w:jc w:val="center"/>
        <w:rPr>
          <w:b/>
          <w:snapToGrid w:val="0"/>
          <w:kern w:val="0"/>
          <w:sz w:val="24"/>
          <w:szCs w:val="24"/>
        </w:rPr>
      </w:pPr>
    </w:p>
    <w:p w14:paraId="63E9697D">
      <w:pPr>
        <w:snapToGrid w:val="0"/>
        <w:spacing w:line="360" w:lineRule="auto"/>
        <w:jc w:val="center"/>
        <w:rPr>
          <w:b/>
          <w:snapToGrid w:val="0"/>
          <w:kern w:val="0"/>
          <w:sz w:val="24"/>
          <w:szCs w:val="24"/>
        </w:rPr>
      </w:pPr>
    </w:p>
    <w:p w14:paraId="2C2B8198">
      <w:pPr>
        <w:snapToGrid w:val="0"/>
        <w:spacing w:line="360" w:lineRule="auto"/>
        <w:jc w:val="center"/>
        <w:rPr>
          <w:b/>
          <w:snapToGrid w:val="0"/>
          <w:kern w:val="0"/>
          <w:sz w:val="24"/>
          <w:szCs w:val="24"/>
        </w:rPr>
      </w:pPr>
    </w:p>
    <w:p w14:paraId="102F3ADD">
      <w:pPr>
        <w:snapToGrid w:val="0"/>
        <w:spacing w:line="360" w:lineRule="auto"/>
        <w:jc w:val="center"/>
        <w:rPr>
          <w:b/>
          <w:snapToGrid w:val="0"/>
          <w:kern w:val="0"/>
          <w:sz w:val="24"/>
          <w:szCs w:val="24"/>
        </w:rPr>
      </w:pPr>
    </w:p>
    <w:p w14:paraId="61232167">
      <w:pPr>
        <w:snapToGrid w:val="0"/>
        <w:spacing w:line="360" w:lineRule="auto"/>
        <w:jc w:val="center"/>
        <w:rPr>
          <w:b/>
          <w:snapToGrid w:val="0"/>
          <w:kern w:val="0"/>
          <w:sz w:val="24"/>
          <w:szCs w:val="24"/>
        </w:rPr>
      </w:pPr>
    </w:p>
    <w:p w14:paraId="7CBE8C6A">
      <w:pPr>
        <w:snapToGrid w:val="0"/>
        <w:spacing w:line="360" w:lineRule="auto"/>
        <w:jc w:val="center"/>
        <w:rPr>
          <w:b/>
          <w:snapToGrid w:val="0"/>
          <w:kern w:val="0"/>
          <w:sz w:val="24"/>
          <w:szCs w:val="24"/>
        </w:rPr>
      </w:pPr>
    </w:p>
    <w:p w14:paraId="7DD97088">
      <w:pPr>
        <w:snapToGrid w:val="0"/>
        <w:spacing w:line="360" w:lineRule="auto"/>
        <w:jc w:val="center"/>
        <w:rPr>
          <w:b/>
          <w:snapToGrid w:val="0"/>
          <w:kern w:val="0"/>
          <w:sz w:val="24"/>
          <w:szCs w:val="24"/>
        </w:rPr>
      </w:pPr>
    </w:p>
    <w:p w14:paraId="7FCB866C">
      <w:pPr>
        <w:snapToGrid w:val="0"/>
        <w:spacing w:line="360" w:lineRule="auto"/>
        <w:jc w:val="center"/>
        <w:rPr>
          <w:b/>
          <w:snapToGrid w:val="0"/>
          <w:kern w:val="0"/>
          <w:sz w:val="24"/>
          <w:szCs w:val="24"/>
        </w:rPr>
      </w:pPr>
    </w:p>
    <w:p w14:paraId="192E5D0A">
      <w:pPr>
        <w:snapToGrid w:val="0"/>
        <w:spacing w:line="360" w:lineRule="auto"/>
        <w:jc w:val="center"/>
        <w:rPr>
          <w:b/>
          <w:snapToGrid w:val="0"/>
          <w:kern w:val="0"/>
          <w:sz w:val="24"/>
          <w:szCs w:val="24"/>
        </w:rPr>
      </w:pPr>
    </w:p>
    <w:p w14:paraId="4FC05064">
      <w:pPr>
        <w:snapToGrid w:val="0"/>
        <w:spacing w:line="360" w:lineRule="auto"/>
        <w:jc w:val="center"/>
        <w:rPr>
          <w:b/>
          <w:snapToGrid w:val="0"/>
          <w:kern w:val="0"/>
          <w:sz w:val="24"/>
          <w:szCs w:val="24"/>
        </w:rPr>
      </w:pPr>
    </w:p>
    <w:p w14:paraId="7AC1D50A">
      <w:pPr>
        <w:snapToGrid w:val="0"/>
        <w:spacing w:line="360" w:lineRule="auto"/>
        <w:jc w:val="center"/>
        <w:rPr>
          <w:b/>
          <w:snapToGrid w:val="0"/>
          <w:kern w:val="0"/>
          <w:sz w:val="24"/>
          <w:szCs w:val="24"/>
        </w:rPr>
      </w:pPr>
    </w:p>
    <w:p w14:paraId="3B07F27D">
      <w:pPr>
        <w:snapToGrid w:val="0"/>
        <w:spacing w:line="360" w:lineRule="auto"/>
        <w:jc w:val="center"/>
        <w:rPr>
          <w:b/>
          <w:snapToGrid w:val="0"/>
          <w:kern w:val="0"/>
          <w:sz w:val="24"/>
          <w:szCs w:val="24"/>
        </w:rPr>
      </w:pPr>
    </w:p>
    <w:p w14:paraId="0F523BA4">
      <w:pPr>
        <w:snapToGrid w:val="0"/>
        <w:spacing w:line="360" w:lineRule="auto"/>
        <w:jc w:val="center"/>
        <w:rPr>
          <w:b/>
          <w:snapToGrid w:val="0"/>
          <w:kern w:val="0"/>
          <w:sz w:val="24"/>
          <w:szCs w:val="24"/>
        </w:rPr>
      </w:pPr>
    </w:p>
    <w:p w14:paraId="73424E7F">
      <w:pPr>
        <w:snapToGrid w:val="0"/>
        <w:spacing w:line="360" w:lineRule="auto"/>
        <w:jc w:val="center"/>
        <w:rPr>
          <w:rFonts w:hint="eastAsia" w:ascii="宋体"/>
          <w:b/>
          <w:bCs/>
          <w:sz w:val="24"/>
          <w:szCs w:val="24"/>
        </w:rPr>
      </w:pPr>
      <w:r>
        <w:rPr>
          <w:b/>
          <w:snapToGrid w:val="0"/>
          <w:kern w:val="0"/>
          <w:sz w:val="24"/>
          <w:szCs w:val="24"/>
        </w:rPr>
        <w:br w:type="page"/>
      </w:r>
      <w:r>
        <w:rPr>
          <w:rFonts w:hint="eastAsia" w:ascii="宋体"/>
          <w:b/>
          <w:bCs/>
          <w:sz w:val="24"/>
          <w:szCs w:val="24"/>
        </w:rPr>
        <w:t>4.4 业绩情况表</w:t>
      </w:r>
    </w:p>
    <w:p w14:paraId="7630A534">
      <w:pPr>
        <w:autoSpaceDE w:val="0"/>
        <w:autoSpaceDN w:val="0"/>
        <w:adjustRightInd w:val="0"/>
        <w:spacing w:line="360" w:lineRule="auto"/>
        <w:jc w:val="center"/>
        <w:outlineLvl w:val="0"/>
        <w:rPr>
          <w:rFonts w:hint="eastAsia" w:ascii="宋体"/>
          <w:b/>
          <w:bCs/>
          <w:sz w:val="24"/>
          <w:szCs w:val="24"/>
        </w:rPr>
      </w:pPr>
    </w:p>
    <w:p w14:paraId="7A8FF8D7">
      <w:pPr>
        <w:spacing w:before="50" w:after="162" w:afterLines="50" w:line="360" w:lineRule="auto"/>
        <w:contextualSpacing/>
        <w:jc w:val="left"/>
        <w:rPr>
          <w:rFonts w:hint="eastAsia" w:ascii="宋体"/>
          <w:sz w:val="24"/>
          <w:szCs w:val="24"/>
        </w:rPr>
      </w:pPr>
      <w:r>
        <w:rPr>
          <w:rFonts w:hint="eastAsia" w:ascii="宋体"/>
          <w:sz w:val="24"/>
          <w:szCs w:val="24"/>
        </w:rPr>
        <w:t>项目编号：</w:t>
      </w:r>
    </w:p>
    <w:p w14:paraId="6ABE2E24">
      <w:pPr>
        <w:snapToGrid w:val="0"/>
        <w:spacing w:line="360" w:lineRule="auto"/>
        <w:rPr>
          <w:rFonts w:hint="eastAsia" w:ascii="宋体"/>
          <w:sz w:val="24"/>
          <w:szCs w:val="24"/>
        </w:rPr>
      </w:pPr>
      <w:r>
        <w:rPr>
          <w:rFonts w:hint="eastAsia" w:ascii="宋体"/>
          <w:sz w:val="24"/>
          <w:szCs w:val="24"/>
        </w:rPr>
        <w:t xml:space="preserve">项目名称：   </w:t>
      </w:r>
    </w:p>
    <w:p w14:paraId="7969E2A9">
      <w:pPr>
        <w:snapToGrid w:val="0"/>
        <w:spacing w:line="360" w:lineRule="auto"/>
        <w:rPr>
          <w:b/>
          <w:snapToGrid w:val="0"/>
          <w:kern w:val="0"/>
          <w:sz w:val="24"/>
          <w:szCs w:val="24"/>
        </w:rPr>
      </w:pPr>
    </w:p>
    <w:tbl>
      <w:tblPr>
        <w:tblStyle w:val="19"/>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14:paraId="682F3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noWrap w:val="0"/>
            <w:vAlign w:val="center"/>
          </w:tcPr>
          <w:p w14:paraId="0CE39D65">
            <w:pPr>
              <w:pStyle w:val="6"/>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序号</w:t>
            </w:r>
          </w:p>
        </w:tc>
        <w:tc>
          <w:tcPr>
            <w:tcW w:w="1808" w:type="dxa"/>
            <w:shd w:val="clear" w:color="auto" w:fill="F3F3F3"/>
            <w:noWrap w:val="0"/>
            <w:vAlign w:val="center"/>
          </w:tcPr>
          <w:p w14:paraId="0193E59E">
            <w:pPr>
              <w:pStyle w:val="6"/>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客户单位名称</w:t>
            </w:r>
          </w:p>
        </w:tc>
        <w:tc>
          <w:tcPr>
            <w:tcW w:w="3579" w:type="dxa"/>
            <w:shd w:val="clear" w:color="auto" w:fill="F3F3F3"/>
            <w:noWrap w:val="0"/>
            <w:vAlign w:val="center"/>
          </w:tcPr>
          <w:p w14:paraId="33F1B7F3">
            <w:pPr>
              <w:pStyle w:val="6"/>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项目名称及主要内容</w:t>
            </w:r>
          </w:p>
        </w:tc>
        <w:tc>
          <w:tcPr>
            <w:tcW w:w="1440" w:type="dxa"/>
            <w:shd w:val="clear" w:color="auto" w:fill="F3F3F3"/>
            <w:noWrap w:val="0"/>
            <w:vAlign w:val="center"/>
          </w:tcPr>
          <w:p w14:paraId="7F15087C">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合同金额</w:t>
            </w:r>
          </w:p>
          <w:p w14:paraId="0292B809">
            <w:pPr>
              <w:pStyle w:val="6"/>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（万元）</w:t>
            </w:r>
          </w:p>
        </w:tc>
        <w:tc>
          <w:tcPr>
            <w:tcW w:w="1706" w:type="dxa"/>
            <w:shd w:val="clear" w:color="auto" w:fill="F3F3F3"/>
            <w:noWrap w:val="0"/>
            <w:vAlign w:val="center"/>
          </w:tcPr>
          <w:p w14:paraId="27548DB8">
            <w:pPr>
              <w:pStyle w:val="6"/>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联系人及电话</w:t>
            </w:r>
          </w:p>
        </w:tc>
      </w:tr>
      <w:tr w14:paraId="49124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37065F39">
            <w:pPr>
              <w:pStyle w:val="6"/>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1</w:t>
            </w:r>
          </w:p>
        </w:tc>
        <w:tc>
          <w:tcPr>
            <w:tcW w:w="1808" w:type="dxa"/>
            <w:noWrap w:val="0"/>
            <w:vAlign w:val="center"/>
          </w:tcPr>
          <w:p w14:paraId="74ECAC87">
            <w:pPr>
              <w:pStyle w:val="6"/>
              <w:spacing w:line="360" w:lineRule="auto"/>
              <w:rPr>
                <w:rFonts w:hint="eastAsia" w:ascii="宋体" w:hAnsi="宋体" w:eastAsia="宋体" w:cs="Times New Roman"/>
                <w:sz w:val="24"/>
                <w:szCs w:val="24"/>
                <w:lang w:bidi="ar-SA"/>
              </w:rPr>
            </w:pPr>
          </w:p>
        </w:tc>
        <w:tc>
          <w:tcPr>
            <w:tcW w:w="3579" w:type="dxa"/>
            <w:noWrap w:val="0"/>
            <w:vAlign w:val="center"/>
          </w:tcPr>
          <w:p w14:paraId="262E0751">
            <w:pPr>
              <w:pStyle w:val="6"/>
              <w:spacing w:line="360" w:lineRule="auto"/>
              <w:rPr>
                <w:rFonts w:hint="eastAsia" w:ascii="宋体" w:hAnsi="宋体" w:eastAsia="宋体" w:cs="Times New Roman"/>
                <w:sz w:val="24"/>
                <w:szCs w:val="24"/>
                <w:lang w:bidi="ar-SA"/>
              </w:rPr>
            </w:pPr>
          </w:p>
        </w:tc>
        <w:tc>
          <w:tcPr>
            <w:tcW w:w="1440" w:type="dxa"/>
            <w:noWrap w:val="0"/>
            <w:vAlign w:val="center"/>
          </w:tcPr>
          <w:p w14:paraId="714FA05F">
            <w:pPr>
              <w:pStyle w:val="6"/>
              <w:spacing w:line="360" w:lineRule="auto"/>
              <w:rPr>
                <w:rFonts w:hint="eastAsia" w:ascii="宋体" w:hAnsi="宋体" w:eastAsia="宋体" w:cs="Times New Roman"/>
                <w:sz w:val="24"/>
                <w:szCs w:val="24"/>
                <w:lang w:bidi="ar-SA"/>
              </w:rPr>
            </w:pPr>
          </w:p>
        </w:tc>
        <w:tc>
          <w:tcPr>
            <w:tcW w:w="1706" w:type="dxa"/>
            <w:noWrap w:val="0"/>
            <w:vAlign w:val="center"/>
          </w:tcPr>
          <w:p w14:paraId="3653EAE4">
            <w:pPr>
              <w:pStyle w:val="6"/>
              <w:spacing w:line="360" w:lineRule="auto"/>
              <w:rPr>
                <w:rFonts w:hint="eastAsia" w:ascii="宋体" w:hAnsi="宋体" w:eastAsia="宋体" w:cs="Times New Roman"/>
                <w:sz w:val="24"/>
                <w:szCs w:val="24"/>
                <w:lang w:bidi="ar-SA"/>
              </w:rPr>
            </w:pPr>
          </w:p>
        </w:tc>
      </w:tr>
      <w:tr w14:paraId="18633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15B6CE26">
            <w:pPr>
              <w:pStyle w:val="6"/>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2</w:t>
            </w:r>
          </w:p>
        </w:tc>
        <w:tc>
          <w:tcPr>
            <w:tcW w:w="1808" w:type="dxa"/>
            <w:noWrap w:val="0"/>
            <w:vAlign w:val="center"/>
          </w:tcPr>
          <w:p w14:paraId="2A64FDB0">
            <w:pPr>
              <w:pStyle w:val="6"/>
              <w:spacing w:line="360" w:lineRule="auto"/>
              <w:rPr>
                <w:rFonts w:hint="eastAsia" w:ascii="宋体" w:hAnsi="宋体" w:eastAsia="宋体" w:cs="Times New Roman"/>
                <w:sz w:val="24"/>
                <w:szCs w:val="24"/>
                <w:lang w:bidi="ar-SA"/>
              </w:rPr>
            </w:pPr>
          </w:p>
        </w:tc>
        <w:tc>
          <w:tcPr>
            <w:tcW w:w="3579" w:type="dxa"/>
            <w:noWrap w:val="0"/>
            <w:vAlign w:val="center"/>
          </w:tcPr>
          <w:p w14:paraId="6F087B84">
            <w:pPr>
              <w:pStyle w:val="6"/>
              <w:spacing w:line="360" w:lineRule="auto"/>
              <w:rPr>
                <w:rFonts w:hint="eastAsia" w:ascii="宋体" w:hAnsi="宋体" w:eastAsia="宋体" w:cs="Times New Roman"/>
                <w:sz w:val="24"/>
                <w:szCs w:val="24"/>
                <w:lang w:bidi="ar-SA"/>
              </w:rPr>
            </w:pPr>
          </w:p>
        </w:tc>
        <w:tc>
          <w:tcPr>
            <w:tcW w:w="1440" w:type="dxa"/>
            <w:noWrap w:val="0"/>
            <w:vAlign w:val="center"/>
          </w:tcPr>
          <w:p w14:paraId="56883008">
            <w:pPr>
              <w:pStyle w:val="6"/>
              <w:spacing w:line="360" w:lineRule="auto"/>
              <w:rPr>
                <w:rFonts w:hint="eastAsia" w:ascii="宋体" w:hAnsi="宋体" w:eastAsia="宋体" w:cs="Times New Roman"/>
                <w:sz w:val="24"/>
                <w:szCs w:val="24"/>
                <w:lang w:bidi="ar-SA"/>
              </w:rPr>
            </w:pPr>
          </w:p>
        </w:tc>
        <w:tc>
          <w:tcPr>
            <w:tcW w:w="1706" w:type="dxa"/>
            <w:noWrap w:val="0"/>
            <w:vAlign w:val="center"/>
          </w:tcPr>
          <w:p w14:paraId="4EE77CB1">
            <w:pPr>
              <w:pStyle w:val="6"/>
              <w:spacing w:line="360" w:lineRule="auto"/>
              <w:rPr>
                <w:rFonts w:hint="eastAsia" w:ascii="宋体" w:hAnsi="宋体" w:eastAsia="宋体" w:cs="Times New Roman"/>
                <w:sz w:val="24"/>
                <w:szCs w:val="24"/>
                <w:lang w:bidi="ar-SA"/>
              </w:rPr>
            </w:pPr>
          </w:p>
        </w:tc>
      </w:tr>
      <w:tr w14:paraId="18ED2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3D98150E">
            <w:pPr>
              <w:pStyle w:val="6"/>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3</w:t>
            </w:r>
          </w:p>
        </w:tc>
        <w:tc>
          <w:tcPr>
            <w:tcW w:w="1808" w:type="dxa"/>
            <w:noWrap w:val="0"/>
            <w:vAlign w:val="center"/>
          </w:tcPr>
          <w:p w14:paraId="5BB6304A">
            <w:pPr>
              <w:pStyle w:val="6"/>
              <w:spacing w:line="360" w:lineRule="auto"/>
              <w:rPr>
                <w:rFonts w:hint="eastAsia" w:ascii="宋体" w:hAnsi="宋体" w:eastAsia="宋体" w:cs="Times New Roman"/>
                <w:sz w:val="24"/>
                <w:szCs w:val="24"/>
                <w:lang w:bidi="ar-SA"/>
              </w:rPr>
            </w:pPr>
          </w:p>
        </w:tc>
        <w:tc>
          <w:tcPr>
            <w:tcW w:w="3579" w:type="dxa"/>
            <w:noWrap w:val="0"/>
            <w:vAlign w:val="center"/>
          </w:tcPr>
          <w:p w14:paraId="490620ED">
            <w:pPr>
              <w:pStyle w:val="6"/>
              <w:spacing w:line="360" w:lineRule="auto"/>
              <w:rPr>
                <w:rFonts w:hint="eastAsia" w:ascii="宋体" w:hAnsi="宋体" w:eastAsia="宋体" w:cs="Times New Roman"/>
                <w:sz w:val="24"/>
                <w:szCs w:val="24"/>
                <w:lang w:bidi="ar-SA"/>
              </w:rPr>
            </w:pPr>
          </w:p>
        </w:tc>
        <w:tc>
          <w:tcPr>
            <w:tcW w:w="1440" w:type="dxa"/>
            <w:noWrap w:val="0"/>
            <w:vAlign w:val="center"/>
          </w:tcPr>
          <w:p w14:paraId="74E84C9D">
            <w:pPr>
              <w:pStyle w:val="6"/>
              <w:spacing w:line="360" w:lineRule="auto"/>
              <w:rPr>
                <w:rFonts w:hint="eastAsia" w:ascii="宋体" w:hAnsi="宋体" w:eastAsia="宋体" w:cs="Times New Roman"/>
                <w:sz w:val="24"/>
                <w:szCs w:val="24"/>
                <w:lang w:bidi="ar-SA"/>
              </w:rPr>
            </w:pPr>
          </w:p>
        </w:tc>
        <w:tc>
          <w:tcPr>
            <w:tcW w:w="1706" w:type="dxa"/>
            <w:noWrap w:val="0"/>
            <w:vAlign w:val="center"/>
          </w:tcPr>
          <w:p w14:paraId="07A986F9">
            <w:pPr>
              <w:pStyle w:val="6"/>
              <w:spacing w:line="360" w:lineRule="auto"/>
              <w:rPr>
                <w:rFonts w:hint="eastAsia" w:ascii="宋体" w:hAnsi="宋体" w:eastAsia="宋体" w:cs="Times New Roman"/>
                <w:sz w:val="24"/>
                <w:szCs w:val="24"/>
                <w:lang w:bidi="ar-SA"/>
              </w:rPr>
            </w:pPr>
          </w:p>
        </w:tc>
      </w:tr>
      <w:tr w14:paraId="7569B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052D6272">
            <w:pPr>
              <w:pStyle w:val="6"/>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4</w:t>
            </w:r>
          </w:p>
        </w:tc>
        <w:tc>
          <w:tcPr>
            <w:tcW w:w="1808" w:type="dxa"/>
            <w:noWrap w:val="0"/>
            <w:vAlign w:val="center"/>
          </w:tcPr>
          <w:p w14:paraId="0DC18492">
            <w:pPr>
              <w:rPr>
                <w:rFonts w:hint="eastAsia" w:ascii="宋体"/>
                <w:sz w:val="24"/>
                <w:szCs w:val="24"/>
              </w:rPr>
            </w:pPr>
          </w:p>
        </w:tc>
        <w:tc>
          <w:tcPr>
            <w:tcW w:w="3579" w:type="dxa"/>
            <w:noWrap w:val="0"/>
            <w:vAlign w:val="center"/>
          </w:tcPr>
          <w:p w14:paraId="399FF0DC">
            <w:pPr>
              <w:rPr>
                <w:rFonts w:hint="eastAsia" w:ascii="宋体"/>
                <w:sz w:val="24"/>
                <w:szCs w:val="24"/>
              </w:rPr>
            </w:pPr>
          </w:p>
        </w:tc>
        <w:tc>
          <w:tcPr>
            <w:tcW w:w="1440" w:type="dxa"/>
            <w:noWrap w:val="0"/>
            <w:vAlign w:val="center"/>
          </w:tcPr>
          <w:p w14:paraId="135FF232">
            <w:pPr>
              <w:rPr>
                <w:rFonts w:hint="eastAsia" w:ascii="宋体"/>
                <w:sz w:val="24"/>
                <w:szCs w:val="24"/>
              </w:rPr>
            </w:pPr>
          </w:p>
        </w:tc>
        <w:tc>
          <w:tcPr>
            <w:tcW w:w="1706" w:type="dxa"/>
            <w:noWrap w:val="0"/>
            <w:vAlign w:val="center"/>
          </w:tcPr>
          <w:p w14:paraId="143F6F39">
            <w:pPr>
              <w:rPr>
                <w:rFonts w:hint="eastAsia" w:ascii="宋体"/>
                <w:sz w:val="24"/>
                <w:szCs w:val="24"/>
              </w:rPr>
            </w:pPr>
          </w:p>
        </w:tc>
      </w:tr>
      <w:tr w14:paraId="7567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2C275C6D">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808" w:type="dxa"/>
            <w:noWrap w:val="0"/>
            <w:vAlign w:val="center"/>
          </w:tcPr>
          <w:p w14:paraId="58AAF1B0">
            <w:pPr>
              <w:rPr>
                <w:rFonts w:hint="eastAsia" w:ascii="宋体"/>
                <w:sz w:val="24"/>
                <w:szCs w:val="24"/>
              </w:rPr>
            </w:pPr>
          </w:p>
        </w:tc>
        <w:tc>
          <w:tcPr>
            <w:tcW w:w="3579" w:type="dxa"/>
            <w:noWrap w:val="0"/>
            <w:vAlign w:val="center"/>
          </w:tcPr>
          <w:p w14:paraId="23D9D5EC">
            <w:pPr>
              <w:rPr>
                <w:rFonts w:hint="eastAsia" w:ascii="宋体"/>
                <w:sz w:val="24"/>
                <w:szCs w:val="24"/>
              </w:rPr>
            </w:pPr>
          </w:p>
        </w:tc>
        <w:tc>
          <w:tcPr>
            <w:tcW w:w="1440" w:type="dxa"/>
            <w:noWrap w:val="0"/>
            <w:vAlign w:val="center"/>
          </w:tcPr>
          <w:p w14:paraId="78B97A13">
            <w:pPr>
              <w:rPr>
                <w:rFonts w:hint="eastAsia" w:ascii="宋体"/>
                <w:sz w:val="24"/>
                <w:szCs w:val="24"/>
              </w:rPr>
            </w:pPr>
          </w:p>
        </w:tc>
        <w:tc>
          <w:tcPr>
            <w:tcW w:w="1706" w:type="dxa"/>
            <w:noWrap w:val="0"/>
            <w:vAlign w:val="center"/>
          </w:tcPr>
          <w:p w14:paraId="6C23D5D2">
            <w:pPr>
              <w:rPr>
                <w:rFonts w:hint="eastAsia" w:ascii="宋体"/>
                <w:sz w:val="24"/>
                <w:szCs w:val="24"/>
              </w:rPr>
            </w:pPr>
          </w:p>
        </w:tc>
      </w:tr>
    </w:tbl>
    <w:p w14:paraId="4E931DF4">
      <w:pPr>
        <w:autoSpaceDE w:val="0"/>
        <w:autoSpaceDN w:val="0"/>
        <w:adjustRightInd w:val="0"/>
        <w:spacing w:line="480" w:lineRule="auto"/>
        <w:rPr>
          <w:rFonts w:hint="eastAsia" w:ascii="宋体" w:cs="宋体"/>
          <w:sz w:val="24"/>
          <w:szCs w:val="24"/>
          <w:lang w:val="zh-CN" w:eastAsia="zh-CN" w:bidi="ar-SA"/>
        </w:rPr>
      </w:pPr>
    </w:p>
    <w:p w14:paraId="40DA0C6F">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14:paraId="3EECDF4B">
      <w:pPr>
        <w:autoSpaceDE w:val="0"/>
        <w:autoSpaceDN w:val="0"/>
        <w:adjustRightInd w:val="0"/>
        <w:spacing w:line="480" w:lineRule="auto"/>
        <w:rPr>
          <w:rFonts w:hint="eastAsia" w:ascii="宋体" w:cs="宋体"/>
          <w:sz w:val="24"/>
          <w:szCs w:val="24"/>
          <w:lang w:val="zh-CN" w:eastAsia="zh-CN" w:bidi="ar-SA"/>
        </w:rPr>
      </w:pPr>
    </w:p>
    <w:p w14:paraId="394E8A56">
      <w:pPr>
        <w:autoSpaceDE w:val="0"/>
        <w:autoSpaceDN w:val="0"/>
        <w:adjustRightInd w:val="0"/>
        <w:spacing w:line="480" w:lineRule="auto"/>
        <w:rPr>
          <w:rFonts w:hint="eastAsia" w:ascii="宋体" w:cs="宋体"/>
          <w:sz w:val="24"/>
          <w:szCs w:val="24"/>
          <w:lang w:val="zh-CN" w:eastAsia="zh-CN" w:bidi="ar-SA"/>
        </w:rPr>
      </w:pPr>
    </w:p>
    <w:p w14:paraId="187B3A76">
      <w:pPr>
        <w:autoSpaceDE w:val="0"/>
        <w:autoSpaceDN w:val="0"/>
        <w:adjustRightInd w:val="0"/>
        <w:spacing w:line="360" w:lineRule="auto"/>
        <w:jc w:val="center"/>
        <w:outlineLvl w:val="0"/>
        <w:rPr>
          <w:rFonts w:hint="eastAsia" w:ascii="宋体"/>
          <w:b/>
          <w:bCs/>
          <w:sz w:val="24"/>
          <w:szCs w:val="24"/>
        </w:rPr>
      </w:pPr>
    </w:p>
    <w:p w14:paraId="022A8731">
      <w:pPr>
        <w:autoSpaceDE w:val="0"/>
        <w:autoSpaceDN w:val="0"/>
        <w:adjustRightInd w:val="0"/>
        <w:spacing w:line="360" w:lineRule="auto"/>
        <w:jc w:val="center"/>
        <w:outlineLvl w:val="0"/>
        <w:rPr>
          <w:rFonts w:hint="eastAsia" w:ascii="宋体"/>
          <w:b/>
          <w:bCs/>
          <w:sz w:val="24"/>
          <w:szCs w:val="24"/>
        </w:rPr>
      </w:pPr>
    </w:p>
    <w:p w14:paraId="5A95F20E">
      <w:pPr>
        <w:autoSpaceDE w:val="0"/>
        <w:autoSpaceDN w:val="0"/>
        <w:adjustRightInd w:val="0"/>
        <w:spacing w:line="360" w:lineRule="auto"/>
        <w:jc w:val="center"/>
        <w:outlineLvl w:val="0"/>
        <w:rPr>
          <w:rFonts w:hint="eastAsia" w:ascii="宋体"/>
          <w:b/>
          <w:bCs/>
          <w:sz w:val="24"/>
          <w:szCs w:val="24"/>
        </w:rPr>
      </w:pPr>
    </w:p>
    <w:p w14:paraId="63E849C0">
      <w:pPr>
        <w:autoSpaceDE w:val="0"/>
        <w:autoSpaceDN w:val="0"/>
        <w:adjustRightInd w:val="0"/>
        <w:spacing w:line="360" w:lineRule="auto"/>
        <w:jc w:val="center"/>
        <w:outlineLvl w:val="0"/>
        <w:rPr>
          <w:rFonts w:hint="eastAsia" w:ascii="宋体"/>
          <w:b/>
          <w:bCs/>
          <w:sz w:val="24"/>
          <w:szCs w:val="24"/>
        </w:rPr>
      </w:pPr>
    </w:p>
    <w:p w14:paraId="5C27E9CD">
      <w:pPr>
        <w:autoSpaceDE w:val="0"/>
        <w:autoSpaceDN w:val="0"/>
        <w:adjustRightInd w:val="0"/>
        <w:spacing w:line="360" w:lineRule="auto"/>
        <w:jc w:val="center"/>
        <w:outlineLvl w:val="0"/>
        <w:rPr>
          <w:rFonts w:hint="eastAsia" w:ascii="宋体"/>
          <w:b/>
          <w:bCs/>
          <w:sz w:val="24"/>
          <w:szCs w:val="24"/>
        </w:rPr>
      </w:pPr>
    </w:p>
    <w:p w14:paraId="6D9DE064">
      <w:pPr>
        <w:autoSpaceDE w:val="0"/>
        <w:autoSpaceDN w:val="0"/>
        <w:adjustRightInd w:val="0"/>
        <w:spacing w:line="360" w:lineRule="auto"/>
        <w:jc w:val="center"/>
        <w:outlineLvl w:val="0"/>
        <w:rPr>
          <w:rFonts w:hint="eastAsia" w:ascii="宋体"/>
          <w:b/>
          <w:bCs/>
          <w:sz w:val="24"/>
          <w:szCs w:val="24"/>
        </w:rPr>
      </w:pPr>
    </w:p>
    <w:p w14:paraId="34A20172">
      <w:pPr>
        <w:autoSpaceDE w:val="0"/>
        <w:autoSpaceDN w:val="0"/>
        <w:adjustRightInd w:val="0"/>
        <w:spacing w:line="360" w:lineRule="auto"/>
        <w:jc w:val="center"/>
        <w:outlineLvl w:val="0"/>
        <w:rPr>
          <w:rFonts w:hint="eastAsia" w:ascii="宋体"/>
          <w:b/>
          <w:bCs/>
          <w:sz w:val="24"/>
          <w:szCs w:val="24"/>
        </w:rPr>
      </w:pPr>
    </w:p>
    <w:p w14:paraId="700034B5">
      <w:pPr>
        <w:autoSpaceDE w:val="0"/>
        <w:autoSpaceDN w:val="0"/>
        <w:adjustRightInd w:val="0"/>
        <w:spacing w:line="360" w:lineRule="auto"/>
        <w:jc w:val="center"/>
        <w:outlineLvl w:val="0"/>
        <w:rPr>
          <w:rFonts w:hint="eastAsia" w:ascii="宋体"/>
          <w:b/>
          <w:bCs/>
          <w:sz w:val="24"/>
          <w:szCs w:val="24"/>
        </w:rPr>
      </w:pPr>
    </w:p>
    <w:p w14:paraId="7A09E1B0">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4.5 售后服务方案</w:t>
      </w:r>
    </w:p>
    <w:p w14:paraId="2BDC1595">
      <w:pPr>
        <w:autoSpaceDE w:val="0"/>
        <w:autoSpaceDN w:val="0"/>
        <w:adjustRightInd w:val="0"/>
        <w:spacing w:line="360" w:lineRule="auto"/>
        <w:jc w:val="center"/>
        <w:outlineLvl w:val="0"/>
        <w:rPr>
          <w:rFonts w:hint="eastAsia" w:ascii="宋体"/>
          <w:b/>
          <w:bCs/>
          <w:sz w:val="24"/>
          <w:szCs w:val="24"/>
        </w:rPr>
      </w:pPr>
    </w:p>
    <w:p w14:paraId="1B59673E">
      <w:pPr>
        <w:autoSpaceDE w:val="0"/>
        <w:autoSpaceDN w:val="0"/>
        <w:adjustRightInd w:val="0"/>
        <w:spacing w:line="360" w:lineRule="auto"/>
        <w:jc w:val="center"/>
        <w:outlineLvl w:val="0"/>
        <w:rPr>
          <w:rFonts w:hint="eastAsia" w:ascii="宋体"/>
          <w:b/>
          <w:bCs/>
          <w:sz w:val="24"/>
          <w:szCs w:val="24"/>
        </w:rPr>
      </w:pPr>
    </w:p>
    <w:p w14:paraId="452389FA">
      <w:pPr>
        <w:autoSpaceDE w:val="0"/>
        <w:autoSpaceDN w:val="0"/>
        <w:adjustRightInd w:val="0"/>
        <w:spacing w:line="360" w:lineRule="auto"/>
        <w:jc w:val="center"/>
        <w:rPr>
          <w:rFonts w:hint="eastAsia" w:ascii="宋体" w:cs="宋体"/>
          <w:sz w:val="24"/>
          <w:szCs w:val="24"/>
          <w:lang w:val="zh-CN" w:eastAsia="zh-CN" w:bidi="ar-SA"/>
        </w:rPr>
      </w:pPr>
      <w:r>
        <w:rPr>
          <w:rFonts w:hint="eastAsia" w:ascii="宋体" w:cs="宋体"/>
          <w:sz w:val="24"/>
          <w:szCs w:val="24"/>
          <w:lang w:val="zh-CN" w:eastAsia="zh-CN" w:bidi="ar-SA"/>
        </w:rPr>
        <w:t>（投标人根据招标文件要求自行编制）</w:t>
      </w:r>
    </w:p>
    <w:p w14:paraId="4DA7C49F">
      <w:pPr>
        <w:autoSpaceDE w:val="0"/>
        <w:autoSpaceDN w:val="0"/>
        <w:adjustRightInd w:val="0"/>
        <w:spacing w:line="360" w:lineRule="auto"/>
        <w:jc w:val="center"/>
        <w:outlineLvl w:val="0"/>
        <w:rPr>
          <w:rFonts w:hint="eastAsia" w:ascii="宋体"/>
          <w:b/>
          <w:bCs/>
          <w:sz w:val="24"/>
          <w:szCs w:val="24"/>
        </w:rPr>
      </w:pPr>
    </w:p>
    <w:p w14:paraId="73941C21">
      <w:pPr>
        <w:autoSpaceDE w:val="0"/>
        <w:autoSpaceDN w:val="0"/>
        <w:adjustRightInd w:val="0"/>
        <w:spacing w:line="360" w:lineRule="auto"/>
        <w:jc w:val="center"/>
        <w:outlineLvl w:val="0"/>
        <w:rPr>
          <w:rFonts w:hint="eastAsia" w:ascii="宋体"/>
          <w:b/>
          <w:bCs/>
          <w:sz w:val="24"/>
          <w:szCs w:val="24"/>
        </w:rPr>
      </w:pPr>
    </w:p>
    <w:p w14:paraId="6006AC92">
      <w:pPr>
        <w:autoSpaceDE w:val="0"/>
        <w:autoSpaceDN w:val="0"/>
        <w:adjustRightInd w:val="0"/>
        <w:spacing w:line="360" w:lineRule="auto"/>
        <w:jc w:val="center"/>
        <w:outlineLvl w:val="0"/>
        <w:rPr>
          <w:rFonts w:hint="eastAsia" w:ascii="宋体"/>
          <w:b/>
          <w:bCs/>
          <w:sz w:val="24"/>
          <w:szCs w:val="24"/>
        </w:rPr>
      </w:pPr>
    </w:p>
    <w:p w14:paraId="19861254">
      <w:pPr>
        <w:autoSpaceDE w:val="0"/>
        <w:autoSpaceDN w:val="0"/>
        <w:adjustRightInd w:val="0"/>
        <w:spacing w:line="360" w:lineRule="auto"/>
        <w:jc w:val="center"/>
        <w:outlineLvl w:val="0"/>
        <w:rPr>
          <w:rFonts w:hint="eastAsia" w:ascii="宋体"/>
          <w:b/>
          <w:bCs/>
          <w:sz w:val="24"/>
          <w:szCs w:val="24"/>
        </w:rPr>
      </w:pPr>
    </w:p>
    <w:p w14:paraId="6B85611B">
      <w:pPr>
        <w:autoSpaceDE w:val="0"/>
        <w:autoSpaceDN w:val="0"/>
        <w:adjustRightInd w:val="0"/>
        <w:spacing w:line="360" w:lineRule="auto"/>
        <w:jc w:val="center"/>
        <w:outlineLvl w:val="0"/>
        <w:rPr>
          <w:rFonts w:hint="eastAsia" w:ascii="宋体"/>
          <w:b/>
          <w:bCs/>
          <w:sz w:val="24"/>
          <w:szCs w:val="24"/>
        </w:rPr>
      </w:pPr>
    </w:p>
    <w:p w14:paraId="0030098E">
      <w:pPr>
        <w:autoSpaceDE w:val="0"/>
        <w:autoSpaceDN w:val="0"/>
        <w:adjustRightInd w:val="0"/>
        <w:spacing w:line="360" w:lineRule="auto"/>
        <w:jc w:val="center"/>
        <w:outlineLvl w:val="0"/>
        <w:rPr>
          <w:rFonts w:hint="eastAsia" w:ascii="宋体"/>
          <w:b/>
          <w:bCs/>
          <w:sz w:val="24"/>
          <w:szCs w:val="24"/>
        </w:rPr>
      </w:pPr>
    </w:p>
    <w:p w14:paraId="2177A08D">
      <w:pPr>
        <w:autoSpaceDE w:val="0"/>
        <w:autoSpaceDN w:val="0"/>
        <w:adjustRightInd w:val="0"/>
        <w:spacing w:line="360" w:lineRule="auto"/>
        <w:jc w:val="center"/>
        <w:outlineLvl w:val="0"/>
        <w:rPr>
          <w:rFonts w:hint="eastAsia" w:ascii="宋体"/>
          <w:b/>
          <w:bCs/>
          <w:sz w:val="24"/>
          <w:szCs w:val="24"/>
        </w:rPr>
      </w:pPr>
    </w:p>
    <w:p w14:paraId="6738C0A5">
      <w:pPr>
        <w:autoSpaceDE w:val="0"/>
        <w:autoSpaceDN w:val="0"/>
        <w:adjustRightInd w:val="0"/>
        <w:spacing w:line="360" w:lineRule="auto"/>
        <w:jc w:val="center"/>
        <w:outlineLvl w:val="0"/>
        <w:rPr>
          <w:rFonts w:hint="eastAsia" w:ascii="宋体"/>
          <w:b/>
          <w:bCs/>
          <w:sz w:val="24"/>
          <w:szCs w:val="24"/>
        </w:rPr>
      </w:pPr>
    </w:p>
    <w:p w14:paraId="578A8FAC">
      <w:pPr>
        <w:autoSpaceDE w:val="0"/>
        <w:autoSpaceDN w:val="0"/>
        <w:adjustRightInd w:val="0"/>
        <w:spacing w:line="360" w:lineRule="auto"/>
        <w:jc w:val="center"/>
        <w:outlineLvl w:val="0"/>
        <w:rPr>
          <w:rFonts w:hint="eastAsia" w:ascii="宋体"/>
          <w:b/>
          <w:bCs/>
          <w:sz w:val="24"/>
          <w:szCs w:val="24"/>
        </w:rPr>
      </w:pPr>
    </w:p>
    <w:p w14:paraId="2A91F5F4">
      <w:pPr>
        <w:autoSpaceDE w:val="0"/>
        <w:autoSpaceDN w:val="0"/>
        <w:adjustRightInd w:val="0"/>
        <w:spacing w:line="360" w:lineRule="auto"/>
        <w:jc w:val="center"/>
        <w:outlineLvl w:val="0"/>
        <w:rPr>
          <w:rFonts w:hint="eastAsia" w:ascii="宋体"/>
          <w:b/>
          <w:bCs/>
          <w:sz w:val="24"/>
          <w:szCs w:val="24"/>
        </w:rPr>
      </w:pPr>
    </w:p>
    <w:p w14:paraId="09E2D10B">
      <w:pPr>
        <w:autoSpaceDE w:val="0"/>
        <w:autoSpaceDN w:val="0"/>
        <w:adjustRightInd w:val="0"/>
        <w:spacing w:line="360" w:lineRule="auto"/>
        <w:jc w:val="center"/>
        <w:outlineLvl w:val="0"/>
        <w:rPr>
          <w:rFonts w:hint="eastAsia" w:ascii="宋体"/>
          <w:b/>
          <w:bCs/>
          <w:sz w:val="24"/>
          <w:szCs w:val="24"/>
        </w:rPr>
      </w:pPr>
    </w:p>
    <w:p w14:paraId="0FF29167">
      <w:pPr>
        <w:autoSpaceDE w:val="0"/>
        <w:autoSpaceDN w:val="0"/>
        <w:adjustRightInd w:val="0"/>
        <w:spacing w:line="360" w:lineRule="auto"/>
        <w:jc w:val="center"/>
        <w:outlineLvl w:val="0"/>
        <w:rPr>
          <w:rFonts w:hint="eastAsia" w:ascii="宋体"/>
          <w:b/>
          <w:bCs/>
          <w:sz w:val="24"/>
          <w:szCs w:val="24"/>
        </w:rPr>
      </w:pPr>
    </w:p>
    <w:p w14:paraId="4C5FF3F6">
      <w:pPr>
        <w:autoSpaceDE w:val="0"/>
        <w:autoSpaceDN w:val="0"/>
        <w:adjustRightInd w:val="0"/>
        <w:spacing w:line="360" w:lineRule="auto"/>
        <w:jc w:val="center"/>
        <w:outlineLvl w:val="0"/>
        <w:rPr>
          <w:rFonts w:hint="eastAsia" w:ascii="宋体"/>
          <w:b/>
          <w:bCs/>
          <w:sz w:val="24"/>
          <w:szCs w:val="24"/>
        </w:rPr>
      </w:pPr>
    </w:p>
    <w:p w14:paraId="6B55FD22">
      <w:pPr>
        <w:autoSpaceDE w:val="0"/>
        <w:autoSpaceDN w:val="0"/>
        <w:adjustRightInd w:val="0"/>
        <w:spacing w:line="360" w:lineRule="auto"/>
        <w:jc w:val="center"/>
        <w:outlineLvl w:val="0"/>
        <w:rPr>
          <w:rFonts w:hint="eastAsia" w:ascii="宋体"/>
          <w:b/>
          <w:bCs/>
          <w:sz w:val="24"/>
          <w:szCs w:val="24"/>
        </w:rPr>
      </w:pPr>
    </w:p>
    <w:p w14:paraId="707660F9">
      <w:pPr>
        <w:autoSpaceDE w:val="0"/>
        <w:autoSpaceDN w:val="0"/>
        <w:adjustRightInd w:val="0"/>
        <w:spacing w:line="360" w:lineRule="auto"/>
        <w:jc w:val="center"/>
        <w:outlineLvl w:val="0"/>
        <w:rPr>
          <w:rFonts w:hint="eastAsia" w:ascii="宋体"/>
          <w:b/>
          <w:bCs/>
          <w:sz w:val="24"/>
          <w:szCs w:val="24"/>
        </w:rPr>
      </w:pPr>
    </w:p>
    <w:p w14:paraId="25771DB6">
      <w:pPr>
        <w:autoSpaceDE w:val="0"/>
        <w:autoSpaceDN w:val="0"/>
        <w:adjustRightInd w:val="0"/>
        <w:spacing w:line="360" w:lineRule="auto"/>
        <w:jc w:val="center"/>
        <w:outlineLvl w:val="0"/>
        <w:rPr>
          <w:rFonts w:hint="eastAsia" w:ascii="宋体"/>
          <w:b/>
          <w:bCs/>
          <w:sz w:val="24"/>
          <w:szCs w:val="24"/>
        </w:rPr>
      </w:pPr>
    </w:p>
    <w:p w14:paraId="7253F9E6">
      <w:pPr>
        <w:autoSpaceDE w:val="0"/>
        <w:autoSpaceDN w:val="0"/>
        <w:adjustRightInd w:val="0"/>
        <w:spacing w:line="360" w:lineRule="auto"/>
        <w:jc w:val="center"/>
        <w:outlineLvl w:val="0"/>
        <w:rPr>
          <w:rFonts w:hint="eastAsia" w:ascii="宋体"/>
          <w:b/>
          <w:bCs/>
          <w:sz w:val="24"/>
          <w:szCs w:val="24"/>
        </w:rPr>
      </w:pPr>
    </w:p>
    <w:p w14:paraId="40EFC4AF">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4.6“节能产品政府采购品目清单”强制节能产品情况（如有）</w:t>
      </w:r>
    </w:p>
    <w:p w14:paraId="3835DAF1">
      <w:pPr>
        <w:autoSpaceDE w:val="0"/>
        <w:autoSpaceDN w:val="0"/>
        <w:adjustRightInd w:val="0"/>
        <w:spacing w:line="360" w:lineRule="auto"/>
        <w:jc w:val="center"/>
        <w:outlineLvl w:val="0"/>
        <w:rPr>
          <w:rFonts w:hint="eastAsia" w:ascii="宋体"/>
          <w:b/>
          <w:bCs/>
          <w:sz w:val="24"/>
          <w:szCs w:val="24"/>
        </w:rPr>
      </w:pPr>
    </w:p>
    <w:p w14:paraId="166F1364">
      <w:pPr>
        <w:spacing w:before="50" w:after="162" w:afterLines="50" w:line="360" w:lineRule="auto"/>
        <w:contextualSpacing/>
        <w:jc w:val="left"/>
        <w:rPr>
          <w:rFonts w:hint="eastAsia" w:ascii="宋体"/>
          <w:sz w:val="24"/>
          <w:szCs w:val="24"/>
        </w:rPr>
      </w:pPr>
      <w:r>
        <w:rPr>
          <w:rFonts w:hint="eastAsia" w:ascii="宋体"/>
          <w:sz w:val="24"/>
          <w:szCs w:val="24"/>
        </w:rPr>
        <w:t>项目编号：</w:t>
      </w:r>
    </w:p>
    <w:p w14:paraId="61DFB326">
      <w:pPr>
        <w:tabs>
          <w:tab w:val="left" w:pos="1800"/>
          <w:tab w:val="left" w:pos="5580"/>
        </w:tabs>
        <w:spacing w:line="360" w:lineRule="auto"/>
        <w:rPr>
          <w:rFonts w:hint="eastAsia" w:ascii="宋体"/>
          <w:sz w:val="24"/>
          <w:szCs w:val="24"/>
        </w:rPr>
      </w:pPr>
      <w:r>
        <w:rPr>
          <w:rFonts w:hint="eastAsia" w:ascii="宋体"/>
          <w:sz w:val="24"/>
          <w:szCs w:val="24"/>
        </w:rPr>
        <w:t>项目名称：</w:t>
      </w:r>
    </w:p>
    <w:p w14:paraId="4D9C12FC">
      <w:pPr>
        <w:tabs>
          <w:tab w:val="left" w:pos="1800"/>
          <w:tab w:val="left" w:pos="5580"/>
        </w:tabs>
        <w:spacing w:line="360" w:lineRule="auto"/>
        <w:rPr>
          <w:rFonts w:hint="eastAsia" w:ascii="宋体"/>
          <w:sz w:val="24"/>
          <w:szCs w:val="24"/>
        </w:rPr>
      </w:pPr>
    </w:p>
    <w:tbl>
      <w:tblPr>
        <w:tblStyle w:val="19"/>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1498"/>
        <w:gridCol w:w="1654"/>
        <w:gridCol w:w="1352"/>
        <w:gridCol w:w="1797"/>
        <w:gridCol w:w="1744"/>
        <w:gridCol w:w="1545"/>
      </w:tblGrid>
      <w:tr w14:paraId="3E75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72" w:type="dxa"/>
            <w:shd w:val="clear" w:color="auto" w:fill="F2F2F2"/>
            <w:noWrap w:val="0"/>
            <w:vAlign w:val="center"/>
          </w:tcPr>
          <w:p w14:paraId="38B92026">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498" w:type="dxa"/>
            <w:shd w:val="clear" w:color="auto" w:fill="F2F2F2"/>
            <w:noWrap w:val="0"/>
            <w:vAlign w:val="center"/>
          </w:tcPr>
          <w:p w14:paraId="5689E79A">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产品名称</w:t>
            </w:r>
          </w:p>
        </w:tc>
        <w:tc>
          <w:tcPr>
            <w:tcW w:w="1654" w:type="dxa"/>
            <w:shd w:val="clear" w:color="auto" w:fill="F2F2F2"/>
            <w:noWrap w:val="0"/>
            <w:vAlign w:val="center"/>
          </w:tcPr>
          <w:p w14:paraId="642A80D9">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品牌</w:t>
            </w:r>
          </w:p>
        </w:tc>
        <w:tc>
          <w:tcPr>
            <w:tcW w:w="1352" w:type="dxa"/>
            <w:shd w:val="clear" w:color="auto" w:fill="F2F2F2"/>
            <w:noWrap w:val="0"/>
            <w:vAlign w:val="center"/>
          </w:tcPr>
          <w:p w14:paraId="031F9C1F">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产品型号</w:t>
            </w:r>
          </w:p>
        </w:tc>
        <w:tc>
          <w:tcPr>
            <w:tcW w:w="1797" w:type="dxa"/>
            <w:shd w:val="clear" w:color="auto" w:fill="F2F2F2"/>
            <w:noWrap w:val="0"/>
            <w:vAlign w:val="center"/>
          </w:tcPr>
          <w:p w14:paraId="40AF63F8">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认证证书编号</w:t>
            </w:r>
          </w:p>
        </w:tc>
        <w:tc>
          <w:tcPr>
            <w:tcW w:w="1744" w:type="dxa"/>
            <w:shd w:val="clear" w:color="auto" w:fill="F2F2F2"/>
            <w:noWrap w:val="0"/>
            <w:vAlign w:val="center"/>
          </w:tcPr>
          <w:p w14:paraId="77700FC8">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证书有效期</w:t>
            </w:r>
          </w:p>
        </w:tc>
        <w:tc>
          <w:tcPr>
            <w:tcW w:w="1545" w:type="dxa"/>
            <w:shd w:val="clear" w:color="auto" w:fill="F2F2F2"/>
            <w:noWrap w:val="0"/>
            <w:vAlign w:val="center"/>
          </w:tcPr>
          <w:p w14:paraId="6C382E6B">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认证机构</w:t>
            </w:r>
          </w:p>
        </w:tc>
      </w:tr>
      <w:tr w14:paraId="035F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00BA3A96">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1</w:t>
            </w:r>
          </w:p>
        </w:tc>
        <w:tc>
          <w:tcPr>
            <w:tcW w:w="1498" w:type="dxa"/>
            <w:noWrap w:val="0"/>
            <w:vAlign w:val="center"/>
          </w:tcPr>
          <w:p w14:paraId="58392CB0">
            <w:pPr>
              <w:pStyle w:val="6"/>
              <w:spacing w:line="360" w:lineRule="auto"/>
              <w:rPr>
                <w:rFonts w:hint="eastAsia" w:ascii="宋体" w:hAnsi="宋体" w:eastAsia="宋体" w:cs="Times New Roman"/>
                <w:sz w:val="24"/>
                <w:szCs w:val="24"/>
                <w:lang w:bidi="ar-SA"/>
              </w:rPr>
            </w:pPr>
          </w:p>
        </w:tc>
        <w:tc>
          <w:tcPr>
            <w:tcW w:w="1654" w:type="dxa"/>
            <w:noWrap w:val="0"/>
            <w:vAlign w:val="center"/>
          </w:tcPr>
          <w:p w14:paraId="448739F6">
            <w:pPr>
              <w:pStyle w:val="6"/>
              <w:spacing w:line="360" w:lineRule="auto"/>
              <w:rPr>
                <w:rFonts w:hint="eastAsia" w:ascii="宋体" w:hAnsi="宋体" w:eastAsia="宋体" w:cs="Times New Roman"/>
                <w:sz w:val="24"/>
                <w:szCs w:val="24"/>
                <w:lang w:bidi="ar-SA"/>
              </w:rPr>
            </w:pPr>
          </w:p>
        </w:tc>
        <w:tc>
          <w:tcPr>
            <w:tcW w:w="1352" w:type="dxa"/>
            <w:noWrap w:val="0"/>
            <w:vAlign w:val="top"/>
          </w:tcPr>
          <w:p w14:paraId="22170C13">
            <w:pPr>
              <w:pStyle w:val="6"/>
              <w:spacing w:line="360" w:lineRule="auto"/>
              <w:rPr>
                <w:rFonts w:hint="eastAsia" w:ascii="宋体" w:hAnsi="宋体" w:eastAsia="宋体" w:cs="Times New Roman"/>
                <w:sz w:val="24"/>
                <w:szCs w:val="24"/>
                <w:lang w:bidi="ar-SA"/>
              </w:rPr>
            </w:pPr>
          </w:p>
        </w:tc>
        <w:tc>
          <w:tcPr>
            <w:tcW w:w="1797" w:type="dxa"/>
            <w:noWrap w:val="0"/>
            <w:vAlign w:val="top"/>
          </w:tcPr>
          <w:p w14:paraId="4920E6B5">
            <w:pPr>
              <w:pStyle w:val="6"/>
              <w:spacing w:line="360" w:lineRule="auto"/>
              <w:rPr>
                <w:rFonts w:hint="eastAsia" w:ascii="宋体" w:hAnsi="宋体" w:eastAsia="宋体" w:cs="Times New Roman"/>
                <w:sz w:val="24"/>
                <w:szCs w:val="24"/>
                <w:lang w:bidi="ar-SA"/>
              </w:rPr>
            </w:pPr>
          </w:p>
        </w:tc>
        <w:tc>
          <w:tcPr>
            <w:tcW w:w="1744" w:type="dxa"/>
            <w:noWrap w:val="0"/>
            <w:vAlign w:val="top"/>
          </w:tcPr>
          <w:p w14:paraId="6A85977A">
            <w:pPr>
              <w:pStyle w:val="6"/>
              <w:spacing w:line="360" w:lineRule="auto"/>
              <w:rPr>
                <w:rFonts w:hint="eastAsia" w:ascii="宋体" w:hAnsi="宋体" w:eastAsia="宋体" w:cs="Times New Roman"/>
                <w:sz w:val="24"/>
                <w:szCs w:val="24"/>
                <w:lang w:bidi="ar-SA"/>
              </w:rPr>
            </w:pPr>
          </w:p>
        </w:tc>
        <w:tc>
          <w:tcPr>
            <w:tcW w:w="1545" w:type="dxa"/>
            <w:noWrap w:val="0"/>
            <w:vAlign w:val="top"/>
          </w:tcPr>
          <w:p w14:paraId="0F1097FF">
            <w:pPr>
              <w:pStyle w:val="6"/>
              <w:spacing w:line="360" w:lineRule="auto"/>
              <w:rPr>
                <w:rFonts w:hint="eastAsia" w:ascii="宋体" w:hAnsi="宋体" w:eastAsia="宋体" w:cs="Times New Roman"/>
                <w:sz w:val="24"/>
                <w:szCs w:val="24"/>
                <w:lang w:bidi="ar-SA"/>
              </w:rPr>
            </w:pPr>
          </w:p>
        </w:tc>
      </w:tr>
      <w:tr w14:paraId="3ED1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222724FD">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2</w:t>
            </w:r>
          </w:p>
        </w:tc>
        <w:tc>
          <w:tcPr>
            <w:tcW w:w="1498" w:type="dxa"/>
            <w:noWrap w:val="0"/>
            <w:vAlign w:val="center"/>
          </w:tcPr>
          <w:p w14:paraId="1F5F151F">
            <w:pPr>
              <w:pStyle w:val="6"/>
              <w:spacing w:line="360" w:lineRule="auto"/>
              <w:rPr>
                <w:rFonts w:hint="eastAsia" w:ascii="宋体" w:hAnsi="宋体" w:eastAsia="宋体" w:cs="Times New Roman"/>
                <w:sz w:val="24"/>
                <w:szCs w:val="24"/>
                <w:lang w:bidi="ar-SA"/>
              </w:rPr>
            </w:pPr>
          </w:p>
        </w:tc>
        <w:tc>
          <w:tcPr>
            <w:tcW w:w="1654" w:type="dxa"/>
            <w:noWrap w:val="0"/>
            <w:vAlign w:val="center"/>
          </w:tcPr>
          <w:p w14:paraId="13728619">
            <w:pPr>
              <w:pStyle w:val="6"/>
              <w:spacing w:line="360" w:lineRule="auto"/>
              <w:rPr>
                <w:rFonts w:hint="eastAsia" w:ascii="宋体" w:hAnsi="宋体" w:eastAsia="宋体" w:cs="Times New Roman"/>
                <w:sz w:val="24"/>
                <w:szCs w:val="24"/>
                <w:lang w:bidi="ar-SA"/>
              </w:rPr>
            </w:pPr>
          </w:p>
        </w:tc>
        <w:tc>
          <w:tcPr>
            <w:tcW w:w="1352" w:type="dxa"/>
            <w:noWrap w:val="0"/>
            <w:vAlign w:val="top"/>
          </w:tcPr>
          <w:p w14:paraId="76F4B7AA">
            <w:pPr>
              <w:pStyle w:val="6"/>
              <w:spacing w:line="360" w:lineRule="auto"/>
              <w:rPr>
                <w:rFonts w:hint="eastAsia" w:ascii="宋体" w:hAnsi="宋体" w:eastAsia="宋体" w:cs="Times New Roman"/>
                <w:sz w:val="24"/>
                <w:szCs w:val="24"/>
                <w:lang w:bidi="ar-SA"/>
              </w:rPr>
            </w:pPr>
          </w:p>
        </w:tc>
        <w:tc>
          <w:tcPr>
            <w:tcW w:w="1797" w:type="dxa"/>
            <w:noWrap w:val="0"/>
            <w:vAlign w:val="top"/>
          </w:tcPr>
          <w:p w14:paraId="2FDDC595">
            <w:pPr>
              <w:pStyle w:val="6"/>
              <w:spacing w:line="360" w:lineRule="auto"/>
              <w:rPr>
                <w:rFonts w:hint="eastAsia" w:ascii="宋体" w:hAnsi="宋体" w:eastAsia="宋体" w:cs="Times New Roman"/>
                <w:sz w:val="24"/>
                <w:szCs w:val="24"/>
                <w:lang w:bidi="ar-SA"/>
              </w:rPr>
            </w:pPr>
          </w:p>
        </w:tc>
        <w:tc>
          <w:tcPr>
            <w:tcW w:w="1744" w:type="dxa"/>
            <w:noWrap w:val="0"/>
            <w:vAlign w:val="top"/>
          </w:tcPr>
          <w:p w14:paraId="71728BE3">
            <w:pPr>
              <w:pStyle w:val="6"/>
              <w:spacing w:line="360" w:lineRule="auto"/>
              <w:rPr>
                <w:rFonts w:hint="eastAsia" w:ascii="宋体" w:hAnsi="宋体" w:eastAsia="宋体" w:cs="Times New Roman"/>
                <w:sz w:val="24"/>
                <w:szCs w:val="24"/>
                <w:lang w:bidi="ar-SA"/>
              </w:rPr>
            </w:pPr>
          </w:p>
        </w:tc>
        <w:tc>
          <w:tcPr>
            <w:tcW w:w="1545" w:type="dxa"/>
            <w:noWrap w:val="0"/>
            <w:vAlign w:val="top"/>
          </w:tcPr>
          <w:p w14:paraId="2E58A714">
            <w:pPr>
              <w:pStyle w:val="6"/>
              <w:spacing w:line="360" w:lineRule="auto"/>
              <w:rPr>
                <w:rFonts w:hint="eastAsia" w:ascii="宋体" w:hAnsi="宋体" w:eastAsia="宋体" w:cs="Times New Roman"/>
                <w:sz w:val="24"/>
                <w:szCs w:val="24"/>
                <w:lang w:bidi="ar-SA"/>
              </w:rPr>
            </w:pPr>
          </w:p>
        </w:tc>
      </w:tr>
      <w:tr w14:paraId="18180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1A496431">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498" w:type="dxa"/>
            <w:noWrap w:val="0"/>
            <w:vAlign w:val="center"/>
          </w:tcPr>
          <w:p w14:paraId="3ADD61B9">
            <w:pPr>
              <w:pStyle w:val="6"/>
              <w:spacing w:line="360" w:lineRule="auto"/>
              <w:rPr>
                <w:rFonts w:hint="eastAsia" w:ascii="宋体" w:hAnsi="宋体" w:eastAsia="宋体" w:cs="Times New Roman"/>
                <w:sz w:val="24"/>
                <w:szCs w:val="24"/>
                <w:lang w:bidi="ar-SA"/>
              </w:rPr>
            </w:pPr>
          </w:p>
        </w:tc>
        <w:tc>
          <w:tcPr>
            <w:tcW w:w="1654" w:type="dxa"/>
            <w:noWrap w:val="0"/>
            <w:vAlign w:val="center"/>
          </w:tcPr>
          <w:p w14:paraId="618BF93D">
            <w:pPr>
              <w:pStyle w:val="6"/>
              <w:spacing w:line="360" w:lineRule="auto"/>
              <w:rPr>
                <w:rFonts w:hint="eastAsia" w:ascii="宋体" w:hAnsi="宋体" w:eastAsia="宋体" w:cs="Times New Roman"/>
                <w:sz w:val="24"/>
                <w:szCs w:val="24"/>
                <w:lang w:bidi="ar-SA"/>
              </w:rPr>
            </w:pPr>
          </w:p>
        </w:tc>
        <w:tc>
          <w:tcPr>
            <w:tcW w:w="1352" w:type="dxa"/>
            <w:noWrap w:val="0"/>
            <w:vAlign w:val="top"/>
          </w:tcPr>
          <w:p w14:paraId="1ABE221E">
            <w:pPr>
              <w:pStyle w:val="6"/>
              <w:spacing w:line="360" w:lineRule="auto"/>
              <w:rPr>
                <w:rFonts w:hint="eastAsia" w:ascii="宋体" w:hAnsi="宋体" w:eastAsia="宋体" w:cs="Times New Roman"/>
                <w:sz w:val="24"/>
                <w:szCs w:val="24"/>
                <w:lang w:bidi="ar-SA"/>
              </w:rPr>
            </w:pPr>
          </w:p>
        </w:tc>
        <w:tc>
          <w:tcPr>
            <w:tcW w:w="1797" w:type="dxa"/>
            <w:noWrap w:val="0"/>
            <w:vAlign w:val="top"/>
          </w:tcPr>
          <w:p w14:paraId="34397503">
            <w:pPr>
              <w:pStyle w:val="6"/>
              <w:spacing w:line="360" w:lineRule="auto"/>
              <w:rPr>
                <w:rFonts w:hint="eastAsia" w:ascii="宋体" w:hAnsi="宋体" w:eastAsia="宋体" w:cs="Times New Roman"/>
                <w:sz w:val="24"/>
                <w:szCs w:val="24"/>
                <w:lang w:bidi="ar-SA"/>
              </w:rPr>
            </w:pPr>
          </w:p>
        </w:tc>
        <w:tc>
          <w:tcPr>
            <w:tcW w:w="1744" w:type="dxa"/>
            <w:noWrap w:val="0"/>
            <w:vAlign w:val="top"/>
          </w:tcPr>
          <w:p w14:paraId="3ACF4F05">
            <w:pPr>
              <w:pStyle w:val="6"/>
              <w:spacing w:line="360" w:lineRule="auto"/>
              <w:rPr>
                <w:rFonts w:hint="eastAsia" w:ascii="宋体" w:hAnsi="宋体" w:eastAsia="宋体" w:cs="Times New Roman"/>
                <w:sz w:val="24"/>
                <w:szCs w:val="24"/>
                <w:lang w:bidi="ar-SA"/>
              </w:rPr>
            </w:pPr>
          </w:p>
        </w:tc>
        <w:tc>
          <w:tcPr>
            <w:tcW w:w="1545" w:type="dxa"/>
            <w:noWrap w:val="0"/>
            <w:vAlign w:val="top"/>
          </w:tcPr>
          <w:p w14:paraId="411C1AE8">
            <w:pPr>
              <w:pStyle w:val="6"/>
              <w:spacing w:line="360" w:lineRule="auto"/>
              <w:rPr>
                <w:rFonts w:hint="eastAsia" w:ascii="宋体" w:hAnsi="宋体" w:eastAsia="宋体" w:cs="Times New Roman"/>
                <w:sz w:val="24"/>
                <w:szCs w:val="24"/>
                <w:lang w:bidi="ar-SA"/>
              </w:rPr>
            </w:pPr>
          </w:p>
        </w:tc>
      </w:tr>
    </w:tbl>
    <w:p w14:paraId="2DAFAF25">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14:paraId="6E304B53">
      <w:pPr>
        <w:autoSpaceDE w:val="0"/>
        <w:autoSpaceDN w:val="0"/>
        <w:adjustRightInd w:val="0"/>
        <w:spacing w:line="480" w:lineRule="auto"/>
        <w:rPr>
          <w:rFonts w:hint="eastAsia" w:ascii="宋体" w:cs="宋体"/>
          <w:sz w:val="24"/>
          <w:szCs w:val="24"/>
          <w:lang w:val="zh-CN" w:eastAsia="zh-CN" w:bidi="ar-SA"/>
        </w:rPr>
      </w:pPr>
    </w:p>
    <w:p w14:paraId="5930CD0B">
      <w:pPr>
        <w:snapToGrid w:val="0"/>
        <w:spacing w:line="500" w:lineRule="exact"/>
        <w:rPr>
          <w:rFonts w:hint="eastAsia" w:ascii="宋体" w:cs="宋体"/>
          <w:sz w:val="24"/>
          <w:szCs w:val="24"/>
          <w:lang w:val="zh-CN" w:eastAsia="zh-CN" w:bidi="ar-SA"/>
        </w:rPr>
      </w:pPr>
    </w:p>
    <w:p w14:paraId="2F18AC93">
      <w:pPr>
        <w:rPr>
          <w:rFonts w:hint="eastAsia" w:ascii="宋体" w:cs="宋体"/>
          <w:sz w:val="24"/>
          <w:szCs w:val="24"/>
          <w:lang w:val="zh-CN" w:eastAsia="zh-CN" w:bidi="ar-SA"/>
        </w:rPr>
      </w:pPr>
      <w:r>
        <w:rPr>
          <w:rFonts w:hint="eastAsia" w:ascii="宋体" w:cs="宋体"/>
          <w:sz w:val="24"/>
          <w:szCs w:val="24"/>
          <w:lang w:val="zh-CN" w:eastAsia="zh-CN" w:bidi="ar-SA"/>
        </w:rPr>
        <w:t>说明：所投产品节能认证证书须附后。</w:t>
      </w:r>
    </w:p>
    <w:p w14:paraId="62E4721C">
      <w:pPr>
        <w:autoSpaceDE w:val="0"/>
        <w:autoSpaceDN w:val="0"/>
        <w:adjustRightInd w:val="0"/>
        <w:spacing w:line="360" w:lineRule="auto"/>
        <w:jc w:val="center"/>
        <w:outlineLvl w:val="0"/>
        <w:rPr>
          <w:rFonts w:hint="eastAsia" w:ascii="宋体"/>
          <w:b/>
          <w:bCs/>
          <w:sz w:val="24"/>
          <w:szCs w:val="24"/>
        </w:rPr>
      </w:pPr>
    </w:p>
    <w:p w14:paraId="3ED5B6E8">
      <w:pPr>
        <w:autoSpaceDE w:val="0"/>
        <w:autoSpaceDN w:val="0"/>
        <w:adjustRightInd w:val="0"/>
        <w:spacing w:line="360" w:lineRule="auto"/>
        <w:jc w:val="center"/>
        <w:outlineLvl w:val="0"/>
        <w:rPr>
          <w:rFonts w:hint="eastAsia" w:ascii="宋体"/>
          <w:b/>
          <w:bCs/>
          <w:sz w:val="24"/>
          <w:szCs w:val="24"/>
        </w:rPr>
      </w:pPr>
    </w:p>
    <w:p w14:paraId="06D639C8">
      <w:pPr>
        <w:autoSpaceDE w:val="0"/>
        <w:autoSpaceDN w:val="0"/>
        <w:adjustRightInd w:val="0"/>
        <w:spacing w:line="360" w:lineRule="auto"/>
        <w:jc w:val="center"/>
        <w:outlineLvl w:val="0"/>
        <w:rPr>
          <w:rFonts w:hint="eastAsia" w:ascii="宋体"/>
          <w:b/>
          <w:bCs/>
          <w:sz w:val="24"/>
          <w:szCs w:val="24"/>
        </w:rPr>
      </w:pPr>
    </w:p>
    <w:p w14:paraId="6055ED30">
      <w:pPr>
        <w:autoSpaceDE w:val="0"/>
        <w:autoSpaceDN w:val="0"/>
        <w:adjustRightInd w:val="0"/>
        <w:spacing w:line="360" w:lineRule="auto"/>
        <w:jc w:val="center"/>
        <w:outlineLvl w:val="0"/>
        <w:rPr>
          <w:rFonts w:hint="eastAsia" w:ascii="宋体"/>
          <w:b/>
          <w:bCs/>
          <w:sz w:val="24"/>
          <w:szCs w:val="24"/>
        </w:rPr>
      </w:pPr>
    </w:p>
    <w:p w14:paraId="5FA5D583">
      <w:pPr>
        <w:autoSpaceDE w:val="0"/>
        <w:autoSpaceDN w:val="0"/>
        <w:adjustRightInd w:val="0"/>
        <w:spacing w:line="360" w:lineRule="auto"/>
        <w:jc w:val="center"/>
        <w:outlineLvl w:val="0"/>
        <w:rPr>
          <w:rFonts w:hint="eastAsia" w:ascii="宋体"/>
          <w:b/>
          <w:bCs/>
          <w:sz w:val="24"/>
          <w:szCs w:val="24"/>
        </w:rPr>
      </w:pPr>
    </w:p>
    <w:p w14:paraId="7BB941C9">
      <w:pPr>
        <w:autoSpaceDE w:val="0"/>
        <w:autoSpaceDN w:val="0"/>
        <w:adjustRightInd w:val="0"/>
        <w:spacing w:line="360" w:lineRule="auto"/>
        <w:jc w:val="center"/>
        <w:outlineLvl w:val="0"/>
        <w:rPr>
          <w:rFonts w:hint="eastAsia" w:ascii="宋体"/>
          <w:b/>
          <w:bCs/>
          <w:sz w:val="24"/>
          <w:szCs w:val="24"/>
        </w:rPr>
      </w:pPr>
    </w:p>
    <w:p w14:paraId="79128F86">
      <w:pPr>
        <w:autoSpaceDE w:val="0"/>
        <w:autoSpaceDN w:val="0"/>
        <w:adjustRightInd w:val="0"/>
        <w:spacing w:line="360" w:lineRule="auto"/>
        <w:jc w:val="center"/>
        <w:outlineLvl w:val="0"/>
        <w:rPr>
          <w:rFonts w:hint="eastAsia" w:ascii="宋体"/>
          <w:b/>
          <w:bCs/>
          <w:sz w:val="24"/>
          <w:szCs w:val="24"/>
        </w:rPr>
      </w:pPr>
    </w:p>
    <w:p w14:paraId="319F4D46">
      <w:pPr>
        <w:autoSpaceDE w:val="0"/>
        <w:autoSpaceDN w:val="0"/>
        <w:adjustRightInd w:val="0"/>
        <w:spacing w:line="360" w:lineRule="auto"/>
        <w:jc w:val="center"/>
        <w:outlineLvl w:val="0"/>
        <w:rPr>
          <w:rFonts w:hint="eastAsia" w:ascii="宋体"/>
          <w:b/>
          <w:bCs/>
          <w:sz w:val="24"/>
          <w:szCs w:val="24"/>
        </w:rPr>
      </w:pPr>
    </w:p>
    <w:p w14:paraId="312B7986">
      <w:pPr>
        <w:autoSpaceDE w:val="0"/>
        <w:autoSpaceDN w:val="0"/>
        <w:adjustRightInd w:val="0"/>
        <w:spacing w:line="360" w:lineRule="auto"/>
        <w:jc w:val="center"/>
        <w:outlineLvl w:val="0"/>
        <w:rPr>
          <w:rFonts w:hint="eastAsia" w:ascii="宋体"/>
          <w:b/>
          <w:bCs/>
          <w:sz w:val="24"/>
          <w:szCs w:val="24"/>
        </w:rPr>
      </w:pPr>
    </w:p>
    <w:p w14:paraId="2CF3B72F">
      <w:pPr>
        <w:autoSpaceDE w:val="0"/>
        <w:autoSpaceDN w:val="0"/>
        <w:adjustRightInd w:val="0"/>
        <w:spacing w:line="360" w:lineRule="auto"/>
        <w:jc w:val="center"/>
        <w:outlineLvl w:val="0"/>
        <w:rPr>
          <w:rFonts w:hint="eastAsia" w:ascii="宋体"/>
          <w:b/>
          <w:bCs/>
          <w:sz w:val="24"/>
          <w:szCs w:val="24"/>
        </w:rPr>
      </w:pPr>
    </w:p>
    <w:p w14:paraId="4BEAB9A6">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4.7“节能产品政府采购品目清单”优先采购节能产品情况（如有）</w:t>
      </w:r>
    </w:p>
    <w:p w14:paraId="75B87134">
      <w:pPr>
        <w:autoSpaceDE w:val="0"/>
        <w:autoSpaceDN w:val="0"/>
        <w:adjustRightInd w:val="0"/>
        <w:spacing w:line="360" w:lineRule="auto"/>
        <w:jc w:val="center"/>
        <w:outlineLvl w:val="0"/>
        <w:rPr>
          <w:rFonts w:hint="eastAsia" w:ascii="宋体"/>
          <w:b/>
          <w:bCs/>
          <w:sz w:val="24"/>
          <w:szCs w:val="24"/>
        </w:rPr>
      </w:pPr>
    </w:p>
    <w:p w14:paraId="1CE49F91">
      <w:pPr>
        <w:spacing w:before="50" w:after="162" w:afterLines="50" w:line="360" w:lineRule="auto"/>
        <w:contextualSpacing/>
        <w:jc w:val="left"/>
        <w:rPr>
          <w:rFonts w:hint="eastAsia" w:ascii="宋体"/>
          <w:sz w:val="24"/>
          <w:szCs w:val="24"/>
        </w:rPr>
      </w:pPr>
      <w:r>
        <w:rPr>
          <w:rFonts w:hint="eastAsia" w:ascii="宋体"/>
          <w:sz w:val="24"/>
          <w:szCs w:val="24"/>
        </w:rPr>
        <w:t>项目编号：</w:t>
      </w:r>
    </w:p>
    <w:p w14:paraId="1DE162FA">
      <w:pPr>
        <w:tabs>
          <w:tab w:val="left" w:pos="1800"/>
          <w:tab w:val="left" w:pos="5580"/>
        </w:tabs>
        <w:spacing w:line="360" w:lineRule="auto"/>
        <w:rPr>
          <w:rFonts w:hint="eastAsia" w:ascii="宋体"/>
          <w:sz w:val="24"/>
          <w:szCs w:val="24"/>
        </w:rPr>
      </w:pPr>
      <w:r>
        <w:rPr>
          <w:rFonts w:hint="eastAsia" w:ascii="宋体"/>
          <w:sz w:val="24"/>
          <w:szCs w:val="24"/>
        </w:rPr>
        <w:t>项目名称：</w:t>
      </w:r>
    </w:p>
    <w:p w14:paraId="0A725DB2">
      <w:pPr>
        <w:tabs>
          <w:tab w:val="left" w:pos="1800"/>
          <w:tab w:val="left" w:pos="5580"/>
        </w:tabs>
        <w:spacing w:line="360" w:lineRule="auto"/>
        <w:rPr>
          <w:rFonts w:hint="eastAsia" w:ascii="宋体"/>
          <w:sz w:val="24"/>
          <w:szCs w:val="24"/>
        </w:rPr>
      </w:pPr>
    </w:p>
    <w:tbl>
      <w:tblPr>
        <w:tblStyle w:val="19"/>
        <w:tblW w:w="51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1498"/>
        <w:gridCol w:w="1653"/>
        <w:gridCol w:w="1352"/>
        <w:gridCol w:w="1797"/>
        <w:gridCol w:w="1744"/>
        <w:gridCol w:w="1545"/>
      </w:tblGrid>
      <w:tr w14:paraId="542F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71" w:type="dxa"/>
            <w:shd w:val="clear" w:color="auto" w:fill="F2F2F2"/>
            <w:noWrap w:val="0"/>
            <w:vAlign w:val="center"/>
          </w:tcPr>
          <w:p w14:paraId="2E7EAE4B">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498" w:type="dxa"/>
            <w:shd w:val="clear" w:color="auto" w:fill="F2F2F2"/>
            <w:noWrap w:val="0"/>
            <w:vAlign w:val="center"/>
          </w:tcPr>
          <w:p w14:paraId="74373B82">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产品名称</w:t>
            </w:r>
          </w:p>
        </w:tc>
        <w:tc>
          <w:tcPr>
            <w:tcW w:w="1653" w:type="dxa"/>
            <w:shd w:val="clear" w:color="auto" w:fill="F2F2F2"/>
            <w:noWrap w:val="0"/>
            <w:vAlign w:val="center"/>
          </w:tcPr>
          <w:p w14:paraId="3A35E521">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品牌</w:t>
            </w:r>
          </w:p>
        </w:tc>
        <w:tc>
          <w:tcPr>
            <w:tcW w:w="1352" w:type="dxa"/>
            <w:shd w:val="clear" w:color="auto" w:fill="F2F2F2"/>
            <w:noWrap w:val="0"/>
            <w:vAlign w:val="center"/>
          </w:tcPr>
          <w:p w14:paraId="0C920BE2">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产品型号</w:t>
            </w:r>
          </w:p>
        </w:tc>
        <w:tc>
          <w:tcPr>
            <w:tcW w:w="1797" w:type="dxa"/>
            <w:shd w:val="clear" w:color="auto" w:fill="F2F2F2"/>
            <w:noWrap w:val="0"/>
            <w:vAlign w:val="center"/>
          </w:tcPr>
          <w:p w14:paraId="186F13F7">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认证证书编号</w:t>
            </w:r>
          </w:p>
        </w:tc>
        <w:tc>
          <w:tcPr>
            <w:tcW w:w="1744" w:type="dxa"/>
            <w:shd w:val="clear" w:color="auto" w:fill="F2F2F2"/>
            <w:noWrap w:val="0"/>
            <w:vAlign w:val="center"/>
          </w:tcPr>
          <w:p w14:paraId="7C82B6F5">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证书有效期</w:t>
            </w:r>
          </w:p>
        </w:tc>
        <w:tc>
          <w:tcPr>
            <w:tcW w:w="1545" w:type="dxa"/>
            <w:shd w:val="clear" w:color="auto" w:fill="F2F2F2"/>
            <w:noWrap w:val="0"/>
            <w:vAlign w:val="center"/>
          </w:tcPr>
          <w:p w14:paraId="133B269D">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认证机构</w:t>
            </w:r>
          </w:p>
        </w:tc>
      </w:tr>
      <w:tr w14:paraId="72C9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1" w:type="dxa"/>
            <w:noWrap w:val="0"/>
            <w:vAlign w:val="center"/>
          </w:tcPr>
          <w:p w14:paraId="3BE10662">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1</w:t>
            </w:r>
          </w:p>
        </w:tc>
        <w:tc>
          <w:tcPr>
            <w:tcW w:w="1498" w:type="dxa"/>
            <w:noWrap w:val="0"/>
            <w:vAlign w:val="center"/>
          </w:tcPr>
          <w:p w14:paraId="454E2CAE">
            <w:pPr>
              <w:pStyle w:val="6"/>
              <w:spacing w:line="360" w:lineRule="auto"/>
              <w:rPr>
                <w:rFonts w:hint="eastAsia" w:ascii="宋体" w:hAnsi="宋体" w:eastAsia="宋体" w:cs="Times New Roman"/>
                <w:sz w:val="24"/>
                <w:szCs w:val="24"/>
                <w:lang w:bidi="ar-SA"/>
              </w:rPr>
            </w:pPr>
          </w:p>
        </w:tc>
        <w:tc>
          <w:tcPr>
            <w:tcW w:w="1653" w:type="dxa"/>
            <w:noWrap w:val="0"/>
            <w:vAlign w:val="center"/>
          </w:tcPr>
          <w:p w14:paraId="57740829">
            <w:pPr>
              <w:pStyle w:val="6"/>
              <w:spacing w:line="360" w:lineRule="auto"/>
              <w:rPr>
                <w:rFonts w:hint="eastAsia" w:ascii="宋体" w:hAnsi="宋体" w:eastAsia="宋体" w:cs="Times New Roman"/>
                <w:sz w:val="24"/>
                <w:szCs w:val="24"/>
                <w:lang w:bidi="ar-SA"/>
              </w:rPr>
            </w:pPr>
          </w:p>
        </w:tc>
        <w:tc>
          <w:tcPr>
            <w:tcW w:w="1352" w:type="dxa"/>
            <w:noWrap w:val="0"/>
            <w:vAlign w:val="top"/>
          </w:tcPr>
          <w:p w14:paraId="17DACB46">
            <w:pPr>
              <w:pStyle w:val="6"/>
              <w:spacing w:line="360" w:lineRule="auto"/>
              <w:rPr>
                <w:rFonts w:hint="eastAsia" w:ascii="宋体" w:hAnsi="宋体" w:eastAsia="宋体" w:cs="Times New Roman"/>
                <w:sz w:val="24"/>
                <w:szCs w:val="24"/>
                <w:lang w:bidi="ar-SA"/>
              </w:rPr>
            </w:pPr>
          </w:p>
        </w:tc>
        <w:tc>
          <w:tcPr>
            <w:tcW w:w="1797" w:type="dxa"/>
            <w:noWrap w:val="0"/>
            <w:vAlign w:val="top"/>
          </w:tcPr>
          <w:p w14:paraId="12D234E7">
            <w:pPr>
              <w:pStyle w:val="6"/>
              <w:spacing w:line="360" w:lineRule="auto"/>
              <w:rPr>
                <w:rFonts w:hint="eastAsia" w:ascii="宋体" w:hAnsi="宋体" w:eastAsia="宋体" w:cs="Times New Roman"/>
                <w:sz w:val="24"/>
                <w:szCs w:val="24"/>
                <w:lang w:bidi="ar-SA"/>
              </w:rPr>
            </w:pPr>
          </w:p>
        </w:tc>
        <w:tc>
          <w:tcPr>
            <w:tcW w:w="1744" w:type="dxa"/>
            <w:noWrap w:val="0"/>
            <w:vAlign w:val="top"/>
          </w:tcPr>
          <w:p w14:paraId="7AC9D5A2">
            <w:pPr>
              <w:pStyle w:val="6"/>
              <w:spacing w:line="360" w:lineRule="auto"/>
              <w:rPr>
                <w:rFonts w:hint="eastAsia" w:ascii="宋体" w:hAnsi="宋体" w:eastAsia="宋体" w:cs="Times New Roman"/>
                <w:sz w:val="24"/>
                <w:szCs w:val="24"/>
                <w:lang w:bidi="ar-SA"/>
              </w:rPr>
            </w:pPr>
          </w:p>
        </w:tc>
        <w:tc>
          <w:tcPr>
            <w:tcW w:w="1545" w:type="dxa"/>
            <w:noWrap w:val="0"/>
            <w:vAlign w:val="top"/>
          </w:tcPr>
          <w:p w14:paraId="07C8A03A">
            <w:pPr>
              <w:pStyle w:val="6"/>
              <w:spacing w:line="360" w:lineRule="auto"/>
              <w:rPr>
                <w:rFonts w:hint="eastAsia" w:ascii="宋体" w:hAnsi="宋体" w:eastAsia="宋体" w:cs="Times New Roman"/>
                <w:sz w:val="24"/>
                <w:szCs w:val="24"/>
                <w:lang w:bidi="ar-SA"/>
              </w:rPr>
            </w:pPr>
          </w:p>
        </w:tc>
      </w:tr>
      <w:tr w14:paraId="4B83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1" w:type="dxa"/>
            <w:noWrap w:val="0"/>
            <w:vAlign w:val="center"/>
          </w:tcPr>
          <w:p w14:paraId="4C7E554B">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2</w:t>
            </w:r>
          </w:p>
        </w:tc>
        <w:tc>
          <w:tcPr>
            <w:tcW w:w="1498" w:type="dxa"/>
            <w:noWrap w:val="0"/>
            <w:vAlign w:val="center"/>
          </w:tcPr>
          <w:p w14:paraId="65BEE52C">
            <w:pPr>
              <w:pStyle w:val="6"/>
              <w:spacing w:line="360" w:lineRule="auto"/>
              <w:rPr>
                <w:rFonts w:hint="eastAsia" w:ascii="宋体" w:hAnsi="宋体" w:eastAsia="宋体" w:cs="Times New Roman"/>
                <w:sz w:val="24"/>
                <w:szCs w:val="24"/>
                <w:lang w:bidi="ar-SA"/>
              </w:rPr>
            </w:pPr>
          </w:p>
        </w:tc>
        <w:tc>
          <w:tcPr>
            <w:tcW w:w="1653" w:type="dxa"/>
            <w:noWrap w:val="0"/>
            <w:vAlign w:val="center"/>
          </w:tcPr>
          <w:p w14:paraId="108CDFCF">
            <w:pPr>
              <w:pStyle w:val="6"/>
              <w:spacing w:line="360" w:lineRule="auto"/>
              <w:rPr>
                <w:rFonts w:hint="eastAsia" w:ascii="宋体" w:hAnsi="宋体" w:eastAsia="宋体" w:cs="Times New Roman"/>
                <w:sz w:val="24"/>
                <w:szCs w:val="24"/>
                <w:lang w:bidi="ar-SA"/>
              </w:rPr>
            </w:pPr>
          </w:p>
        </w:tc>
        <w:tc>
          <w:tcPr>
            <w:tcW w:w="1352" w:type="dxa"/>
            <w:noWrap w:val="0"/>
            <w:vAlign w:val="top"/>
          </w:tcPr>
          <w:p w14:paraId="20767E65">
            <w:pPr>
              <w:pStyle w:val="6"/>
              <w:spacing w:line="360" w:lineRule="auto"/>
              <w:rPr>
                <w:rFonts w:hint="eastAsia" w:ascii="宋体" w:hAnsi="宋体" w:eastAsia="宋体" w:cs="Times New Roman"/>
                <w:sz w:val="24"/>
                <w:szCs w:val="24"/>
                <w:lang w:bidi="ar-SA"/>
              </w:rPr>
            </w:pPr>
          </w:p>
        </w:tc>
        <w:tc>
          <w:tcPr>
            <w:tcW w:w="1797" w:type="dxa"/>
            <w:noWrap w:val="0"/>
            <w:vAlign w:val="top"/>
          </w:tcPr>
          <w:p w14:paraId="10C405AB">
            <w:pPr>
              <w:pStyle w:val="6"/>
              <w:spacing w:line="360" w:lineRule="auto"/>
              <w:rPr>
                <w:rFonts w:hint="eastAsia" w:ascii="宋体" w:hAnsi="宋体" w:eastAsia="宋体" w:cs="Times New Roman"/>
                <w:sz w:val="24"/>
                <w:szCs w:val="24"/>
                <w:lang w:bidi="ar-SA"/>
              </w:rPr>
            </w:pPr>
          </w:p>
        </w:tc>
        <w:tc>
          <w:tcPr>
            <w:tcW w:w="1744" w:type="dxa"/>
            <w:noWrap w:val="0"/>
            <w:vAlign w:val="top"/>
          </w:tcPr>
          <w:p w14:paraId="30ADD878">
            <w:pPr>
              <w:pStyle w:val="6"/>
              <w:spacing w:line="360" w:lineRule="auto"/>
              <w:rPr>
                <w:rFonts w:hint="eastAsia" w:ascii="宋体" w:hAnsi="宋体" w:eastAsia="宋体" w:cs="Times New Roman"/>
                <w:sz w:val="24"/>
                <w:szCs w:val="24"/>
                <w:lang w:bidi="ar-SA"/>
              </w:rPr>
            </w:pPr>
          </w:p>
        </w:tc>
        <w:tc>
          <w:tcPr>
            <w:tcW w:w="1545" w:type="dxa"/>
            <w:noWrap w:val="0"/>
            <w:vAlign w:val="top"/>
          </w:tcPr>
          <w:p w14:paraId="650A3A91">
            <w:pPr>
              <w:pStyle w:val="6"/>
              <w:spacing w:line="360" w:lineRule="auto"/>
              <w:rPr>
                <w:rFonts w:hint="eastAsia" w:ascii="宋体" w:hAnsi="宋体" w:eastAsia="宋体" w:cs="Times New Roman"/>
                <w:sz w:val="24"/>
                <w:szCs w:val="24"/>
                <w:lang w:bidi="ar-SA"/>
              </w:rPr>
            </w:pPr>
          </w:p>
        </w:tc>
      </w:tr>
      <w:tr w14:paraId="7CF87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1" w:type="dxa"/>
            <w:noWrap w:val="0"/>
            <w:vAlign w:val="center"/>
          </w:tcPr>
          <w:p w14:paraId="327D7286">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498" w:type="dxa"/>
            <w:noWrap w:val="0"/>
            <w:vAlign w:val="center"/>
          </w:tcPr>
          <w:p w14:paraId="7EF3C06C">
            <w:pPr>
              <w:pStyle w:val="6"/>
              <w:spacing w:line="360" w:lineRule="auto"/>
              <w:rPr>
                <w:rFonts w:hint="eastAsia" w:ascii="宋体" w:hAnsi="宋体" w:eastAsia="宋体" w:cs="Times New Roman"/>
                <w:sz w:val="24"/>
                <w:szCs w:val="24"/>
                <w:lang w:bidi="ar-SA"/>
              </w:rPr>
            </w:pPr>
          </w:p>
        </w:tc>
        <w:tc>
          <w:tcPr>
            <w:tcW w:w="1653" w:type="dxa"/>
            <w:noWrap w:val="0"/>
            <w:vAlign w:val="center"/>
          </w:tcPr>
          <w:p w14:paraId="7A881D20">
            <w:pPr>
              <w:pStyle w:val="6"/>
              <w:spacing w:line="360" w:lineRule="auto"/>
              <w:rPr>
                <w:rFonts w:hint="eastAsia" w:ascii="宋体" w:hAnsi="宋体" w:eastAsia="宋体" w:cs="Times New Roman"/>
                <w:sz w:val="24"/>
                <w:szCs w:val="24"/>
                <w:lang w:bidi="ar-SA"/>
              </w:rPr>
            </w:pPr>
          </w:p>
        </w:tc>
        <w:tc>
          <w:tcPr>
            <w:tcW w:w="1352" w:type="dxa"/>
            <w:noWrap w:val="0"/>
            <w:vAlign w:val="top"/>
          </w:tcPr>
          <w:p w14:paraId="3D8B70A8">
            <w:pPr>
              <w:pStyle w:val="6"/>
              <w:spacing w:line="360" w:lineRule="auto"/>
              <w:rPr>
                <w:rFonts w:hint="eastAsia" w:ascii="宋体" w:hAnsi="宋体" w:eastAsia="宋体" w:cs="Times New Roman"/>
                <w:sz w:val="24"/>
                <w:szCs w:val="24"/>
                <w:lang w:bidi="ar-SA"/>
              </w:rPr>
            </w:pPr>
          </w:p>
        </w:tc>
        <w:tc>
          <w:tcPr>
            <w:tcW w:w="1797" w:type="dxa"/>
            <w:noWrap w:val="0"/>
            <w:vAlign w:val="top"/>
          </w:tcPr>
          <w:p w14:paraId="3FBEA79B">
            <w:pPr>
              <w:pStyle w:val="6"/>
              <w:spacing w:line="360" w:lineRule="auto"/>
              <w:rPr>
                <w:rFonts w:hint="eastAsia" w:ascii="宋体" w:hAnsi="宋体" w:eastAsia="宋体" w:cs="Times New Roman"/>
                <w:sz w:val="24"/>
                <w:szCs w:val="24"/>
                <w:lang w:bidi="ar-SA"/>
              </w:rPr>
            </w:pPr>
          </w:p>
        </w:tc>
        <w:tc>
          <w:tcPr>
            <w:tcW w:w="1744" w:type="dxa"/>
            <w:noWrap w:val="0"/>
            <w:vAlign w:val="top"/>
          </w:tcPr>
          <w:p w14:paraId="2555C735">
            <w:pPr>
              <w:pStyle w:val="6"/>
              <w:spacing w:line="360" w:lineRule="auto"/>
              <w:rPr>
                <w:rFonts w:hint="eastAsia" w:ascii="宋体" w:hAnsi="宋体" w:eastAsia="宋体" w:cs="Times New Roman"/>
                <w:sz w:val="24"/>
                <w:szCs w:val="24"/>
                <w:lang w:bidi="ar-SA"/>
              </w:rPr>
            </w:pPr>
          </w:p>
        </w:tc>
        <w:tc>
          <w:tcPr>
            <w:tcW w:w="1545" w:type="dxa"/>
            <w:noWrap w:val="0"/>
            <w:vAlign w:val="top"/>
          </w:tcPr>
          <w:p w14:paraId="24631481">
            <w:pPr>
              <w:pStyle w:val="6"/>
              <w:spacing w:line="360" w:lineRule="auto"/>
              <w:rPr>
                <w:rFonts w:hint="eastAsia" w:ascii="宋体" w:hAnsi="宋体" w:eastAsia="宋体" w:cs="Times New Roman"/>
                <w:sz w:val="24"/>
                <w:szCs w:val="24"/>
                <w:lang w:bidi="ar-SA"/>
              </w:rPr>
            </w:pPr>
          </w:p>
        </w:tc>
      </w:tr>
    </w:tbl>
    <w:p w14:paraId="1F9DE236">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14:paraId="4F61B3C6">
      <w:pPr>
        <w:autoSpaceDE w:val="0"/>
        <w:autoSpaceDN w:val="0"/>
        <w:adjustRightInd w:val="0"/>
        <w:spacing w:line="480" w:lineRule="auto"/>
        <w:rPr>
          <w:rFonts w:hint="eastAsia" w:ascii="宋体" w:cs="宋体"/>
          <w:sz w:val="24"/>
          <w:szCs w:val="24"/>
          <w:lang w:val="zh-CN" w:eastAsia="zh-CN" w:bidi="ar-SA"/>
        </w:rPr>
      </w:pPr>
    </w:p>
    <w:p w14:paraId="59710A0B">
      <w:pPr>
        <w:snapToGrid w:val="0"/>
        <w:spacing w:line="500" w:lineRule="exact"/>
        <w:rPr>
          <w:rFonts w:hint="eastAsia" w:ascii="宋体" w:cs="宋体"/>
          <w:sz w:val="24"/>
          <w:szCs w:val="24"/>
          <w:lang w:val="zh-CN" w:eastAsia="zh-CN" w:bidi="ar-SA"/>
        </w:rPr>
      </w:pPr>
    </w:p>
    <w:p w14:paraId="08E71F7A">
      <w:pPr>
        <w:rPr>
          <w:rFonts w:hint="eastAsia" w:ascii="宋体" w:cs="宋体"/>
          <w:sz w:val="24"/>
          <w:szCs w:val="24"/>
          <w:lang w:val="zh-CN" w:eastAsia="zh-CN" w:bidi="ar-SA"/>
        </w:rPr>
      </w:pPr>
      <w:r>
        <w:rPr>
          <w:rFonts w:hint="eastAsia" w:ascii="宋体" w:cs="宋体"/>
          <w:sz w:val="24"/>
          <w:szCs w:val="24"/>
          <w:lang w:val="zh-CN" w:eastAsia="zh-CN" w:bidi="ar-SA"/>
        </w:rPr>
        <w:t>说明：所投产品节能认证证书须附后。</w:t>
      </w:r>
    </w:p>
    <w:p w14:paraId="02194B12">
      <w:pPr>
        <w:rPr>
          <w:rFonts w:hint="eastAsia" w:ascii="宋体" w:cs="宋体"/>
          <w:sz w:val="24"/>
          <w:szCs w:val="24"/>
          <w:lang w:val="zh-CN" w:eastAsia="zh-CN" w:bidi="ar-SA"/>
        </w:rPr>
      </w:pPr>
    </w:p>
    <w:p w14:paraId="255E74EB">
      <w:pPr>
        <w:rPr>
          <w:rFonts w:hint="eastAsia" w:ascii="宋体" w:cs="宋体"/>
          <w:sz w:val="24"/>
          <w:szCs w:val="24"/>
          <w:lang w:val="zh-CN" w:eastAsia="zh-CN" w:bidi="ar-SA"/>
        </w:rPr>
      </w:pPr>
    </w:p>
    <w:p w14:paraId="147632D6">
      <w:pPr>
        <w:rPr>
          <w:rFonts w:hint="eastAsia" w:ascii="宋体" w:cs="宋体"/>
          <w:sz w:val="24"/>
          <w:szCs w:val="24"/>
          <w:lang w:val="zh-CN" w:eastAsia="zh-CN" w:bidi="ar-SA"/>
        </w:rPr>
      </w:pPr>
    </w:p>
    <w:p w14:paraId="55B7EB3A">
      <w:pPr>
        <w:rPr>
          <w:rFonts w:hint="eastAsia" w:ascii="宋体" w:cs="宋体"/>
          <w:sz w:val="24"/>
          <w:szCs w:val="24"/>
          <w:lang w:val="zh-CN" w:eastAsia="zh-CN" w:bidi="ar-SA"/>
        </w:rPr>
      </w:pPr>
    </w:p>
    <w:p w14:paraId="7F9679D7">
      <w:pPr>
        <w:rPr>
          <w:rFonts w:hint="eastAsia" w:ascii="宋体" w:cs="宋体"/>
          <w:sz w:val="24"/>
          <w:szCs w:val="24"/>
          <w:lang w:val="zh-CN" w:eastAsia="zh-CN" w:bidi="ar-SA"/>
        </w:rPr>
      </w:pPr>
    </w:p>
    <w:p w14:paraId="09D6DA85">
      <w:pPr>
        <w:rPr>
          <w:rFonts w:hint="eastAsia" w:ascii="宋体" w:cs="宋体"/>
          <w:sz w:val="24"/>
          <w:szCs w:val="24"/>
          <w:lang w:val="zh-CN" w:eastAsia="zh-CN" w:bidi="ar-SA"/>
        </w:rPr>
      </w:pPr>
    </w:p>
    <w:p w14:paraId="0015CC52">
      <w:pPr>
        <w:rPr>
          <w:rFonts w:hint="eastAsia" w:ascii="宋体" w:cs="宋体"/>
          <w:sz w:val="24"/>
          <w:szCs w:val="24"/>
          <w:lang w:val="zh-CN" w:eastAsia="zh-CN" w:bidi="ar-SA"/>
        </w:rPr>
      </w:pPr>
    </w:p>
    <w:p w14:paraId="747F229A">
      <w:pPr>
        <w:rPr>
          <w:rFonts w:hint="eastAsia" w:ascii="宋体" w:cs="宋体"/>
          <w:sz w:val="24"/>
          <w:szCs w:val="24"/>
          <w:lang w:val="zh-CN" w:eastAsia="zh-CN" w:bidi="ar-SA"/>
        </w:rPr>
      </w:pPr>
    </w:p>
    <w:p w14:paraId="79C73FC8">
      <w:pPr>
        <w:rPr>
          <w:rFonts w:hint="eastAsia" w:ascii="宋体" w:cs="宋体"/>
          <w:sz w:val="24"/>
          <w:szCs w:val="24"/>
          <w:lang w:val="zh-CN" w:eastAsia="zh-CN" w:bidi="ar-SA"/>
        </w:rPr>
      </w:pPr>
    </w:p>
    <w:p w14:paraId="00797EDE">
      <w:pPr>
        <w:rPr>
          <w:rFonts w:hint="eastAsia" w:ascii="宋体" w:cs="宋体"/>
          <w:sz w:val="24"/>
          <w:szCs w:val="24"/>
          <w:lang w:val="zh-CN" w:eastAsia="zh-CN" w:bidi="ar-SA"/>
        </w:rPr>
      </w:pPr>
    </w:p>
    <w:p w14:paraId="6023FF8C">
      <w:pPr>
        <w:rPr>
          <w:rFonts w:hint="eastAsia" w:ascii="宋体" w:cs="宋体"/>
          <w:sz w:val="24"/>
          <w:szCs w:val="24"/>
          <w:lang w:val="zh-CN" w:eastAsia="zh-CN" w:bidi="ar-SA"/>
        </w:rPr>
      </w:pPr>
    </w:p>
    <w:p w14:paraId="20E59054">
      <w:pPr>
        <w:rPr>
          <w:rFonts w:hint="eastAsia" w:ascii="宋体" w:cs="宋体"/>
          <w:sz w:val="24"/>
          <w:szCs w:val="24"/>
          <w:lang w:val="zh-CN" w:eastAsia="zh-CN" w:bidi="ar-SA"/>
        </w:rPr>
      </w:pPr>
    </w:p>
    <w:p w14:paraId="31762158">
      <w:pPr>
        <w:rPr>
          <w:rFonts w:hint="eastAsia" w:ascii="宋体" w:cs="宋体"/>
          <w:sz w:val="24"/>
          <w:szCs w:val="24"/>
          <w:lang w:val="zh-CN" w:eastAsia="zh-CN" w:bidi="ar-SA"/>
        </w:rPr>
      </w:pPr>
    </w:p>
    <w:p w14:paraId="64987369">
      <w:pPr>
        <w:rPr>
          <w:rFonts w:hint="eastAsia" w:ascii="宋体" w:cs="宋体"/>
          <w:sz w:val="24"/>
          <w:szCs w:val="24"/>
          <w:lang w:val="zh-CN" w:eastAsia="zh-CN" w:bidi="ar-SA"/>
        </w:rPr>
      </w:pPr>
    </w:p>
    <w:p w14:paraId="543B48DF">
      <w:pPr>
        <w:rPr>
          <w:rFonts w:hint="eastAsia" w:ascii="宋体" w:cs="宋体"/>
          <w:sz w:val="24"/>
          <w:szCs w:val="24"/>
          <w:lang w:val="zh-CN" w:eastAsia="zh-CN" w:bidi="ar-SA"/>
        </w:rPr>
      </w:pPr>
      <w:r>
        <w:rPr>
          <w:rFonts w:hint="eastAsia" w:ascii="宋体" w:cs="宋体"/>
          <w:sz w:val="24"/>
          <w:szCs w:val="24"/>
          <w:lang w:val="zh-CN" w:eastAsia="zh-CN" w:bidi="ar-SA"/>
        </w:rPr>
        <w:br w:type="page"/>
      </w:r>
    </w:p>
    <w:p w14:paraId="19F7DB42">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t>4.8 “环境标志产品政府采购品目清单”优先采购产品情况（如有）</w:t>
      </w:r>
    </w:p>
    <w:p w14:paraId="440434D1">
      <w:pPr>
        <w:autoSpaceDE w:val="0"/>
        <w:autoSpaceDN w:val="0"/>
        <w:adjustRightInd w:val="0"/>
        <w:spacing w:line="360" w:lineRule="auto"/>
        <w:jc w:val="center"/>
        <w:outlineLvl w:val="0"/>
        <w:rPr>
          <w:rFonts w:hint="eastAsia" w:ascii="宋体"/>
          <w:b/>
          <w:bCs/>
          <w:sz w:val="24"/>
          <w:szCs w:val="24"/>
        </w:rPr>
      </w:pPr>
    </w:p>
    <w:p w14:paraId="50A5F594">
      <w:pPr>
        <w:spacing w:before="50" w:after="162" w:afterLines="50" w:line="360" w:lineRule="auto"/>
        <w:contextualSpacing/>
        <w:jc w:val="left"/>
        <w:rPr>
          <w:rFonts w:hint="eastAsia" w:ascii="宋体"/>
          <w:sz w:val="24"/>
          <w:szCs w:val="24"/>
        </w:rPr>
      </w:pPr>
      <w:r>
        <w:rPr>
          <w:rFonts w:hint="eastAsia" w:ascii="宋体"/>
          <w:sz w:val="24"/>
          <w:szCs w:val="24"/>
        </w:rPr>
        <w:t>项目编号：</w:t>
      </w:r>
    </w:p>
    <w:p w14:paraId="6CE04FD8">
      <w:pPr>
        <w:tabs>
          <w:tab w:val="left" w:pos="1800"/>
          <w:tab w:val="left" w:pos="5580"/>
        </w:tabs>
        <w:spacing w:line="360" w:lineRule="auto"/>
        <w:rPr>
          <w:rFonts w:hint="eastAsia" w:ascii="宋体"/>
          <w:sz w:val="24"/>
          <w:szCs w:val="24"/>
        </w:rPr>
      </w:pPr>
      <w:r>
        <w:rPr>
          <w:rFonts w:hint="eastAsia" w:ascii="宋体"/>
          <w:sz w:val="24"/>
          <w:szCs w:val="24"/>
        </w:rPr>
        <w:t>项目名称：</w:t>
      </w:r>
    </w:p>
    <w:p w14:paraId="6114EAA1">
      <w:pPr>
        <w:tabs>
          <w:tab w:val="left" w:pos="1800"/>
          <w:tab w:val="left" w:pos="5580"/>
        </w:tabs>
        <w:spacing w:line="360" w:lineRule="auto"/>
        <w:rPr>
          <w:rFonts w:hint="eastAsia" w:ascii="宋体"/>
          <w:sz w:val="24"/>
          <w:szCs w:val="24"/>
        </w:rPr>
      </w:pPr>
    </w:p>
    <w:tbl>
      <w:tblPr>
        <w:tblStyle w:val="19"/>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1498"/>
        <w:gridCol w:w="1654"/>
        <w:gridCol w:w="1352"/>
        <w:gridCol w:w="1797"/>
        <w:gridCol w:w="1744"/>
        <w:gridCol w:w="1545"/>
      </w:tblGrid>
      <w:tr w14:paraId="2AFB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72" w:type="dxa"/>
            <w:shd w:val="clear" w:color="auto" w:fill="F2F2F2"/>
            <w:noWrap w:val="0"/>
            <w:vAlign w:val="center"/>
          </w:tcPr>
          <w:p w14:paraId="09A95924">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498" w:type="dxa"/>
            <w:shd w:val="clear" w:color="auto" w:fill="F2F2F2"/>
            <w:noWrap w:val="0"/>
            <w:vAlign w:val="center"/>
          </w:tcPr>
          <w:p w14:paraId="40E4BE03">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产品名称</w:t>
            </w:r>
          </w:p>
        </w:tc>
        <w:tc>
          <w:tcPr>
            <w:tcW w:w="1654" w:type="dxa"/>
            <w:shd w:val="clear" w:color="auto" w:fill="F2F2F2"/>
            <w:noWrap w:val="0"/>
            <w:vAlign w:val="center"/>
          </w:tcPr>
          <w:p w14:paraId="139D978D">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品牌</w:t>
            </w:r>
          </w:p>
        </w:tc>
        <w:tc>
          <w:tcPr>
            <w:tcW w:w="1352" w:type="dxa"/>
            <w:shd w:val="clear" w:color="auto" w:fill="F2F2F2"/>
            <w:noWrap w:val="0"/>
            <w:vAlign w:val="center"/>
          </w:tcPr>
          <w:p w14:paraId="6958CF92">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产品型号</w:t>
            </w:r>
          </w:p>
        </w:tc>
        <w:tc>
          <w:tcPr>
            <w:tcW w:w="1797" w:type="dxa"/>
            <w:shd w:val="clear" w:color="auto" w:fill="F2F2F2"/>
            <w:noWrap w:val="0"/>
            <w:vAlign w:val="center"/>
          </w:tcPr>
          <w:p w14:paraId="1419F33A">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认证证书编号</w:t>
            </w:r>
          </w:p>
        </w:tc>
        <w:tc>
          <w:tcPr>
            <w:tcW w:w="1744" w:type="dxa"/>
            <w:shd w:val="clear" w:color="auto" w:fill="F2F2F2"/>
            <w:noWrap w:val="0"/>
            <w:vAlign w:val="center"/>
          </w:tcPr>
          <w:p w14:paraId="20895C20">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证书有效期</w:t>
            </w:r>
          </w:p>
        </w:tc>
        <w:tc>
          <w:tcPr>
            <w:tcW w:w="1545" w:type="dxa"/>
            <w:shd w:val="clear" w:color="auto" w:fill="F2F2F2"/>
            <w:noWrap w:val="0"/>
            <w:vAlign w:val="center"/>
          </w:tcPr>
          <w:p w14:paraId="07C51AAC">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认证机构</w:t>
            </w:r>
          </w:p>
        </w:tc>
      </w:tr>
      <w:tr w14:paraId="0134E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1F6EA840">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1</w:t>
            </w:r>
          </w:p>
        </w:tc>
        <w:tc>
          <w:tcPr>
            <w:tcW w:w="1498" w:type="dxa"/>
            <w:noWrap w:val="0"/>
            <w:vAlign w:val="center"/>
          </w:tcPr>
          <w:p w14:paraId="24835774">
            <w:pPr>
              <w:pStyle w:val="6"/>
              <w:spacing w:line="360" w:lineRule="auto"/>
              <w:rPr>
                <w:rFonts w:hint="eastAsia" w:ascii="宋体" w:hAnsi="宋体" w:eastAsia="宋体" w:cs="Times New Roman"/>
                <w:sz w:val="24"/>
                <w:szCs w:val="24"/>
                <w:lang w:bidi="ar-SA"/>
              </w:rPr>
            </w:pPr>
          </w:p>
        </w:tc>
        <w:tc>
          <w:tcPr>
            <w:tcW w:w="1654" w:type="dxa"/>
            <w:noWrap w:val="0"/>
            <w:vAlign w:val="center"/>
          </w:tcPr>
          <w:p w14:paraId="7A938B49">
            <w:pPr>
              <w:pStyle w:val="6"/>
              <w:spacing w:line="360" w:lineRule="auto"/>
              <w:rPr>
                <w:rFonts w:hint="eastAsia" w:ascii="宋体" w:hAnsi="宋体" w:eastAsia="宋体" w:cs="Times New Roman"/>
                <w:sz w:val="24"/>
                <w:szCs w:val="24"/>
                <w:lang w:bidi="ar-SA"/>
              </w:rPr>
            </w:pPr>
          </w:p>
        </w:tc>
        <w:tc>
          <w:tcPr>
            <w:tcW w:w="1352" w:type="dxa"/>
            <w:noWrap w:val="0"/>
            <w:vAlign w:val="top"/>
          </w:tcPr>
          <w:p w14:paraId="73C673D2">
            <w:pPr>
              <w:pStyle w:val="6"/>
              <w:spacing w:line="360" w:lineRule="auto"/>
              <w:rPr>
                <w:rFonts w:hint="eastAsia" w:ascii="宋体" w:hAnsi="宋体" w:eastAsia="宋体" w:cs="Times New Roman"/>
                <w:sz w:val="24"/>
                <w:szCs w:val="24"/>
                <w:lang w:bidi="ar-SA"/>
              </w:rPr>
            </w:pPr>
          </w:p>
        </w:tc>
        <w:tc>
          <w:tcPr>
            <w:tcW w:w="1797" w:type="dxa"/>
            <w:noWrap w:val="0"/>
            <w:vAlign w:val="top"/>
          </w:tcPr>
          <w:p w14:paraId="70FE31BC">
            <w:pPr>
              <w:pStyle w:val="6"/>
              <w:spacing w:line="360" w:lineRule="auto"/>
              <w:rPr>
                <w:rFonts w:hint="eastAsia" w:ascii="宋体" w:hAnsi="宋体" w:eastAsia="宋体" w:cs="Times New Roman"/>
                <w:sz w:val="24"/>
                <w:szCs w:val="24"/>
                <w:lang w:bidi="ar-SA"/>
              </w:rPr>
            </w:pPr>
          </w:p>
        </w:tc>
        <w:tc>
          <w:tcPr>
            <w:tcW w:w="1744" w:type="dxa"/>
            <w:noWrap w:val="0"/>
            <w:vAlign w:val="top"/>
          </w:tcPr>
          <w:p w14:paraId="3266E7D1">
            <w:pPr>
              <w:pStyle w:val="6"/>
              <w:spacing w:line="360" w:lineRule="auto"/>
              <w:rPr>
                <w:rFonts w:hint="eastAsia" w:ascii="宋体" w:hAnsi="宋体" w:eastAsia="宋体" w:cs="Times New Roman"/>
                <w:sz w:val="24"/>
                <w:szCs w:val="24"/>
                <w:lang w:bidi="ar-SA"/>
              </w:rPr>
            </w:pPr>
          </w:p>
        </w:tc>
        <w:tc>
          <w:tcPr>
            <w:tcW w:w="1545" w:type="dxa"/>
            <w:noWrap w:val="0"/>
            <w:vAlign w:val="top"/>
          </w:tcPr>
          <w:p w14:paraId="05112806">
            <w:pPr>
              <w:pStyle w:val="6"/>
              <w:spacing w:line="360" w:lineRule="auto"/>
              <w:rPr>
                <w:rFonts w:hint="eastAsia" w:ascii="宋体" w:hAnsi="宋体" w:eastAsia="宋体" w:cs="Times New Roman"/>
                <w:sz w:val="24"/>
                <w:szCs w:val="24"/>
                <w:lang w:bidi="ar-SA"/>
              </w:rPr>
            </w:pPr>
          </w:p>
        </w:tc>
      </w:tr>
      <w:tr w14:paraId="030D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4CCC3C64">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2</w:t>
            </w:r>
          </w:p>
        </w:tc>
        <w:tc>
          <w:tcPr>
            <w:tcW w:w="1498" w:type="dxa"/>
            <w:noWrap w:val="0"/>
            <w:vAlign w:val="center"/>
          </w:tcPr>
          <w:p w14:paraId="4E7EF24F">
            <w:pPr>
              <w:pStyle w:val="6"/>
              <w:spacing w:line="360" w:lineRule="auto"/>
              <w:rPr>
                <w:rFonts w:hint="eastAsia" w:ascii="宋体" w:hAnsi="宋体" w:eastAsia="宋体" w:cs="Times New Roman"/>
                <w:sz w:val="24"/>
                <w:szCs w:val="24"/>
                <w:lang w:bidi="ar-SA"/>
              </w:rPr>
            </w:pPr>
          </w:p>
        </w:tc>
        <w:tc>
          <w:tcPr>
            <w:tcW w:w="1654" w:type="dxa"/>
            <w:noWrap w:val="0"/>
            <w:vAlign w:val="center"/>
          </w:tcPr>
          <w:p w14:paraId="757CE540">
            <w:pPr>
              <w:pStyle w:val="6"/>
              <w:spacing w:line="360" w:lineRule="auto"/>
              <w:rPr>
                <w:rFonts w:hint="eastAsia" w:ascii="宋体" w:hAnsi="宋体" w:eastAsia="宋体" w:cs="Times New Roman"/>
                <w:sz w:val="24"/>
                <w:szCs w:val="24"/>
                <w:lang w:bidi="ar-SA"/>
              </w:rPr>
            </w:pPr>
          </w:p>
        </w:tc>
        <w:tc>
          <w:tcPr>
            <w:tcW w:w="1352" w:type="dxa"/>
            <w:noWrap w:val="0"/>
            <w:vAlign w:val="top"/>
          </w:tcPr>
          <w:p w14:paraId="53208BDA">
            <w:pPr>
              <w:pStyle w:val="6"/>
              <w:spacing w:line="360" w:lineRule="auto"/>
              <w:rPr>
                <w:rFonts w:hint="eastAsia" w:ascii="宋体" w:hAnsi="宋体" w:eastAsia="宋体" w:cs="Times New Roman"/>
                <w:sz w:val="24"/>
                <w:szCs w:val="24"/>
                <w:lang w:bidi="ar-SA"/>
              </w:rPr>
            </w:pPr>
          </w:p>
        </w:tc>
        <w:tc>
          <w:tcPr>
            <w:tcW w:w="1797" w:type="dxa"/>
            <w:noWrap w:val="0"/>
            <w:vAlign w:val="top"/>
          </w:tcPr>
          <w:p w14:paraId="7A51EC44">
            <w:pPr>
              <w:pStyle w:val="6"/>
              <w:spacing w:line="360" w:lineRule="auto"/>
              <w:rPr>
                <w:rFonts w:hint="eastAsia" w:ascii="宋体" w:hAnsi="宋体" w:eastAsia="宋体" w:cs="Times New Roman"/>
                <w:sz w:val="24"/>
                <w:szCs w:val="24"/>
                <w:lang w:bidi="ar-SA"/>
              </w:rPr>
            </w:pPr>
          </w:p>
        </w:tc>
        <w:tc>
          <w:tcPr>
            <w:tcW w:w="1744" w:type="dxa"/>
            <w:noWrap w:val="0"/>
            <w:vAlign w:val="top"/>
          </w:tcPr>
          <w:p w14:paraId="0562D41A">
            <w:pPr>
              <w:pStyle w:val="6"/>
              <w:spacing w:line="360" w:lineRule="auto"/>
              <w:rPr>
                <w:rFonts w:hint="eastAsia" w:ascii="宋体" w:hAnsi="宋体" w:eastAsia="宋体" w:cs="Times New Roman"/>
                <w:sz w:val="24"/>
                <w:szCs w:val="24"/>
                <w:lang w:bidi="ar-SA"/>
              </w:rPr>
            </w:pPr>
          </w:p>
        </w:tc>
        <w:tc>
          <w:tcPr>
            <w:tcW w:w="1545" w:type="dxa"/>
            <w:noWrap w:val="0"/>
            <w:vAlign w:val="top"/>
          </w:tcPr>
          <w:p w14:paraId="504ADA3E">
            <w:pPr>
              <w:pStyle w:val="6"/>
              <w:spacing w:line="360" w:lineRule="auto"/>
              <w:rPr>
                <w:rFonts w:hint="eastAsia" w:ascii="宋体" w:hAnsi="宋体" w:eastAsia="宋体" w:cs="Times New Roman"/>
                <w:sz w:val="24"/>
                <w:szCs w:val="24"/>
                <w:lang w:bidi="ar-SA"/>
              </w:rPr>
            </w:pPr>
          </w:p>
        </w:tc>
      </w:tr>
      <w:tr w14:paraId="25BA6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7A7E9DF0">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498" w:type="dxa"/>
            <w:noWrap w:val="0"/>
            <w:vAlign w:val="center"/>
          </w:tcPr>
          <w:p w14:paraId="34C24EC8">
            <w:pPr>
              <w:pStyle w:val="6"/>
              <w:spacing w:line="360" w:lineRule="auto"/>
              <w:rPr>
                <w:rFonts w:hint="eastAsia" w:ascii="宋体" w:hAnsi="宋体" w:eastAsia="宋体" w:cs="Times New Roman"/>
                <w:sz w:val="24"/>
                <w:szCs w:val="24"/>
                <w:lang w:bidi="ar-SA"/>
              </w:rPr>
            </w:pPr>
          </w:p>
        </w:tc>
        <w:tc>
          <w:tcPr>
            <w:tcW w:w="1654" w:type="dxa"/>
            <w:noWrap w:val="0"/>
            <w:vAlign w:val="center"/>
          </w:tcPr>
          <w:p w14:paraId="32F62696">
            <w:pPr>
              <w:pStyle w:val="6"/>
              <w:spacing w:line="360" w:lineRule="auto"/>
              <w:rPr>
                <w:rFonts w:hint="eastAsia" w:ascii="宋体" w:hAnsi="宋体" w:eastAsia="宋体" w:cs="Times New Roman"/>
                <w:sz w:val="24"/>
                <w:szCs w:val="24"/>
                <w:lang w:bidi="ar-SA"/>
              </w:rPr>
            </w:pPr>
          </w:p>
        </w:tc>
        <w:tc>
          <w:tcPr>
            <w:tcW w:w="1352" w:type="dxa"/>
            <w:noWrap w:val="0"/>
            <w:vAlign w:val="top"/>
          </w:tcPr>
          <w:p w14:paraId="369DBBC9">
            <w:pPr>
              <w:pStyle w:val="6"/>
              <w:spacing w:line="360" w:lineRule="auto"/>
              <w:rPr>
                <w:rFonts w:hint="eastAsia" w:ascii="宋体" w:hAnsi="宋体" w:eastAsia="宋体" w:cs="Times New Roman"/>
                <w:sz w:val="24"/>
                <w:szCs w:val="24"/>
                <w:lang w:bidi="ar-SA"/>
              </w:rPr>
            </w:pPr>
          </w:p>
        </w:tc>
        <w:tc>
          <w:tcPr>
            <w:tcW w:w="1797" w:type="dxa"/>
            <w:noWrap w:val="0"/>
            <w:vAlign w:val="top"/>
          </w:tcPr>
          <w:p w14:paraId="63F3BCB7">
            <w:pPr>
              <w:pStyle w:val="6"/>
              <w:spacing w:line="360" w:lineRule="auto"/>
              <w:rPr>
                <w:rFonts w:hint="eastAsia" w:ascii="宋体" w:hAnsi="宋体" w:eastAsia="宋体" w:cs="Times New Roman"/>
                <w:sz w:val="24"/>
                <w:szCs w:val="24"/>
                <w:lang w:bidi="ar-SA"/>
              </w:rPr>
            </w:pPr>
          </w:p>
        </w:tc>
        <w:tc>
          <w:tcPr>
            <w:tcW w:w="1744" w:type="dxa"/>
            <w:noWrap w:val="0"/>
            <w:vAlign w:val="top"/>
          </w:tcPr>
          <w:p w14:paraId="56A80499">
            <w:pPr>
              <w:pStyle w:val="6"/>
              <w:spacing w:line="360" w:lineRule="auto"/>
              <w:rPr>
                <w:rFonts w:hint="eastAsia" w:ascii="宋体" w:hAnsi="宋体" w:eastAsia="宋体" w:cs="Times New Roman"/>
                <w:sz w:val="24"/>
                <w:szCs w:val="24"/>
                <w:lang w:bidi="ar-SA"/>
              </w:rPr>
            </w:pPr>
          </w:p>
        </w:tc>
        <w:tc>
          <w:tcPr>
            <w:tcW w:w="1545" w:type="dxa"/>
            <w:noWrap w:val="0"/>
            <w:vAlign w:val="top"/>
          </w:tcPr>
          <w:p w14:paraId="23C67DE1">
            <w:pPr>
              <w:pStyle w:val="6"/>
              <w:spacing w:line="360" w:lineRule="auto"/>
              <w:rPr>
                <w:rFonts w:hint="eastAsia" w:ascii="宋体" w:hAnsi="宋体" w:eastAsia="宋体" w:cs="Times New Roman"/>
                <w:sz w:val="24"/>
                <w:szCs w:val="24"/>
                <w:lang w:bidi="ar-SA"/>
              </w:rPr>
            </w:pPr>
          </w:p>
        </w:tc>
      </w:tr>
    </w:tbl>
    <w:p w14:paraId="1590889C">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14:paraId="1AC2F639">
      <w:pPr>
        <w:autoSpaceDE w:val="0"/>
        <w:autoSpaceDN w:val="0"/>
        <w:adjustRightInd w:val="0"/>
        <w:spacing w:line="480" w:lineRule="auto"/>
        <w:rPr>
          <w:rFonts w:hint="eastAsia" w:ascii="宋体" w:cs="宋体"/>
          <w:sz w:val="24"/>
          <w:szCs w:val="24"/>
          <w:lang w:val="zh-CN" w:eastAsia="zh-CN" w:bidi="ar-SA"/>
        </w:rPr>
      </w:pPr>
    </w:p>
    <w:p w14:paraId="32E37058">
      <w:pPr>
        <w:snapToGrid w:val="0"/>
        <w:spacing w:line="500" w:lineRule="exact"/>
        <w:rPr>
          <w:rFonts w:hint="eastAsia" w:ascii="宋体" w:cs="宋体"/>
          <w:sz w:val="24"/>
          <w:szCs w:val="24"/>
          <w:lang w:val="zh-CN" w:eastAsia="zh-CN" w:bidi="ar-SA"/>
        </w:rPr>
      </w:pPr>
    </w:p>
    <w:p w14:paraId="57F73BC8">
      <w:pPr>
        <w:spacing w:line="360" w:lineRule="auto"/>
        <w:rPr>
          <w:rFonts w:hint="eastAsia" w:ascii="宋体"/>
          <w:b/>
          <w:bCs/>
          <w:sz w:val="24"/>
          <w:szCs w:val="24"/>
        </w:rPr>
      </w:pPr>
      <w:r>
        <w:rPr>
          <w:rFonts w:hint="eastAsia" w:ascii="宋体" w:cs="宋体"/>
          <w:sz w:val="24"/>
          <w:szCs w:val="24"/>
          <w:lang w:val="zh-CN" w:eastAsia="zh-CN" w:bidi="ar-SA"/>
        </w:rPr>
        <w:t>说明：所投产品环境标志产品认证证书须附后。</w:t>
      </w:r>
    </w:p>
    <w:p w14:paraId="03E2BEDB">
      <w:pPr>
        <w:spacing w:line="360" w:lineRule="auto"/>
        <w:jc w:val="center"/>
        <w:rPr>
          <w:rFonts w:hint="eastAsia" w:ascii="宋体" w:cs="宋体"/>
          <w:lang w:val="zh-CN" w:eastAsia="zh-CN" w:bidi="ar-SA"/>
        </w:rPr>
      </w:pPr>
    </w:p>
    <w:p w14:paraId="523CBD94">
      <w:pPr>
        <w:spacing w:line="360" w:lineRule="auto"/>
        <w:jc w:val="center"/>
        <w:rPr>
          <w:rFonts w:hint="eastAsia" w:ascii="宋体" w:cs="宋体"/>
          <w:lang w:val="zh-CN" w:eastAsia="zh-CN" w:bidi="ar-SA"/>
        </w:rPr>
      </w:pPr>
    </w:p>
    <w:p w14:paraId="432D8284">
      <w:pPr>
        <w:spacing w:line="360" w:lineRule="auto"/>
        <w:jc w:val="center"/>
        <w:rPr>
          <w:rFonts w:hint="eastAsia" w:ascii="宋体" w:cs="宋体"/>
          <w:lang w:val="zh-CN" w:eastAsia="zh-CN" w:bidi="ar-SA"/>
        </w:rPr>
      </w:pPr>
    </w:p>
    <w:p w14:paraId="5CB9829A">
      <w:pPr>
        <w:spacing w:line="360" w:lineRule="auto"/>
        <w:jc w:val="center"/>
        <w:rPr>
          <w:rFonts w:hint="eastAsia" w:ascii="宋体" w:cs="宋体"/>
          <w:lang w:val="zh-CN" w:eastAsia="zh-CN" w:bidi="ar-SA"/>
        </w:rPr>
      </w:pPr>
    </w:p>
    <w:p w14:paraId="2EB9023B">
      <w:pPr>
        <w:spacing w:line="360" w:lineRule="auto"/>
        <w:jc w:val="center"/>
        <w:rPr>
          <w:rFonts w:hint="eastAsia" w:ascii="宋体" w:cs="宋体"/>
          <w:lang w:val="zh-CN" w:eastAsia="zh-CN" w:bidi="ar-SA"/>
        </w:rPr>
      </w:pPr>
    </w:p>
    <w:p w14:paraId="305AB1F4">
      <w:pPr>
        <w:spacing w:line="360" w:lineRule="auto"/>
        <w:jc w:val="center"/>
        <w:rPr>
          <w:rFonts w:hint="eastAsia" w:ascii="宋体" w:cs="宋体"/>
          <w:lang w:val="zh-CN" w:eastAsia="zh-CN" w:bidi="ar-SA"/>
        </w:rPr>
      </w:pPr>
    </w:p>
    <w:p w14:paraId="281FA3DB">
      <w:pPr>
        <w:spacing w:line="360" w:lineRule="auto"/>
        <w:jc w:val="center"/>
        <w:rPr>
          <w:rFonts w:hint="eastAsia" w:ascii="宋体" w:cs="宋体"/>
          <w:lang w:val="zh-CN" w:eastAsia="zh-CN" w:bidi="ar-SA"/>
        </w:rPr>
      </w:pPr>
    </w:p>
    <w:p w14:paraId="33C07A0F">
      <w:pPr>
        <w:spacing w:line="360" w:lineRule="auto"/>
        <w:jc w:val="center"/>
        <w:rPr>
          <w:rFonts w:hint="eastAsia" w:ascii="宋体" w:cs="宋体"/>
          <w:lang w:val="zh-CN" w:eastAsia="zh-CN" w:bidi="ar-SA"/>
        </w:rPr>
      </w:pPr>
    </w:p>
    <w:p w14:paraId="5DE32899">
      <w:pPr>
        <w:spacing w:line="360" w:lineRule="auto"/>
        <w:jc w:val="center"/>
        <w:rPr>
          <w:rFonts w:hint="eastAsia" w:ascii="宋体" w:cs="宋体"/>
          <w:lang w:val="zh-CN" w:eastAsia="zh-CN" w:bidi="ar-SA"/>
        </w:rPr>
      </w:pPr>
    </w:p>
    <w:p w14:paraId="049D2BCF">
      <w:pPr>
        <w:spacing w:line="360" w:lineRule="auto"/>
        <w:jc w:val="center"/>
        <w:rPr>
          <w:rFonts w:hint="eastAsia" w:ascii="宋体" w:cs="宋体"/>
          <w:lang w:val="zh-CN" w:eastAsia="zh-CN" w:bidi="ar-SA"/>
        </w:rPr>
      </w:pPr>
    </w:p>
    <w:p w14:paraId="56855986">
      <w:pPr>
        <w:widowControl/>
        <w:spacing w:before="100" w:beforeAutospacing="1" w:after="100" w:afterAutospacing="1" w:line="360" w:lineRule="auto"/>
        <w:contextualSpacing/>
        <w:jc w:val="left"/>
      </w:pPr>
      <w:bookmarkStart w:id="38" w:name="OLE_LINK13"/>
      <w:bookmarkStart w:id="39" w:name="OLE_LINK14"/>
      <w:r>
        <w:rPr>
          <w:rFonts w:hint="eastAsia" w:ascii="宋体"/>
          <w:b/>
          <w:bCs/>
        </w:rPr>
        <w:br w:type="page"/>
      </w:r>
    </w:p>
    <w:p w14:paraId="61747791">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t>4.9 中小企业声明函（货物）</w:t>
      </w:r>
    </w:p>
    <w:p w14:paraId="28A04153">
      <w:pPr>
        <w:spacing w:line="360" w:lineRule="auto"/>
        <w:jc w:val="center"/>
        <w:rPr>
          <w:rFonts w:hint="eastAsia" w:ascii="宋体"/>
          <w:b/>
          <w:bCs/>
          <w:sz w:val="24"/>
          <w:szCs w:val="24"/>
        </w:rPr>
      </w:pPr>
    </w:p>
    <w:p w14:paraId="6A0E4C1C">
      <w:pPr>
        <w:spacing w:line="360" w:lineRule="auto"/>
        <w:ind w:firstLine="808" w:firstLineChars="337"/>
        <w:jc w:val="left"/>
        <w:rPr>
          <w:sz w:val="24"/>
          <w:szCs w:val="24"/>
        </w:rPr>
      </w:pPr>
      <w:r>
        <w:rPr>
          <w:sz w:val="24"/>
          <w:szCs w:val="24"/>
        </w:rPr>
        <w:t>本公司（联合体）郑重声明，根据《</w:t>
      </w:r>
      <w:r>
        <w:rPr>
          <w:rFonts w:hint="eastAsia"/>
          <w:sz w:val="24"/>
          <w:szCs w:val="24"/>
        </w:rPr>
        <w:t>政府采购</w:t>
      </w:r>
      <w:r>
        <w:rPr>
          <w:sz w:val="24"/>
          <w:szCs w:val="24"/>
        </w:rPr>
        <w:t>促进中小企业发展管理办法》（财库﹝2020﹞46 号）的规定，本公司（联合体）参加</w:t>
      </w:r>
      <w:r>
        <w:rPr>
          <w:i/>
          <w:sz w:val="24"/>
          <w:szCs w:val="24"/>
          <w:u w:val="single"/>
        </w:rPr>
        <w:t>（单位名称）</w:t>
      </w:r>
      <w:r>
        <w:rPr>
          <w:sz w:val="24"/>
          <w:szCs w:val="24"/>
        </w:rPr>
        <w:t>的</w:t>
      </w:r>
      <w:r>
        <w:rPr>
          <w:i/>
          <w:sz w:val="24"/>
          <w:szCs w:val="24"/>
          <w:u w:val="single"/>
        </w:rPr>
        <w:t>（项目名称）</w:t>
      </w:r>
      <w:r>
        <w:rPr>
          <w:rFonts w:hint="eastAsia"/>
          <w:sz w:val="24"/>
          <w:szCs w:val="24"/>
        </w:rPr>
        <w:t>采购活动</w:t>
      </w:r>
      <w:r>
        <w:rPr>
          <w:sz w:val="24"/>
          <w:szCs w:val="24"/>
        </w:rPr>
        <w:t>，提供的货物全部由符合政策要求的中小企业制造。相关企业（含联合体中的中小企业、签订分包意向协议的中小企业）的具体情况如下：</w:t>
      </w:r>
    </w:p>
    <w:p w14:paraId="72CC045A">
      <w:pPr>
        <w:spacing w:line="360" w:lineRule="auto"/>
        <w:ind w:firstLine="808" w:firstLineChars="337"/>
        <w:jc w:val="left"/>
        <w:rPr>
          <w:sz w:val="24"/>
          <w:szCs w:val="24"/>
        </w:rPr>
      </w:pPr>
      <w:r>
        <w:rPr>
          <w:sz w:val="24"/>
          <w:szCs w:val="24"/>
        </w:rPr>
        <w:t xml:space="preserve">1. </w:t>
      </w:r>
      <w:r>
        <w:rPr>
          <w:i/>
          <w:sz w:val="24"/>
          <w:szCs w:val="24"/>
          <w:u w:val="single"/>
        </w:rPr>
        <w:t>（标的名称）</w:t>
      </w:r>
      <w:r>
        <w:rPr>
          <w:sz w:val="24"/>
          <w:szCs w:val="24"/>
        </w:rPr>
        <w:t>，属于</w:t>
      </w:r>
      <w:r>
        <w:rPr>
          <w:i/>
          <w:sz w:val="24"/>
          <w:szCs w:val="24"/>
          <w:u w:val="single"/>
        </w:rPr>
        <w:t>（</w:t>
      </w:r>
      <w:r>
        <w:rPr>
          <w:rFonts w:hint="eastAsia"/>
          <w:i/>
          <w:sz w:val="24"/>
          <w:szCs w:val="24"/>
          <w:u w:val="single"/>
        </w:rPr>
        <w:t>招标</w:t>
      </w:r>
      <w:r>
        <w:rPr>
          <w:i/>
          <w:sz w:val="24"/>
          <w:szCs w:val="24"/>
          <w:u w:val="single"/>
        </w:rPr>
        <w:t>文件中明确的所属行业）</w:t>
      </w:r>
      <w:r>
        <w:rPr>
          <w:sz w:val="24"/>
          <w:szCs w:val="24"/>
        </w:rPr>
        <w:t>行业；制造商为</w:t>
      </w:r>
      <w:r>
        <w:rPr>
          <w:i/>
          <w:sz w:val="24"/>
          <w:szCs w:val="24"/>
          <w:u w:val="single"/>
        </w:rPr>
        <w:t>（企业名称）</w:t>
      </w:r>
      <w:r>
        <w:rPr>
          <w:sz w:val="24"/>
          <w:szCs w:val="24"/>
        </w:rPr>
        <w:t>，从业人员人，营业收入为万元，资产总额为万元，属于</w:t>
      </w:r>
      <w:r>
        <w:rPr>
          <w:i/>
          <w:sz w:val="24"/>
          <w:szCs w:val="24"/>
          <w:u w:val="single"/>
        </w:rPr>
        <w:t>（中型企业、小型企业、微型企业）</w:t>
      </w:r>
      <w:r>
        <w:rPr>
          <w:sz w:val="24"/>
          <w:szCs w:val="24"/>
        </w:rPr>
        <w:t>；</w:t>
      </w:r>
    </w:p>
    <w:p w14:paraId="54BAA82F">
      <w:pPr>
        <w:spacing w:line="360" w:lineRule="auto"/>
        <w:ind w:firstLine="808" w:firstLineChars="337"/>
        <w:jc w:val="left"/>
        <w:rPr>
          <w:sz w:val="24"/>
          <w:szCs w:val="24"/>
        </w:rPr>
      </w:pPr>
      <w:r>
        <w:rPr>
          <w:sz w:val="24"/>
          <w:szCs w:val="24"/>
        </w:rPr>
        <w:t xml:space="preserve">2. </w:t>
      </w:r>
      <w:r>
        <w:rPr>
          <w:i/>
          <w:sz w:val="24"/>
          <w:szCs w:val="24"/>
          <w:u w:val="single"/>
        </w:rPr>
        <w:t>（标的名称）</w:t>
      </w:r>
      <w:r>
        <w:rPr>
          <w:sz w:val="24"/>
          <w:szCs w:val="24"/>
        </w:rPr>
        <w:t>，属于</w:t>
      </w:r>
      <w:r>
        <w:rPr>
          <w:i/>
          <w:sz w:val="24"/>
          <w:szCs w:val="24"/>
          <w:u w:val="single"/>
        </w:rPr>
        <w:t>（</w:t>
      </w:r>
      <w:r>
        <w:rPr>
          <w:rFonts w:hint="eastAsia"/>
          <w:i/>
          <w:sz w:val="24"/>
          <w:szCs w:val="24"/>
          <w:u w:val="single"/>
        </w:rPr>
        <w:t>招标</w:t>
      </w:r>
      <w:r>
        <w:rPr>
          <w:i/>
          <w:sz w:val="24"/>
          <w:szCs w:val="24"/>
          <w:u w:val="single"/>
        </w:rPr>
        <w:t>文件中明确的所属行业）</w:t>
      </w:r>
      <w:r>
        <w:rPr>
          <w:sz w:val="24"/>
          <w:szCs w:val="24"/>
        </w:rPr>
        <w:t>行业；制造商为</w:t>
      </w:r>
      <w:r>
        <w:rPr>
          <w:i/>
          <w:sz w:val="24"/>
          <w:szCs w:val="24"/>
          <w:u w:val="single"/>
        </w:rPr>
        <w:t>（企业名称）</w:t>
      </w:r>
      <w:r>
        <w:rPr>
          <w:sz w:val="24"/>
          <w:szCs w:val="24"/>
        </w:rPr>
        <w:t>，从业人员人，营业收入为万元，资产总额为万元，属于</w:t>
      </w:r>
      <w:r>
        <w:rPr>
          <w:i/>
          <w:sz w:val="24"/>
          <w:szCs w:val="24"/>
          <w:u w:val="single"/>
        </w:rPr>
        <w:t>（中型企业、小型企业、微型企业）</w:t>
      </w:r>
      <w:r>
        <w:rPr>
          <w:sz w:val="24"/>
          <w:szCs w:val="24"/>
        </w:rPr>
        <w:t>；</w:t>
      </w:r>
    </w:p>
    <w:p w14:paraId="07004AA4">
      <w:pPr>
        <w:spacing w:line="360" w:lineRule="auto"/>
        <w:ind w:firstLine="808" w:firstLineChars="337"/>
        <w:jc w:val="left"/>
        <w:rPr>
          <w:sz w:val="24"/>
          <w:szCs w:val="24"/>
        </w:rPr>
      </w:pPr>
      <w:r>
        <w:rPr>
          <w:sz w:val="24"/>
          <w:szCs w:val="24"/>
        </w:rPr>
        <w:t xml:space="preserve">…… </w:t>
      </w:r>
    </w:p>
    <w:p w14:paraId="0CEB0833">
      <w:pPr>
        <w:spacing w:line="360" w:lineRule="auto"/>
        <w:ind w:firstLine="808" w:firstLineChars="337"/>
        <w:jc w:val="left"/>
        <w:rPr>
          <w:sz w:val="24"/>
          <w:szCs w:val="24"/>
        </w:rPr>
      </w:pPr>
      <w:r>
        <w:rPr>
          <w:sz w:val="24"/>
          <w:szCs w:val="24"/>
        </w:rPr>
        <w:t>以上企业，不属于大企业的分支机构，不存在控股股东为大企业的情形，也不存在与大企业的负责人为同一人的情形。</w:t>
      </w:r>
    </w:p>
    <w:p w14:paraId="45E8E160">
      <w:pPr>
        <w:spacing w:line="360" w:lineRule="auto"/>
        <w:ind w:firstLine="808" w:firstLineChars="337"/>
        <w:jc w:val="left"/>
        <w:rPr>
          <w:sz w:val="24"/>
          <w:szCs w:val="24"/>
        </w:rPr>
      </w:pPr>
      <w:r>
        <w:rPr>
          <w:sz w:val="24"/>
          <w:szCs w:val="24"/>
        </w:rPr>
        <w:t>本企业对上述声明内容的真实性负责。如有虚假，将依法承担相应责任。</w:t>
      </w:r>
    </w:p>
    <w:p w14:paraId="354F6DD8">
      <w:pPr>
        <w:spacing w:line="360" w:lineRule="auto"/>
        <w:ind w:firstLine="808" w:firstLineChars="337"/>
        <w:jc w:val="left"/>
        <w:rPr>
          <w:sz w:val="24"/>
          <w:szCs w:val="24"/>
        </w:rPr>
      </w:pPr>
    </w:p>
    <w:p w14:paraId="79A28C38">
      <w:pPr>
        <w:spacing w:line="360" w:lineRule="auto"/>
        <w:ind w:firstLine="808" w:firstLineChars="337"/>
        <w:jc w:val="left"/>
        <w:rPr>
          <w:sz w:val="24"/>
          <w:szCs w:val="24"/>
        </w:rPr>
      </w:pPr>
    </w:p>
    <w:p w14:paraId="3D1F818F">
      <w:pPr>
        <w:spacing w:line="480" w:lineRule="auto"/>
        <w:ind w:firstLine="6808" w:firstLineChars="2837"/>
        <w:jc w:val="left"/>
        <w:rPr>
          <w:sz w:val="24"/>
          <w:szCs w:val="24"/>
        </w:rPr>
      </w:pPr>
      <w:r>
        <w:rPr>
          <w:sz w:val="24"/>
          <w:szCs w:val="24"/>
        </w:rPr>
        <w:t>企业名称（盖章）：</w:t>
      </w:r>
    </w:p>
    <w:p w14:paraId="6C339F6D">
      <w:pPr>
        <w:spacing w:line="480" w:lineRule="auto"/>
        <w:ind w:firstLine="6808" w:firstLineChars="2837"/>
        <w:jc w:val="left"/>
        <w:rPr>
          <w:rFonts w:hint="eastAsia" w:ascii="宋体" w:cs="Arial"/>
          <w:sz w:val="24"/>
          <w:szCs w:val="24"/>
          <w:lang w:bidi="ar-SA"/>
        </w:rPr>
      </w:pPr>
      <w:r>
        <w:rPr>
          <w:sz w:val="24"/>
          <w:szCs w:val="24"/>
        </w:rPr>
        <w:t>日期：</w:t>
      </w:r>
    </w:p>
    <w:p w14:paraId="749D535D">
      <w:pPr>
        <w:widowControl/>
        <w:spacing w:before="100" w:beforeAutospacing="1" w:after="100" w:afterAutospacing="1" w:line="360" w:lineRule="auto"/>
        <w:contextualSpacing/>
        <w:jc w:val="left"/>
        <w:rPr>
          <w:rFonts w:hint="eastAsia" w:ascii="宋体"/>
          <w:sz w:val="24"/>
          <w:szCs w:val="24"/>
        </w:rPr>
      </w:pPr>
      <w:r>
        <w:rPr>
          <w:rFonts w:hint="eastAsia" w:ascii="宋体"/>
          <w:sz w:val="24"/>
          <w:szCs w:val="24"/>
        </w:rPr>
        <w:t>说明：</w:t>
      </w:r>
    </w:p>
    <w:p w14:paraId="728E0D99">
      <w:pPr>
        <w:widowControl/>
        <w:spacing w:before="100" w:beforeAutospacing="1" w:after="100" w:afterAutospacing="1" w:line="360" w:lineRule="auto"/>
        <w:contextualSpacing/>
        <w:jc w:val="left"/>
        <w:rPr>
          <w:rFonts w:hint="eastAsia" w:ascii="宋体" w:cs="Arial"/>
          <w:kern w:val="0"/>
          <w:sz w:val="24"/>
          <w:szCs w:val="24"/>
          <w:lang w:bidi="ar-SA"/>
        </w:rPr>
      </w:pPr>
      <w:r>
        <w:rPr>
          <w:rFonts w:hint="eastAsia" w:ascii="宋体" w:cs="Arial"/>
          <w:kern w:val="0"/>
          <w:sz w:val="24"/>
          <w:szCs w:val="24"/>
          <w:lang w:bidi="ar-SA"/>
        </w:rPr>
        <w:t>1、</w:t>
      </w:r>
      <w:r>
        <w:rPr>
          <w:sz w:val="24"/>
          <w:szCs w:val="24"/>
        </w:rPr>
        <w:t>从业人员、营业收入、资产总额填报上一年度数据，无上一年度数据的新成立企业可不填报。</w:t>
      </w:r>
    </w:p>
    <w:p w14:paraId="106A6D69">
      <w:pPr>
        <w:widowControl/>
        <w:spacing w:before="100" w:beforeAutospacing="1" w:after="100" w:afterAutospacing="1" w:line="360" w:lineRule="auto"/>
        <w:contextualSpacing/>
        <w:jc w:val="left"/>
        <w:rPr>
          <w:rFonts w:hint="eastAsia" w:ascii="宋体" w:cs="Arial"/>
          <w:kern w:val="0"/>
          <w:sz w:val="24"/>
          <w:szCs w:val="24"/>
          <w:lang w:bidi="ar-SA"/>
        </w:rPr>
      </w:pPr>
      <w:r>
        <w:rPr>
          <w:rFonts w:hint="eastAsia" w:ascii="宋体" w:cs="Arial"/>
          <w:kern w:val="0"/>
          <w:sz w:val="24"/>
          <w:szCs w:val="24"/>
          <w:lang w:bidi="ar-SA"/>
        </w:rPr>
        <w:t>2、中小企业参加政府采购活动，应当出具</w:t>
      </w:r>
      <w:r>
        <w:rPr>
          <w:sz w:val="24"/>
          <w:szCs w:val="24"/>
        </w:rPr>
        <w:t>《中小企业声明函》，否则不得享受相关中小企业扶持政</w:t>
      </w:r>
      <w:r>
        <w:rPr>
          <w:rFonts w:hint="eastAsia" w:ascii="宋体" w:cs="Arial"/>
          <w:kern w:val="0"/>
          <w:sz w:val="24"/>
          <w:szCs w:val="24"/>
          <w:lang w:bidi="ar-SA"/>
        </w:rPr>
        <w:t>策。</w:t>
      </w:r>
    </w:p>
    <w:p w14:paraId="3AC5E534">
      <w:pPr>
        <w:widowControl/>
        <w:spacing w:before="100" w:beforeAutospacing="1" w:after="100" w:afterAutospacing="1" w:line="360" w:lineRule="auto"/>
        <w:contextualSpacing/>
        <w:jc w:val="left"/>
        <w:rPr>
          <w:rFonts w:hint="eastAsia" w:ascii="宋体" w:cs="Arial"/>
          <w:color w:val="auto"/>
          <w:kern w:val="0"/>
          <w:sz w:val="24"/>
          <w:szCs w:val="24"/>
          <w:lang w:bidi="ar-SA"/>
        </w:rPr>
      </w:pPr>
      <w:r>
        <w:rPr>
          <w:rFonts w:hint="eastAsia" w:ascii="宋体" w:cs="Arial"/>
          <w:color w:val="auto"/>
          <w:kern w:val="0"/>
          <w:sz w:val="24"/>
          <w:szCs w:val="24"/>
          <w:lang w:bidi="ar-SA"/>
        </w:rPr>
        <w:t>3、货物类《中小企业声明函》中标的名称须按照本项目采购清单中货物（标的）名称，逐项进行声明。在标的名称处填写项目名称或标的填写不全的，视为《中小企业声明函》无效。</w:t>
      </w:r>
    </w:p>
    <w:p w14:paraId="376C978A">
      <w:pPr>
        <w:spacing w:line="360" w:lineRule="auto"/>
        <w:rPr>
          <w:rFonts w:hint="eastAsia" w:ascii="宋体"/>
          <w:b/>
          <w:bCs/>
        </w:rPr>
      </w:pPr>
    </w:p>
    <w:p w14:paraId="5B73DA0A">
      <w:pPr>
        <w:spacing w:line="360" w:lineRule="auto"/>
        <w:ind w:firstLine="316" w:firstLineChars="150"/>
        <w:jc w:val="center"/>
        <w:rPr>
          <w:rFonts w:hint="eastAsia" w:ascii="宋体"/>
          <w:b/>
          <w:bCs/>
        </w:rPr>
      </w:pPr>
    </w:p>
    <w:p w14:paraId="1A8BD000">
      <w:pPr>
        <w:widowControl/>
        <w:tabs>
          <w:tab w:val="left" w:pos="3150"/>
        </w:tabs>
        <w:jc w:val="center"/>
        <w:rPr>
          <w:rFonts w:hint="eastAsia" w:ascii="宋体"/>
          <w:b/>
          <w:bCs/>
          <w:sz w:val="24"/>
          <w:szCs w:val="24"/>
        </w:rPr>
      </w:pPr>
      <w:r>
        <w:rPr>
          <w:rFonts w:hint="eastAsia" w:ascii="宋体"/>
          <w:b/>
          <w:bCs/>
          <w:sz w:val="24"/>
          <w:szCs w:val="24"/>
        </w:rPr>
        <w:t>4.10残疾人福利性单位声明函</w:t>
      </w:r>
    </w:p>
    <w:bookmarkEnd w:id="38"/>
    <w:bookmarkEnd w:id="39"/>
    <w:p w14:paraId="25AEC778">
      <w:pPr>
        <w:spacing w:line="360" w:lineRule="auto"/>
        <w:rPr>
          <w:rFonts w:hint="eastAsia" w:ascii="宋体"/>
          <w:sz w:val="24"/>
          <w:szCs w:val="24"/>
        </w:rPr>
      </w:pPr>
    </w:p>
    <w:p w14:paraId="44B4A29E">
      <w:pPr>
        <w:spacing w:line="360" w:lineRule="auto"/>
        <w:ind w:firstLine="480" w:firstLineChars="200"/>
        <w:rPr>
          <w:rFonts w:hint="eastAsia" w:ascii="宋体"/>
          <w:sz w:val="24"/>
          <w:szCs w:val="24"/>
        </w:rPr>
      </w:pPr>
      <w:r>
        <w:rPr>
          <w:rFonts w:hint="eastAsia" w:ascii="宋体"/>
          <w:sz w:val="24"/>
          <w:szCs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7E3BE154">
      <w:pPr>
        <w:spacing w:line="360" w:lineRule="auto"/>
        <w:ind w:firstLine="480" w:firstLineChars="200"/>
        <w:rPr>
          <w:rFonts w:hint="eastAsia" w:ascii="宋体"/>
          <w:sz w:val="24"/>
          <w:szCs w:val="24"/>
        </w:rPr>
      </w:pPr>
      <w:r>
        <w:rPr>
          <w:rFonts w:hint="eastAsia" w:ascii="宋体"/>
          <w:sz w:val="24"/>
          <w:szCs w:val="24"/>
        </w:rPr>
        <w:t>本单位对上述声明的真实性负责。如有虚假，将依法承担相应责任。</w:t>
      </w:r>
    </w:p>
    <w:p w14:paraId="73F72B7A">
      <w:pPr>
        <w:spacing w:line="360" w:lineRule="auto"/>
        <w:rPr>
          <w:rFonts w:hint="eastAsia" w:ascii="宋体"/>
          <w:sz w:val="24"/>
          <w:szCs w:val="24"/>
        </w:rPr>
      </w:pPr>
    </w:p>
    <w:p w14:paraId="57277ADD">
      <w:pPr>
        <w:spacing w:line="360" w:lineRule="auto"/>
        <w:rPr>
          <w:rFonts w:hint="eastAsia" w:ascii="宋体"/>
          <w:sz w:val="24"/>
          <w:szCs w:val="24"/>
        </w:rPr>
      </w:pPr>
    </w:p>
    <w:p w14:paraId="37C639E1">
      <w:pPr>
        <w:spacing w:line="360" w:lineRule="auto"/>
        <w:rPr>
          <w:rFonts w:hint="eastAsia" w:ascii="宋体"/>
          <w:sz w:val="24"/>
          <w:szCs w:val="24"/>
        </w:rPr>
      </w:pPr>
    </w:p>
    <w:p w14:paraId="650A2C9B">
      <w:pPr>
        <w:adjustRightInd w:val="0"/>
        <w:snapToGrid w:val="0"/>
        <w:spacing w:line="360" w:lineRule="auto"/>
        <w:ind w:firstLine="4560" w:firstLineChars="1900"/>
        <w:rPr>
          <w:rFonts w:hint="eastAsia" w:ascii="宋体" w:cs="宋体"/>
          <w:sz w:val="24"/>
          <w:szCs w:val="24"/>
          <w:lang w:bidi="ar-SA"/>
        </w:rPr>
      </w:pPr>
      <w:r>
        <w:rPr>
          <w:rFonts w:hint="eastAsia" w:ascii="宋体"/>
          <w:sz w:val="24"/>
          <w:szCs w:val="24"/>
        </w:rPr>
        <w:t>单位名称（盖章）</w:t>
      </w:r>
      <w:r>
        <w:rPr>
          <w:rFonts w:hint="eastAsia" w:ascii="宋体" w:cs="宋体"/>
          <w:sz w:val="24"/>
          <w:szCs w:val="24"/>
          <w:lang w:bidi="ar-SA"/>
        </w:rPr>
        <w:t>：</w:t>
      </w:r>
    </w:p>
    <w:p w14:paraId="165AEB0C">
      <w:pPr>
        <w:spacing w:line="480" w:lineRule="auto"/>
        <w:ind w:left="4358" w:leftChars="2075"/>
        <w:rPr>
          <w:rFonts w:hint="eastAsia" w:ascii="宋体" w:cs="Arial"/>
          <w:sz w:val="24"/>
          <w:szCs w:val="24"/>
          <w:lang w:bidi="ar-SA"/>
        </w:rPr>
      </w:pPr>
      <w:r>
        <w:rPr>
          <w:rFonts w:hint="eastAsia" w:ascii="宋体" w:cs="Arial"/>
          <w:sz w:val="24"/>
          <w:szCs w:val="24"/>
          <w:lang w:bidi="ar-SA"/>
        </w:rPr>
        <w:t xml:space="preserve"> 日    期：      年    月    日</w:t>
      </w:r>
    </w:p>
    <w:p w14:paraId="3EC4755B">
      <w:pPr>
        <w:spacing w:line="480" w:lineRule="auto"/>
        <w:ind w:left="4358" w:leftChars="2075"/>
        <w:rPr>
          <w:rFonts w:hint="eastAsia" w:ascii="宋体" w:cs="Arial"/>
          <w:lang w:bidi="ar-SA"/>
        </w:rPr>
      </w:pPr>
    </w:p>
    <w:p w14:paraId="27430254"/>
    <w:p w14:paraId="6CA253FC"/>
    <w:p w14:paraId="5501445A"/>
    <w:p w14:paraId="57CA5805"/>
    <w:p w14:paraId="5AA4532F"/>
    <w:p w14:paraId="46448D5F"/>
    <w:p w14:paraId="65780F4B">
      <w:pPr>
        <w:autoSpaceDE w:val="0"/>
        <w:autoSpaceDN w:val="0"/>
        <w:adjustRightInd w:val="0"/>
        <w:spacing w:line="360" w:lineRule="auto"/>
        <w:jc w:val="center"/>
      </w:pPr>
      <w:r>
        <w:rPr>
          <w:rFonts w:hint="eastAsia"/>
        </w:rPr>
        <w:tab/>
      </w:r>
    </w:p>
    <w:p w14:paraId="6EF30286">
      <w:pPr>
        <w:autoSpaceDE w:val="0"/>
        <w:autoSpaceDN w:val="0"/>
        <w:adjustRightInd w:val="0"/>
        <w:spacing w:line="360" w:lineRule="auto"/>
        <w:jc w:val="center"/>
      </w:pPr>
    </w:p>
    <w:p w14:paraId="50BD3AED">
      <w:pPr>
        <w:autoSpaceDE w:val="0"/>
        <w:autoSpaceDN w:val="0"/>
        <w:adjustRightInd w:val="0"/>
        <w:spacing w:line="360" w:lineRule="auto"/>
        <w:jc w:val="center"/>
      </w:pPr>
    </w:p>
    <w:p w14:paraId="2E5C124E">
      <w:pPr>
        <w:autoSpaceDE w:val="0"/>
        <w:autoSpaceDN w:val="0"/>
        <w:adjustRightInd w:val="0"/>
        <w:spacing w:line="360" w:lineRule="auto"/>
        <w:jc w:val="center"/>
      </w:pPr>
    </w:p>
    <w:p w14:paraId="797CD1D7">
      <w:pPr>
        <w:autoSpaceDE w:val="0"/>
        <w:autoSpaceDN w:val="0"/>
        <w:adjustRightInd w:val="0"/>
        <w:spacing w:line="360" w:lineRule="auto"/>
        <w:jc w:val="center"/>
      </w:pPr>
    </w:p>
    <w:p w14:paraId="430C53C4">
      <w:pPr>
        <w:autoSpaceDE w:val="0"/>
        <w:autoSpaceDN w:val="0"/>
        <w:adjustRightInd w:val="0"/>
        <w:spacing w:line="360" w:lineRule="auto"/>
        <w:jc w:val="center"/>
      </w:pPr>
    </w:p>
    <w:p w14:paraId="00920835">
      <w:pPr>
        <w:autoSpaceDE w:val="0"/>
        <w:autoSpaceDN w:val="0"/>
        <w:adjustRightInd w:val="0"/>
        <w:spacing w:line="360" w:lineRule="auto"/>
        <w:jc w:val="center"/>
      </w:pPr>
    </w:p>
    <w:p w14:paraId="3DE84EBC">
      <w:pPr>
        <w:autoSpaceDE w:val="0"/>
        <w:autoSpaceDN w:val="0"/>
        <w:adjustRightInd w:val="0"/>
        <w:spacing w:line="360" w:lineRule="auto"/>
      </w:pPr>
    </w:p>
    <w:p w14:paraId="0C417167">
      <w:pPr>
        <w:autoSpaceDE w:val="0"/>
        <w:autoSpaceDN w:val="0"/>
        <w:adjustRightInd w:val="0"/>
        <w:spacing w:line="360" w:lineRule="auto"/>
        <w:jc w:val="center"/>
        <w:rPr>
          <w:sz w:val="24"/>
          <w:szCs w:val="24"/>
        </w:rPr>
      </w:pPr>
    </w:p>
    <w:p w14:paraId="01E8B757">
      <w:pPr>
        <w:autoSpaceDE w:val="0"/>
        <w:autoSpaceDN w:val="0"/>
        <w:adjustRightInd w:val="0"/>
        <w:spacing w:line="360" w:lineRule="auto"/>
        <w:jc w:val="center"/>
        <w:rPr>
          <w:rFonts w:hint="eastAsia" w:ascii="宋体" w:cs="黑体"/>
          <w:b/>
          <w:bCs/>
          <w:sz w:val="24"/>
          <w:szCs w:val="24"/>
          <w:lang w:bidi="ar-SA"/>
        </w:rPr>
      </w:pPr>
    </w:p>
    <w:p w14:paraId="1B6E2B86">
      <w:pPr>
        <w:autoSpaceDE w:val="0"/>
        <w:autoSpaceDN w:val="0"/>
        <w:adjustRightInd w:val="0"/>
        <w:spacing w:line="360" w:lineRule="auto"/>
        <w:jc w:val="center"/>
        <w:rPr>
          <w:rFonts w:hint="eastAsia" w:ascii="宋体" w:cs="黑体"/>
          <w:b/>
          <w:bCs/>
          <w:sz w:val="24"/>
          <w:szCs w:val="24"/>
          <w:lang w:bidi="ar-SA"/>
        </w:rPr>
      </w:pPr>
      <w:r>
        <w:rPr>
          <w:rFonts w:hint="eastAsia" w:ascii="宋体" w:cs="黑体"/>
          <w:b/>
          <w:bCs/>
          <w:sz w:val="24"/>
          <w:szCs w:val="24"/>
          <w:lang w:bidi="ar-SA"/>
        </w:rPr>
        <w:t>4.11监狱企业证明函</w:t>
      </w:r>
    </w:p>
    <w:p w14:paraId="022BA386">
      <w:pPr>
        <w:autoSpaceDE w:val="0"/>
        <w:autoSpaceDN w:val="0"/>
        <w:adjustRightInd w:val="0"/>
        <w:spacing w:line="360" w:lineRule="auto"/>
        <w:ind w:firstLine="562"/>
        <w:jc w:val="left"/>
        <w:rPr>
          <w:rFonts w:hint="eastAsia" w:ascii="宋体"/>
          <w:sz w:val="24"/>
          <w:szCs w:val="24"/>
        </w:rPr>
      </w:pPr>
    </w:p>
    <w:p w14:paraId="0E1C6AE9">
      <w:pPr>
        <w:autoSpaceDE w:val="0"/>
        <w:autoSpaceDN w:val="0"/>
        <w:adjustRightInd w:val="0"/>
        <w:spacing w:line="360" w:lineRule="auto"/>
        <w:ind w:firstLine="562"/>
        <w:jc w:val="left"/>
        <w:rPr>
          <w:rFonts w:hint="eastAsia" w:ascii="宋体" w:cs="黑体"/>
          <w:sz w:val="24"/>
          <w:szCs w:val="24"/>
          <w:lang w:bidi="ar-SA"/>
        </w:rPr>
      </w:pPr>
      <w:r>
        <w:rPr>
          <w:rFonts w:hint="eastAsia" w:ascii="宋体"/>
          <w:sz w:val="24"/>
          <w:szCs w:val="24"/>
        </w:rPr>
        <w:t>根据《财政部 司法部关于政府采购支持监狱企业发展有关问题的通知》（财库[2014]68 号）的规定，</w:t>
      </w:r>
      <w:r>
        <w:rPr>
          <w:rFonts w:hint="eastAsia" w:ascii="宋体" w:cs="黑体"/>
          <w:sz w:val="24"/>
          <w:szCs w:val="24"/>
          <w:u w:val="single"/>
          <w:lang w:bidi="ar-SA"/>
        </w:rPr>
        <w:t xml:space="preserve">（填写投标人全称）    </w:t>
      </w:r>
      <w:r>
        <w:rPr>
          <w:rFonts w:hint="eastAsia" w:ascii="宋体" w:cs="黑体"/>
          <w:sz w:val="24"/>
          <w:szCs w:val="24"/>
          <w:lang w:bidi="ar-SA"/>
        </w:rPr>
        <w:t xml:space="preserve">为监狱企业。 </w:t>
      </w:r>
    </w:p>
    <w:p w14:paraId="391260C4">
      <w:pPr>
        <w:autoSpaceDE w:val="0"/>
        <w:autoSpaceDN w:val="0"/>
        <w:adjustRightInd w:val="0"/>
        <w:spacing w:line="360" w:lineRule="auto"/>
        <w:ind w:firstLine="562"/>
        <w:jc w:val="left"/>
        <w:rPr>
          <w:rFonts w:hint="eastAsia" w:ascii="宋体" w:cs="黑体"/>
          <w:sz w:val="24"/>
          <w:szCs w:val="24"/>
          <w:lang w:bidi="ar-SA"/>
        </w:rPr>
      </w:pPr>
      <w:r>
        <w:rPr>
          <w:rFonts w:hint="eastAsia" w:ascii="宋体" w:cs="黑体"/>
          <w:sz w:val="24"/>
          <w:szCs w:val="24"/>
          <w:lang w:bidi="ar-SA"/>
        </w:rPr>
        <w:t>特此声明。</w:t>
      </w:r>
    </w:p>
    <w:p w14:paraId="32CA7DDC">
      <w:pPr>
        <w:autoSpaceDE w:val="0"/>
        <w:autoSpaceDN w:val="0"/>
        <w:adjustRightInd w:val="0"/>
        <w:spacing w:line="360" w:lineRule="auto"/>
        <w:ind w:firstLine="880" w:firstLineChars="367"/>
        <w:jc w:val="left"/>
        <w:rPr>
          <w:rFonts w:hint="eastAsia" w:ascii="宋体" w:cs="黑体"/>
          <w:sz w:val="24"/>
          <w:szCs w:val="24"/>
          <w:lang w:bidi="ar-SA"/>
        </w:rPr>
      </w:pPr>
    </w:p>
    <w:p w14:paraId="72C3A2A2">
      <w:pPr>
        <w:autoSpaceDE w:val="0"/>
        <w:autoSpaceDN w:val="0"/>
        <w:adjustRightInd w:val="0"/>
        <w:spacing w:line="360" w:lineRule="auto"/>
        <w:ind w:firstLine="880" w:firstLineChars="367"/>
        <w:jc w:val="left"/>
        <w:rPr>
          <w:rFonts w:hint="eastAsia" w:ascii="宋体" w:cs="黑体"/>
          <w:sz w:val="24"/>
          <w:szCs w:val="24"/>
          <w:lang w:bidi="ar-SA"/>
        </w:rPr>
      </w:pPr>
      <w:r>
        <w:rPr>
          <w:rFonts w:hint="eastAsia" w:ascii="宋体" w:cs="黑体"/>
          <w:sz w:val="24"/>
          <w:szCs w:val="24"/>
          <w:lang w:bidi="ar-SA"/>
        </w:rPr>
        <w:t>省级以上监狱管理局、戒毒管理局（含新疆生产建设兵团） （盖章）：</w:t>
      </w:r>
    </w:p>
    <w:p w14:paraId="79E1B111">
      <w:pPr>
        <w:autoSpaceDE w:val="0"/>
        <w:autoSpaceDN w:val="0"/>
        <w:adjustRightInd w:val="0"/>
        <w:spacing w:line="360" w:lineRule="auto"/>
        <w:ind w:firstLine="2880" w:firstLineChars="1200"/>
        <w:jc w:val="left"/>
        <w:rPr>
          <w:rFonts w:hint="eastAsia" w:ascii="宋体" w:cs="黑体"/>
          <w:sz w:val="24"/>
          <w:szCs w:val="24"/>
          <w:lang w:bidi="ar-SA"/>
        </w:rPr>
      </w:pPr>
      <w:r>
        <w:rPr>
          <w:rFonts w:hint="eastAsia" w:ascii="宋体" w:cs="黑体"/>
          <w:sz w:val="24"/>
          <w:szCs w:val="24"/>
          <w:lang w:bidi="ar-SA"/>
        </w:rPr>
        <w:t xml:space="preserve"> 日    期：  年  月 日 </w:t>
      </w:r>
    </w:p>
    <w:p w14:paraId="53682124">
      <w:pPr>
        <w:autoSpaceDE w:val="0"/>
        <w:autoSpaceDN w:val="0"/>
        <w:adjustRightInd w:val="0"/>
        <w:spacing w:line="360" w:lineRule="auto"/>
        <w:ind w:firstLine="880" w:firstLineChars="367"/>
        <w:jc w:val="left"/>
        <w:rPr>
          <w:rFonts w:hint="eastAsia" w:ascii="宋体" w:cs="黑体"/>
          <w:sz w:val="24"/>
          <w:szCs w:val="24"/>
          <w:lang w:bidi="ar-SA"/>
        </w:rPr>
      </w:pPr>
    </w:p>
    <w:p w14:paraId="7CE3132D">
      <w:pPr>
        <w:autoSpaceDE w:val="0"/>
        <w:autoSpaceDN w:val="0"/>
        <w:adjustRightInd w:val="0"/>
        <w:spacing w:line="360" w:lineRule="auto"/>
        <w:jc w:val="left"/>
        <w:rPr>
          <w:rFonts w:hint="eastAsia" w:ascii="宋体" w:cs="黑体"/>
          <w:b/>
          <w:bCs/>
          <w:sz w:val="24"/>
          <w:szCs w:val="24"/>
          <w:lang w:bidi="ar-SA"/>
        </w:rPr>
      </w:pPr>
      <w:r>
        <w:rPr>
          <w:rFonts w:hint="eastAsia" w:ascii="宋体" w:cs="黑体"/>
          <w:b/>
          <w:bCs/>
          <w:sz w:val="24"/>
          <w:szCs w:val="24"/>
          <w:lang w:bidi="ar-SA"/>
        </w:rPr>
        <w:t>注：符合条件的监狱企业请提供本函，不符合的不提供本函。</w:t>
      </w:r>
    </w:p>
    <w:p w14:paraId="33ADA680"/>
    <w:p w14:paraId="1A4A09E2"/>
    <w:p w14:paraId="4F28CCC2">
      <w:pPr>
        <w:tabs>
          <w:tab w:val="left" w:pos="1993"/>
        </w:tabs>
      </w:pPr>
    </w:p>
    <w:p w14:paraId="50F1DCDE"/>
    <w:p w14:paraId="3D5D697D"/>
    <w:p w14:paraId="409CC341"/>
    <w:p w14:paraId="472531AA"/>
    <w:p w14:paraId="2A22068F"/>
    <w:p w14:paraId="12F7F317"/>
    <w:p w14:paraId="21D978BC"/>
    <w:p w14:paraId="1440278B">
      <w:pPr>
        <w:autoSpaceDE w:val="0"/>
        <w:autoSpaceDN w:val="0"/>
        <w:adjustRightInd w:val="0"/>
        <w:spacing w:line="360" w:lineRule="auto"/>
        <w:rPr>
          <w:rFonts w:hint="eastAsia" w:ascii="宋体" w:cs="黑体"/>
          <w:b/>
          <w:bCs/>
          <w:lang w:val="zh-CN" w:eastAsia="zh-CN" w:bidi="ar-SA"/>
        </w:rPr>
      </w:pPr>
    </w:p>
    <w:p w14:paraId="43822057">
      <w:pPr>
        <w:autoSpaceDE w:val="0"/>
        <w:autoSpaceDN w:val="0"/>
        <w:adjustRightInd w:val="0"/>
        <w:spacing w:line="360" w:lineRule="auto"/>
        <w:rPr>
          <w:rFonts w:hint="eastAsia" w:ascii="宋体" w:cs="黑体"/>
          <w:b/>
          <w:bCs/>
          <w:lang w:val="zh-CN" w:eastAsia="zh-CN" w:bidi="ar-SA"/>
        </w:rPr>
      </w:pPr>
    </w:p>
    <w:p w14:paraId="3CA5C78E">
      <w:pPr>
        <w:autoSpaceDE w:val="0"/>
        <w:autoSpaceDN w:val="0"/>
        <w:adjustRightInd w:val="0"/>
        <w:spacing w:line="360" w:lineRule="auto"/>
        <w:rPr>
          <w:rFonts w:hint="eastAsia" w:ascii="宋体" w:cs="黑体"/>
          <w:b/>
          <w:bCs/>
          <w:lang w:val="zh-CN" w:eastAsia="zh-CN" w:bidi="ar-SA"/>
        </w:rPr>
      </w:pPr>
    </w:p>
    <w:p w14:paraId="681CB0FC">
      <w:pPr>
        <w:autoSpaceDE w:val="0"/>
        <w:autoSpaceDN w:val="0"/>
        <w:adjustRightInd w:val="0"/>
        <w:spacing w:line="360" w:lineRule="auto"/>
        <w:rPr>
          <w:rFonts w:hint="eastAsia" w:ascii="宋体" w:cs="黑体"/>
          <w:b/>
          <w:bCs/>
          <w:lang w:val="zh-CN" w:eastAsia="zh-CN" w:bidi="ar-SA"/>
        </w:rPr>
      </w:pPr>
    </w:p>
    <w:p w14:paraId="2EC6CBE3">
      <w:pPr>
        <w:autoSpaceDE w:val="0"/>
        <w:autoSpaceDN w:val="0"/>
        <w:adjustRightInd w:val="0"/>
        <w:spacing w:line="360" w:lineRule="auto"/>
        <w:rPr>
          <w:rFonts w:hint="eastAsia" w:ascii="宋体" w:cs="黑体"/>
          <w:b/>
          <w:bCs/>
          <w:lang w:val="zh-CN" w:eastAsia="zh-CN" w:bidi="ar-SA"/>
        </w:rPr>
      </w:pPr>
    </w:p>
    <w:p w14:paraId="3B2A6271">
      <w:pPr>
        <w:autoSpaceDE w:val="0"/>
        <w:autoSpaceDN w:val="0"/>
        <w:adjustRightInd w:val="0"/>
        <w:spacing w:line="360" w:lineRule="auto"/>
        <w:rPr>
          <w:rFonts w:hint="eastAsia" w:ascii="宋体" w:cs="黑体"/>
          <w:b/>
          <w:bCs/>
          <w:lang w:val="zh-CN" w:eastAsia="zh-CN" w:bidi="ar-SA"/>
        </w:rPr>
      </w:pPr>
    </w:p>
    <w:p w14:paraId="3EFFEB42">
      <w:pPr>
        <w:autoSpaceDE w:val="0"/>
        <w:autoSpaceDN w:val="0"/>
        <w:adjustRightInd w:val="0"/>
        <w:spacing w:line="360" w:lineRule="auto"/>
        <w:rPr>
          <w:rFonts w:hint="eastAsia" w:ascii="宋体" w:cs="黑体"/>
          <w:b/>
          <w:bCs/>
          <w:lang w:val="zh-CN" w:eastAsia="zh-CN" w:bidi="ar-SA"/>
        </w:rPr>
      </w:pPr>
    </w:p>
    <w:p w14:paraId="5ED067B5">
      <w:pPr>
        <w:autoSpaceDE w:val="0"/>
        <w:autoSpaceDN w:val="0"/>
        <w:adjustRightInd w:val="0"/>
        <w:spacing w:line="360" w:lineRule="auto"/>
        <w:rPr>
          <w:rFonts w:hint="eastAsia" w:ascii="宋体" w:cs="黑体"/>
          <w:b/>
          <w:bCs/>
          <w:lang w:val="zh-CN" w:eastAsia="zh-CN" w:bidi="ar-SA"/>
        </w:rPr>
      </w:pPr>
    </w:p>
    <w:p w14:paraId="79AFEE76">
      <w:pPr>
        <w:autoSpaceDE w:val="0"/>
        <w:autoSpaceDN w:val="0"/>
        <w:adjustRightInd w:val="0"/>
        <w:spacing w:line="360" w:lineRule="auto"/>
        <w:rPr>
          <w:rFonts w:hint="eastAsia" w:ascii="宋体" w:cs="黑体"/>
          <w:b/>
          <w:bCs/>
          <w:lang w:val="zh-CN" w:eastAsia="zh-CN" w:bidi="ar-SA"/>
        </w:rPr>
      </w:pPr>
    </w:p>
    <w:p w14:paraId="3000EBC1">
      <w:pPr>
        <w:autoSpaceDE w:val="0"/>
        <w:autoSpaceDN w:val="0"/>
        <w:adjustRightInd w:val="0"/>
        <w:spacing w:line="360" w:lineRule="auto"/>
        <w:rPr>
          <w:rFonts w:hint="eastAsia" w:ascii="宋体" w:cs="黑体"/>
          <w:b/>
          <w:bCs/>
          <w:lang w:val="zh-CN" w:eastAsia="zh-CN" w:bidi="ar-SA"/>
        </w:rPr>
      </w:pPr>
    </w:p>
    <w:p w14:paraId="50310DB6">
      <w:pPr>
        <w:autoSpaceDE w:val="0"/>
        <w:autoSpaceDN w:val="0"/>
        <w:adjustRightInd w:val="0"/>
        <w:spacing w:line="360" w:lineRule="auto"/>
        <w:rPr>
          <w:rFonts w:hint="eastAsia" w:ascii="宋体" w:cs="黑体"/>
          <w:b/>
          <w:bCs/>
          <w:lang w:val="zh-CN" w:eastAsia="zh-CN" w:bidi="ar-SA"/>
        </w:rPr>
      </w:pPr>
    </w:p>
    <w:p w14:paraId="48F072C3">
      <w:pPr>
        <w:autoSpaceDE w:val="0"/>
        <w:autoSpaceDN w:val="0"/>
        <w:adjustRightInd w:val="0"/>
        <w:spacing w:line="360" w:lineRule="auto"/>
        <w:rPr>
          <w:rFonts w:hint="eastAsia" w:ascii="宋体" w:cs="黑体"/>
          <w:b/>
          <w:bCs/>
          <w:lang w:val="zh-CN" w:eastAsia="zh-CN" w:bidi="ar-SA"/>
        </w:rPr>
      </w:pPr>
    </w:p>
    <w:p w14:paraId="6810243B">
      <w:pPr>
        <w:autoSpaceDE w:val="0"/>
        <w:autoSpaceDN w:val="0"/>
        <w:adjustRightInd w:val="0"/>
        <w:spacing w:line="360" w:lineRule="auto"/>
        <w:rPr>
          <w:rFonts w:hint="eastAsia" w:ascii="宋体" w:cs="黑体"/>
          <w:b/>
          <w:bCs/>
          <w:lang w:val="zh-CN" w:eastAsia="zh-CN" w:bidi="ar-SA"/>
        </w:rPr>
      </w:pPr>
    </w:p>
    <w:p w14:paraId="69342A21">
      <w:pPr>
        <w:autoSpaceDE w:val="0"/>
        <w:autoSpaceDN w:val="0"/>
        <w:adjustRightInd w:val="0"/>
        <w:spacing w:line="360" w:lineRule="auto"/>
        <w:rPr>
          <w:rFonts w:hint="eastAsia" w:ascii="宋体" w:cs="黑体"/>
          <w:b/>
          <w:bCs/>
          <w:lang w:val="zh-CN" w:eastAsia="zh-CN" w:bidi="ar-SA"/>
        </w:rPr>
      </w:pPr>
    </w:p>
    <w:p w14:paraId="2C94C361">
      <w:pPr>
        <w:autoSpaceDE w:val="0"/>
        <w:autoSpaceDN w:val="0"/>
        <w:adjustRightInd w:val="0"/>
        <w:spacing w:line="360" w:lineRule="auto"/>
        <w:rPr>
          <w:rFonts w:hint="eastAsia" w:ascii="宋体" w:cs="黑体"/>
          <w:b/>
          <w:bCs/>
          <w:lang w:val="zh-CN" w:eastAsia="zh-CN" w:bidi="ar-SA"/>
        </w:rPr>
      </w:pPr>
    </w:p>
    <w:p w14:paraId="5C54D6F3">
      <w:pPr>
        <w:autoSpaceDE w:val="0"/>
        <w:autoSpaceDN w:val="0"/>
        <w:adjustRightInd w:val="0"/>
        <w:spacing w:line="360" w:lineRule="auto"/>
        <w:rPr>
          <w:rFonts w:hint="eastAsia" w:ascii="宋体" w:cs="黑体"/>
          <w:b/>
          <w:bCs/>
          <w:lang w:val="zh-CN" w:eastAsia="zh-CN" w:bidi="ar-SA"/>
        </w:rPr>
      </w:pPr>
    </w:p>
    <w:p w14:paraId="28239F32">
      <w:pPr>
        <w:autoSpaceDE w:val="0"/>
        <w:autoSpaceDN w:val="0"/>
        <w:adjustRightInd w:val="0"/>
        <w:spacing w:line="360" w:lineRule="auto"/>
        <w:ind w:firstLine="3855" w:firstLineChars="1600"/>
        <w:rPr>
          <w:rFonts w:hint="eastAsia" w:ascii="宋体" w:cs="黑体"/>
          <w:b/>
          <w:bCs/>
          <w:sz w:val="24"/>
          <w:szCs w:val="24"/>
          <w:lang w:val="zh-CN" w:eastAsia="zh-CN" w:bidi="ar-SA"/>
        </w:rPr>
      </w:pPr>
      <w:r>
        <w:rPr>
          <w:rFonts w:hint="eastAsia" w:ascii="宋体" w:cs="黑体"/>
          <w:b/>
          <w:bCs/>
          <w:sz w:val="24"/>
          <w:szCs w:val="24"/>
          <w:lang w:val="zh-CN" w:eastAsia="zh-CN" w:bidi="ar-SA"/>
        </w:rPr>
        <w:t>五、其他资料（若有）</w:t>
      </w:r>
    </w:p>
    <w:p w14:paraId="6CCD69A9"/>
    <w:p w14:paraId="12D4BB52"/>
    <w:p w14:paraId="1A0F6862"/>
    <w:p w14:paraId="07CC1DCD">
      <w:pPr>
        <w:spacing w:line="360" w:lineRule="auto"/>
        <w:jc w:val="center"/>
        <w:rPr>
          <w:rFonts w:hint="eastAsia" w:ascii="宋体"/>
          <w:b/>
          <w:bCs/>
          <w:sz w:val="24"/>
          <w:szCs w:val="24"/>
        </w:rPr>
      </w:pPr>
      <w:r>
        <w:rPr>
          <w:rFonts w:hint="eastAsia" w:ascii="宋体"/>
          <w:b/>
          <w:bCs/>
          <w:sz w:val="24"/>
          <w:szCs w:val="24"/>
        </w:rPr>
        <w:t>除招标文件另有规定外，投标人认为需要提交的其他证明材料或资料加盖投标人单位公章后应在此项下提交。</w:t>
      </w:r>
    </w:p>
    <w:p w14:paraId="7D9509F5">
      <w:pPr>
        <w:spacing w:line="360" w:lineRule="auto"/>
        <w:jc w:val="center"/>
        <w:rPr>
          <w:rFonts w:hint="eastAsia" w:ascii="宋体"/>
          <w:b/>
          <w:bCs/>
        </w:rPr>
      </w:pPr>
      <w:r>
        <w:rPr>
          <w:rFonts w:hint="eastAsia" w:ascii="宋体"/>
          <w:b/>
          <w:bCs/>
        </w:rPr>
        <w:t> </w:t>
      </w:r>
    </w:p>
    <w:p w14:paraId="3CED9E76"/>
    <w:p w14:paraId="003CB8F2"/>
    <w:p w14:paraId="6F7766CD"/>
    <w:p w14:paraId="73047741"/>
    <w:p w14:paraId="16464735"/>
    <w:p w14:paraId="0DA2869D"/>
    <w:p w14:paraId="772E7FDD"/>
    <w:p w14:paraId="4509D8EC"/>
    <w:p w14:paraId="37CA4EDD"/>
    <w:p w14:paraId="3221D6B6"/>
    <w:p w14:paraId="27E3827D"/>
    <w:p w14:paraId="4397C9CB"/>
    <w:p w14:paraId="6A2D11A4"/>
    <w:p w14:paraId="1E25980E"/>
    <w:p w14:paraId="210717CF"/>
    <w:p w14:paraId="7BD85F4F"/>
    <w:p w14:paraId="5C05B286">
      <w:pPr>
        <w:widowControl/>
        <w:spacing w:before="100" w:beforeAutospacing="1" w:after="100" w:afterAutospacing="1" w:line="360" w:lineRule="auto"/>
        <w:jc w:val="center"/>
      </w:pPr>
    </w:p>
    <w:p w14:paraId="78D9353D"/>
    <w:sectPr>
      <w:footerReference r:id="rId3" w:type="default"/>
      <w:pgSz w:w="11906" w:h="16838"/>
      <w:pgMar w:top="1531" w:right="1079" w:bottom="1361" w:left="1167" w:header="851" w:footer="992" w:gutter="0"/>
      <w:cols w:space="720" w:num="1"/>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5EBA43E-B163-4E01-8448-280FC7574C8C}"/>
  </w:font>
  <w:font w:name="黑体">
    <w:panose1 w:val="02010609060101010101"/>
    <w:charset w:val="86"/>
    <w:family w:val="auto"/>
    <w:pitch w:val="default"/>
    <w:sig w:usb0="800002BF" w:usb1="38CF7CFA" w:usb2="00000016" w:usb3="00000000" w:csb0="00040001" w:csb1="00000000"/>
    <w:embedRegular r:id="rId2" w:fontKey="{21DB6B53-428B-4BFF-9540-6C2523D3EB5C}"/>
  </w:font>
  <w:font w:name="Courier New">
    <w:panose1 w:val="02070309020205020404"/>
    <w:charset w:val="01"/>
    <w:family w:val="modern"/>
    <w:pitch w:val="default"/>
    <w:sig w:usb0="E0002AFF" w:usb1="C0007843" w:usb2="00000009" w:usb3="00000000" w:csb0="400001FF" w:csb1="FFFF0000"/>
    <w:embedRegular r:id="rId3" w:fontKey="{0948CC5F-181E-47AB-85FD-158B2A73304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150D0BA1-45A5-461D-9A57-FB0C748DB169}"/>
  </w:font>
  <w:font w:name="微软雅黑">
    <w:panose1 w:val="020B0503020204020204"/>
    <w:charset w:val="86"/>
    <w:family w:val="swiss"/>
    <w:pitch w:val="default"/>
    <w:sig w:usb0="80000287" w:usb1="280F3C52" w:usb2="00000016" w:usb3="00000000" w:csb0="0004001F" w:csb1="00000000"/>
    <w:embedRegular r:id="rId5" w:fontKey="{095F4706-7FA2-4494-B1D2-AE05593DA70B}"/>
  </w:font>
  <w:font w:name="仿宋">
    <w:panose1 w:val="02010609060101010101"/>
    <w:charset w:val="86"/>
    <w:family w:val="modern"/>
    <w:pitch w:val="default"/>
    <w:sig w:usb0="800002BF" w:usb1="38CF7CFA" w:usb2="00000016" w:usb3="00000000" w:csb0="00040001" w:csb1="00000000"/>
    <w:embedRegular r:id="rId6" w:fontKey="{3BE67E01-FCCC-41DD-BABF-D9A56877CDE3}"/>
  </w:font>
  <w:font w:name="新宋体">
    <w:panose1 w:val="02010609030101010101"/>
    <w:charset w:val="86"/>
    <w:family w:val="modern"/>
    <w:pitch w:val="default"/>
    <w:sig w:usb0="00000003" w:usb1="288F0000" w:usb2="00000006" w:usb3="00000000" w:csb0="00040001" w:csb1="00000000"/>
    <w:embedRegular r:id="rId7" w:fontKey="{14988DE2-E28F-4985-A96D-88E53A460040}"/>
  </w:font>
  <w:font w:name="仿宋_GB2312">
    <w:altName w:val="仿宋"/>
    <w:panose1 w:val="02010609030101010101"/>
    <w:charset w:val="86"/>
    <w:family w:val="auto"/>
    <w:pitch w:val="default"/>
    <w:sig w:usb0="00000000" w:usb1="00000000" w:usb2="00000000" w:usb3="00000000" w:csb0="00040000" w:csb1="00000000"/>
    <w:embedRegular r:id="rId8" w:fontKey="{FD6AF3E7-4677-4343-AA26-878FBA5CB360}"/>
  </w:font>
  <w:font w:name="ˎ̥">
    <w:altName w:val="Times New Roman"/>
    <w:panose1 w:val="00000000000000000000"/>
    <w:charset w:val="00"/>
    <w:family w:val="auto"/>
    <w:pitch w:val="default"/>
    <w:sig w:usb0="00000000" w:usb1="00000000" w:usb2="00000000" w:usb3="00000000" w:csb0="00040001" w:csb1="00000000"/>
    <w:embedRegular r:id="rId9" w:fontKey="{0B8D49EE-1F75-4869-A6B7-AAF81B74C153}"/>
  </w:font>
  <w:font w:name="楷体">
    <w:panose1 w:val="02010609060101010101"/>
    <w:charset w:val="86"/>
    <w:family w:val="modern"/>
    <w:pitch w:val="default"/>
    <w:sig w:usb0="800002BF" w:usb1="38CF7CFA" w:usb2="00000016" w:usb3="00000000" w:csb0="00040001" w:csb1="00000000"/>
    <w:embedRegular r:id="rId10" w:fontKey="{2D813620-0865-4679-9FD1-93F74A1A371C}"/>
  </w:font>
  <w:font w:name="等线 Light">
    <w:panose1 w:val="02010600030101010101"/>
    <w:charset w:val="86"/>
    <w:family w:val="auto"/>
    <w:pitch w:val="default"/>
    <w:sig w:usb0="A00002BF" w:usb1="38CF7CFA" w:usb2="00000016" w:usb3="00000000" w:csb0="0004000F" w:csb1="00000000"/>
    <w:embedRegular r:id="rId11" w:fontKey="{D7DFE4A7-55AD-486B-9594-35825C934E8D}"/>
  </w:font>
  <w:font w:name="等线">
    <w:panose1 w:val="02010600030101010101"/>
    <w:charset w:val="86"/>
    <w:family w:val="auto"/>
    <w:pitch w:val="default"/>
    <w:sig w:usb0="A00002BF" w:usb1="38CF7CFA" w:usb2="00000016" w:usb3="00000000" w:csb0="0004000F" w:csb1="00000000"/>
    <w:embedRegular r:id="rId12" w:fontKey="{BF3D7037-5FC8-4C4F-BD65-3DF70F13E96F}"/>
  </w:font>
  <w:font w:name="华文仿宋">
    <w:panose1 w:val="02010600040101010101"/>
    <w:charset w:val="86"/>
    <w:family w:val="auto"/>
    <w:pitch w:val="default"/>
    <w:sig w:usb0="00000287" w:usb1="080F0000" w:usb2="00000000" w:usb3="00000000" w:csb0="0004009F" w:csb1="DFD70000"/>
    <w:embedRegular r:id="rId13" w:fontKey="{BFA2D438-E71F-4294-85CC-E6FF70E5D8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36766">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-9924415</wp:posOffset>
              </wp:positionV>
              <wp:extent cx="114300" cy="131445"/>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14300" cy="131445"/>
                      </a:xfrm>
                      <a:prstGeom prst="rect">
                        <a:avLst/>
                      </a:prstGeom>
                      <a:noFill/>
                      <a:ln w="6350">
                        <a:noFill/>
                      </a:ln>
                    </wps:spPr>
                    <wps:txbx>
                      <w:txbxContent>
                        <w:p w14:paraId="4A8A1A5A">
                          <w:pPr>
                            <w:pStyle w:val="14"/>
                          </w:pPr>
                          <w:r>
                            <w:fldChar w:fldCharType="begin"/>
                          </w:r>
                          <w:r>
                            <w:instrText xml:space="preserve"> PAGE  \* MERGEFORMAT </w:instrText>
                          </w:r>
                          <w:r>
                            <w:fldChar w:fldCharType="separate"/>
                          </w:r>
                          <w:r>
                            <w:t>74</w:t>
                          </w:r>
                          <w: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781.45pt;height:10.35pt;width:9pt;mso-position-horizontal:center;mso-position-horizontal-relative:margin;mso-wrap-style:none;z-index:251659264;mso-width-relative:page;mso-height-relative:page;" filled="f" stroked="f" coordsize="21600,21600" o:gfxdata="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EKKtj1wAAAAsBAAAPAAAAAAAAAAEA&#10;IAAAACIAAABkcnMvZG93bnJldi54bWxQSwECFAAUAAAACACHTuJAImL8iNcBAACjAwAADgAAAAAA&#10;AAABACAAAAAmAQAAZHJzL2Uyb0RvYy54bWxQSwUGAAAAAAYABgBZAQAAbwUAAAAA&#10;">
              <v:fill on="f" focussize="0,0"/>
              <v:stroke on="f" weight="0.5pt"/>
              <v:imagedata o:title=""/>
              <o:lock v:ext="edit" aspectratio="f"/>
              <v:textbox inset="0mm,0mm,0mm,0mm" style="mso-fit-shape-to-text:t;">
                <w:txbxContent>
                  <w:p w14:paraId="4A8A1A5A">
                    <w:pPr>
                      <w:pStyle w:val="14"/>
                    </w:pPr>
                    <w:r>
                      <w:fldChar w:fldCharType="begin"/>
                    </w:r>
                    <w:r>
                      <w:instrText xml:space="preserve"> PAGE  \* MERGEFORMAT </w:instrText>
                    </w:r>
                    <w:r>
                      <w:fldChar w:fldCharType="separate"/>
                    </w:r>
                    <w:r>
                      <w:t>74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7605BD"/>
    <w:multiLevelType w:val="singleLevel"/>
    <w:tmpl w:val="877605BD"/>
    <w:lvl w:ilvl="0" w:tentative="0">
      <w:start w:val="1"/>
      <w:numFmt w:val="decimal"/>
      <w:lvlText w:val="%1."/>
      <w:lvlJc w:val="left"/>
      <w:pPr>
        <w:tabs>
          <w:tab w:val="left" w:pos="312"/>
        </w:tabs>
      </w:pPr>
    </w:lvl>
  </w:abstractNum>
  <w:abstractNum w:abstractNumId="1">
    <w:nsid w:val="8A5262DD"/>
    <w:multiLevelType w:val="singleLevel"/>
    <w:tmpl w:val="8A5262DD"/>
    <w:lvl w:ilvl="0" w:tentative="0">
      <w:start w:val="13"/>
      <w:numFmt w:val="decimal"/>
      <w:suff w:val="nothing"/>
      <w:lvlText w:val="%1、"/>
      <w:lvlJc w:val="left"/>
    </w:lvl>
  </w:abstractNum>
  <w:abstractNum w:abstractNumId="2">
    <w:nsid w:val="8D50D54F"/>
    <w:multiLevelType w:val="singleLevel"/>
    <w:tmpl w:val="8D50D54F"/>
    <w:lvl w:ilvl="0" w:tentative="0">
      <w:start w:val="2"/>
      <w:numFmt w:val="decimal"/>
      <w:suff w:val="nothing"/>
      <w:lvlText w:val="（%1）"/>
      <w:lvlJc w:val="left"/>
    </w:lvl>
  </w:abstractNum>
  <w:abstractNum w:abstractNumId="3">
    <w:nsid w:val="945B30ED"/>
    <w:multiLevelType w:val="singleLevel"/>
    <w:tmpl w:val="945B30ED"/>
    <w:lvl w:ilvl="0" w:tentative="0">
      <w:start w:val="1"/>
      <w:numFmt w:val="decimal"/>
      <w:lvlText w:val="%1."/>
      <w:lvlJc w:val="left"/>
      <w:pPr>
        <w:tabs>
          <w:tab w:val="left" w:pos="312"/>
        </w:tabs>
      </w:pPr>
    </w:lvl>
  </w:abstractNum>
  <w:abstractNum w:abstractNumId="4">
    <w:nsid w:val="BB3359EB"/>
    <w:multiLevelType w:val="singleLevel"/>
    <w:tmpl w:val="BB3359EB"/>
    <w:lvl w:ilvl="0" w:tentative="0">
      <w:start w:val="5"/>
      <w:numFmt w:val="decimal"/>
      <w:suff w:val="nothing"/>
      <w:lvlText w:val="%1）"/>
      <w:lvlJc w:val="left"/>
    </w:lvl>
  </w:abstractNum>
  <w:abstractNum w:abstractNumId="5">
    <w:nsid w:val="DEEE5639"/>
    <w:multiLevelType w:val="singleLevel"/>
    <w:tmpl w:val="DEEE5639"/>
    <w:lvl w:ilvl="0" w:tentative="0">
      <w:start w:val="5"/>
      <w:numFmt w:val="upperLetter"/>
      <w:suff w:val="nothing"/>
      <w:lvlText w:val="%1、"/>
      <w:lvlJc w:val="left"/>
    </w:lvl>
  </w:abstractNum>
  <w:abstractNum w:abstractNumId="6">
    <w:nsid w:val="E90DCF1A"/>
    <w:multiLevelType w:val="singleLevel"/>
    <w:tmpl w:val="E90DCF1A"/>
    <w:lvl w:ilvl="0" w:tentative="0">
      <w:start w:val="1"/>
      <w:numFmt w:val="chineseCounting"/>
      <w:suff w:val="nothing"/>
      <w:lvlText w:val="%1、"/>
      <w:lvlJc w:val="left"/>
      <w:rPr>
        <w:rFonts w:hint="eastAsia"/>
      </w:rPr>
    </w:lvl>
  </w:abstractNum>
  <w:abstractNum w:abstractNumId="7">
    <w:nsid w:val="EA189EA9"/>
    <w:multiLevelType w:val="singleLevel"/>
    <w:tmpl w:val="EA189EA9"/>
    <w:lvl w:ilvl="0" w:tentative="0">
      <w:start w:val="1"/>
      <w:numFmt w:val="decimal"/>
      <w:suff w:val="space"/>
      <w:lvlText w:val="%1."/>
      <w:lvlJc w:val="left"/>
    </w:lvl>
  </w:abstractNum>
  <w:abstractNum w:abstractNumId="8">
    <w:nsid w:val="F6A0FD61"/>
    <w:multiLevelType w:val="singleLevel"/>
    <w:tmpl w:val="F6A0FD61"/>
    <w:lvl w:ilvl="0" w:tentative="0">
      <w:start w:val="1"/>
      <w:numFmt w:val="decimal"/>
      <w:suff w:val="nothing"/>
      <w:lvlText w:val="%1、"/>
      <w:lvlJc w:val="left"/>
    </w:lvl>
  </w:abstractNum>
  <w:abstractNum w:abstractNumId="9">
    <w:nsid w:val="00000003"/>
    <w:multiLevelType w:val="multilevel"/>
    <w:tmpl w:val="00000003"/>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06"/>
    <w:multiLevelType w:val="multilevel"/>
    <w:tmpl w:val="00000006"/>
    <w:lvl w:ilvl="0" w:tentative="0">
      <w:start w:val="7"/>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00000008"/>
    <w:multiLevelType w:val="singleLevel"/>
    <w:tmpl w:val="00000008"/>
    <w:lvl w:ilvl="0" w:tentative="0">
      <w:start w:val="3"/>
      <w:numFmt w:val="decimal"/>
      <w:suff w:val="nothing"/>
      <w:lvlText w:val="%1、"/>
      <w:lvlJc w:val="left"/>
      <w:pPr>
        <w:ind w:left="0" w:firstLine="0"/>
      </w:pPr>
    </w:lvl>
  </w:abstractNum>
  <w:abstractNum w:abstractNumId="12">
    <w:nsid w:val="006F042C"/>
    <w:multiLevelType w:val="singleLevel"/>
    <w:tmpl w:val="006F042C"/>
    <w:lvl w:ilvl="0" w:tentative="0">
      <w:start w:val="1"/>
      <w:numFmt w:val="chineseCounting"/>
      <w:suff w:val="nothing"/>
      <w:lvlText w:val="%1、"/>
      <w:lvlJc w:val="left"/>
      <w:rPr>
        <w:rFonts w:hint="eastAsia"/>
      </w:rPr>
    </w:lvl>
  </w:abstractNum>
  <w:abstractNum w:abstractNumId="13">
    <w:nsid w:val="01A163A0"/>
    <w:multiLevelType w:val="singleLevel"/>
    <w:tmpl w:val="01A163A0"/>
    <w:lvl w:ilvl="0" w:tentative="0">
      <w:start w:val="1"/>
      <w:numFmt w:val="decimal"/>
      <w:lvlText w:val="%1."/>
      <w:lvlJc w:val="left"/>
      <w:pPr>
        <w:tabs>
          <w:tab w:val="left" w:pos="312"/>
        </w:tabs>
      </w:pPr>
    </w:lvl>
  </w:abstractNum>
  <w:abstractNum w:abstractNumId="14">
    <w:nsid w:val="14E519A1"/>
    <w:multiLevelType w:val="singleLevel"/>
    <w:tmpl w:val="14E519A1"/>
    <w:lvl w:ilvl="0" w:tentative="0">
      <w:start w:val="1"/>
      <w:numFmt w:val="decimal"/>
      <w:lvlText w:val="%1."/>
      <w:lvlJc w:val="left"/>
      <w:pPr>
        <w:tabs>
          <w:tab w:val="left" w:pos="312"/>
        </w:tabs>
      </w:pPr>
    </w:lvl>
  </w:abstractNum>
  <w:abstractNum w:abstractNumId="15">
    <w:nsid w:val="1DAA86DD"/>
    <w:multiLevelType w:val="singleLevel"/>
    <w:tmpl w:val="1DAA86DD"/>
    <w:lvl w:ilvl="0" w:tentative="0">
      <w:start w:val="1"/>
      <w:numFmt w:val="decimal"/>
      <w:suff w:val="nothing"/>
      <w:lvlText w:val="%1、"/>
      <w:lvlJc w:val="left"/>
    </w:lvl>
  </w:abstractNum>
  <w:abstractNum w:abstractNumId="16">
    <w:nsid w:val="378FC495"/>
    <w:multiLevelType w:val="singleLevel"/>
    <w:tmpl w:val="378FC495"/>
    <w:lvl w:ilvl="0" w:tentative="0">
      <w:start w:val="1"/>
      <w:numFmt w:val="decimal"/>
      <w:lvlText w:val="%1."/>
      <w:lvlJc w:val="left"/>
      <w:pPr>
        <w:tabs>
          <w:tab w:val="left" w:pos="312"/>
        </w:tabs>
      </w:pPr>
    </w:lvl>
  </w:abstractNum>
  <w:abstractNum w:abstractNumId="17">
    <w:nsid w:val="447C2FF3"/>
    <w:multiLevelType w:val="singleLevel"/>
    <w:tmpl w:val="447C2FF3"/>
    <w:lvl w:ilvl="0" w:tentative="0">
      <w:start w:val="1"/>
      <w:numFmt w:val="decimal"/>
      <w:suff w:val="space"/>
      <w:lvlText w:val="%1."/>
      <w:lvlJc w:val="left"/>
    </w:lvl>
  </w:abstractNum>
  <w:abstractNum w:abstractNumId="18">
    <w:nsid w:val="486815B9"/>
    <w:multiLevelType w:val="singleLevel"/>
    <w:tmpl w:val="486815B9"/>
    <w:lvl w:ilvl="0" w:tentative="0">
      <w:start w:val="1"/>
      <w:numFmt w:val="chineseCounting"/>
      <w:suff w:val="space"/>
      <w:lvlText w:val="第%1章"/>
      <w:lvlJc w:val="left"/>
      <w:rPr>
        <w:rFonts w:hint="eastAsia"/>
      </w:rPr>
    </w:lvl>
  </w:abstractNum>
  <w:abstractNum w:abstractNumId="19">
    <w:nsid w:val="4A3D3875"/>
    <w:multiLevelType w:val="singleLevel"/>
    <w:tmpl w:val="4A3D3875"/>
    <w:lvl w:ilvl="0" w:tentative="0">
      <w:start w:val="1"/>
      <w:numFmt w:val="decimal"/>
      <w:lvlText w:val="%1."/>
      <w:lvlJc w:val="left"/>
      <w:pPr>
        <w:tabs>
          <w:tab w:val="left" w:pos="312"/>
        </w:tabs>
      </w:pPr>
    </w:lvl>
  </w:abstractNum>
  <w:abstractNum w:abstractNumId="20">
    <w:nsid w:val="4EBFD9C7"/>
    <w:multiLevelType w:val="singleLevel"/>
    <w:tmpl w:val="4EBFD9C7"/>
    <w:lvl w:ilvl="0" w:tentative="0">
      <w:start w:val="3"/>
      <w:numFmt w:val="chineseCounting"/>
      <w:suff w:val="nothing"/>
      <w:lvlText w:val="%1、"/>
      <w:lvlJc w:val="left"/>
      <w:pPr>
        <w:ind w:left="105" w:firstLine="0"/>
      </w:pPr>
      <w:rPr>
        <w:rFonts w:hint="eastAsia"/>
      </w:rPr>
    </w:lvl>
  </w:abstractNum>
  <w:abstractNum w:abstractNumId="21">
    <w:nsid w:val="4EE21484"/>
    <w:multiLevelType w:val="singleLevel"/>
    <w:tmpl w:val="4EE21484"/>
    <w:lvl w:ilvl="0" w:tentative="0">
      <w:start w:val="6"/>
      <w:numFmt w:val="decimal"/>
      <w:suff w:val="nothing"/>
      <w:lvlText w:val="（%1）"/>
      <w:lvlJc w:val="left"/>
    </w:lvl>
  </w:abstractNum>
  <w:abstractNum w:abstractNumId="22">
    <w:nsid w:val="732FA819"/>
    <w:multiLevelType w:val="singleLevel"/>
    <w:tmpl w:val="732FA819"/>
    <w:lvl w:ilvl="0" w:tentative="0">
      <w:start w:val="1"/>
      <w:numFmt w:val="decimal"/>
      <w:lvlText w:val="%1."/>
      <w:lvlJc w:val="left"/>
      <w:pPr>
        <w:tabs>
          <w:tab w:val="left" w:pos="312"/>
        </w:tabs>
      </w:pPr>
    </w:lvl>
  </w:abstractNum>
  <w:num w:numId="1">
    <w:abstractNumId w:val="18"/>
  </w:num>
  <w:num w:numId="2">
    <w:abstractNumId w:val="17"/>
  </w:num>
  <w:num w:numId="3">
    <w:abstractNumId w:val="6"/>
  </w:num>
  <w:num w:numId="4">
    <w:abstractNumId w:val="1"/>
  </w:num>
  <w:num w:numId="5">
    <w:abstractNumId w:val="22"/>
  </w:num>
  <w:num w:numId="6">
    <w:abstractNumId w:val="16"/>
  </w:num>
  <w:num w:numId="7">
    <w:abstractNumId w:val="3"/>
  </w:num>
  <w:num w:numId="8">
    <w:abstractNumId w:val="13"/>
  </w:num>
  <w:num w:numId="9">
    <w:abstractNumId w:val="12"/>
  </w:num>
  <w:num w:numId="10">
    <w:abstractNumId w:val="2"/>
  </w:num>
  <w:num w:numId="11">
    <w:abstractNumId w:val="7"/>
  </w:num>
  <w:num w:numId="12">
    <w:abstractNumId w:val="0"/>
  </w:num>
  <w:num w:numId="13">
    <w:abstractNumId w:val="19"/>
  </w:num>
  <w:num w:numId="14">
    <w:abstractNumId w:val="14"/>
  </w:num>
  <w:num w:numId="15">
    <w:abstractNumId w:val="20"/>
  </w:num>
  <w:num w:numId="16">
    <w:abstractNumId w:val="15"/>
  </w:num>
  <w:num w:numId="17">
    <w:abstractNumId w:val="9"/>
  </w:num>
  <w:num w:numId="18">
    <w:abstractNumId w:val="10"/>
  </w:num>
  <w:num w:numId="19">
    <w:abstractNumId w:val="11"/>
    <w:lvlOverride w:ilvl="0">
      <w:startOverride w:val="3"/>
      <w:lvl w:ilvl="0" w:tentative="1">
        <w:start w:val="3"/>
        <w:numFmt w:val="decimal"/>
        <w:suff w:val="nothing"/>
        <w:lvlText w:val="%1、"/>
        <w:lvlJc w:val="left"/>
        <w:pPr>
          <w:ind w:left="0" w:firstLine="0"/>
        </w:pPr>
      </w:lvl>
    </w:lvlOverride>
  </w:num>
  <w:num w:numId="20">
    <w:abstractNumId w:val="4"/>
  </w:num>
  <w:num w:numId="21">
    <w:abstractNumId w:val="21"/>
  </w:num>
  <w:num w:numId="22">
    <w:abstractNumId w:val="8"/>
  </w:num>
  <w:num w:numId="23">
    <w:abstractNumId w:val="5"/>
  </w:num>
  <w:num w:numId="24">
    <w:abstractNumId w:val="11"/>
    <w:lvlOverride w:ilvl="0">
      <w:startOverride w:val="3"/>
      <w:lvl w:ilvl="0" w:tentative="1">
        <w:start w:val="3"/>
        <w:numFmt w:val="decimal"/>
        <w:suff w:val="nothing"/>
        <w:lvlText w:val="%1、"/>
        <w:lvlJc w:val="left"/>
        <w:pPr>
          <w:ind w:left="0" w:firstLine="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2ZTJkMDY0NWE5NTI4ZDZmNTYxMTk4YWRjYjUyNDAifQ=="/>
  </w:docVars>
  <w:rsids>
    <w:rsidRoot w:val="00172A27"/>
    <w:rsid w:val="00851DCD"/>
    <w:rsid w:val="01B666C0"/>
    <w:rsid w:val="01B67601"/>
    <w:rsid w:val="01D60B10"/>
    <w:rsid w:val="0263092F"/>
    <w:rsid w:val="02704AC1"/>
    <w:rsid w:val="02A1111E"/>
    <w:rsid w:val="02E677CF"/>
    <w:rsid w:val="02ED1C6E"/>
    <w:rsid w:val="02ED7EC0"/>
    <w:rsid w:val="032C7F14"/>
    <w:rsid w:val="035E2B6B"/>
    <w:rsid w:val="03634626"/>
    <w:rsid w:val="03F139E8"/>
    <w:rsid w:val="04206073"/>
    <w:rsid w:val="0444548E"/>
    <w:rsid w:val="048C0345"/>
    <w:rsid w:val="04A8706C"/>
    <w:rsid w:val="04B62533"/>
    <w:rsid w:val="05FE23E4"/>
    <w:rsid w:val="06677F89"/>
    <w:rsid w:val="06927095"/>
    <w:rsid w:val="07012BF6"/>
    <w:rsid w:val="077D247F"/>
    <w:rsid w:val="07F75BF8"/>
    <w:rsid w:val="081F75BF"/>
    <w:rsid w:val="08734799"/>
    <w:rsid w:val="08D85501"/>
    <w:rsid w:val="097745F7"/>
    <w:rsid w:val="0A595E3B"/>
    <w:rsid w:val="0A642E57"/>
    <w:rsid w:val="0A88367A"/>
    <w:rsid w:val="0B0E180B"/>
    <w:rsid w:val="0B324AAB"/>
    <w:rsid w:val="0B41524D"/>
    <w:rsid w:val="0B6423BD"/>
    <w:rsid w:val="0B7D3DAB"/>
    <w:rsid w:val="0C0A3890"/>
    <w:rsid w:val="0C3A566F"/>
    <w:rsid w:val="0DEA59A1"/>
    <w:rsid w:val="0ECE5D13"/>
    <w:rsid w:val="0F0D0C2B"/>
    <w:rsid w:val="0F646881"/>
    <w:rsid w:val="0FDD34F6"/>
    <w:rsid w:val="0FE72B3D"/>
    <w:rsid w:val="0FED7A4D"/>
    <w:rsid w:val="10B34887"/>
    <w:rsid w:val="10CB7366"/>
    <w:rsid w:val="11494E5B"/>
    <w:rsid w:val="11975CCC"/>
    <w:rsid w:val="124F46F3"/>
    <w:rsid w:val="128123D2"/>
    <w:rsid w:val="132B6CD5"/>
    <w:rsid w:val="13D65F26"/>
    <w:rsid w:val="13D73FAB"/>
    <w:rsid w:val="13DA2702"/>
    <w:rsid w:val="143D1F5C"/>
    <w:rsid w:val="14520BB7"/>
    <w:rsid w:val="145770DD"/>
    <w:rsid w:val="1520048F"/>
    <w:rsid w:val="154D6FE5"/>
    <w:rsid w:val="15547FDE"/>
    <w:rsid w:val="15C03491"/>
    <w:rsid w:val="15F5735F"/>
    <w:rsid w:val="16B8033B"/>
    <w:rsid w:val="16C005E1"/>
    <w:rsid w:val="16E178E4"/>
    <w:rsid w:val="178C1FE7"/>
    <w:rsid w:val="17FB49D5"/>
    <w:rsid w:val="185836C1"/>
    <w:rsid w:val="186715DB"/>
    <w:rsid w:val="18BA0347"/>
    <w:rsid w:val="18D77728"/>
    <w:rsid w:val="18D92BB5"/>
    <w:rsid w:val="198A0323"/>
    <w:rsid w:val="199D068E"/>
    <w:rsid w:val="1A82037F"/>
    <w:rsid w:val="1AA41354"/>
    <w:rsid w:val="1B586030"/>
    <w:rsid w:val="1B6F52C1"/>
    <w:rsid w:val="1BC4551D"/>
    <w:rsid w:val="1C0632F8"/>
    <w:rsid w:val="1CA05134"/>
    <w:rsid w:val="1E9F430C"/>
    <w:rsid w:val="1EFF4D4B"/>
    <w:rsid w:val="1F234F3D"/>
    <w:rsid w:val="1FC009DE"/>
    <w:rsid w:val="20547378"/>
    <w:rsid w:val="20870957"/>
    <w:rsid w:val="2136082C"/>
    <w:rsid w:val="218E56E9"/>
    <w:rsid w:val="222D3FA5"/>
    <w:rsid w:val="227C4964"/>
    <w:rsid w:val="234C38D6"/>
    <w:rsid w:val="234E6301"/>
    <w:rsid w:val="235F2713"/>
    <w:rsid w:val="23851E38"/>
    <w:rsid w:val="238D507B"/>
    <w:rsid w:val="23A128D5"/>
    <w:rsid w:val="23CE7442"/>
    <w:rsid w:val="23EF1892"/>
    <w:rsid w:val="24C972AC"/>
    <w:rsid w:val="250E5D48"/>
    <w:rsid w:val="252D49D9"/>
    <w:rsid w:val="2580570A"/>
    <w:rsid w:val="25D02FFD"/>
    <w:rsid w:val="25F64472"/>
    <w:rsid w:val="261750D0"/>
    <w:rsid w:val="261B3AF5"/>
    <w:rsid w:val="263E1D82"/>
    <w:rsid w:val="2666152C"/>
    <w:rsid w:val="26B6068C"/>
    <w:rsid w:val="26DA3DC6"/>
    <w:rsid w:val="26DF76F3"/>
    <w:rsid w:val="2720370E"/>
    <w:rsid w:val="27291F80"/>
    <w:rsid w:val="27515E5C"/>
    <w:rsid w:val="27691F03"/>
    <w:rsid w:val="27FF492C"/>
    <w:rsid w:val="28185E93"/>
    <w:rsid w:val="2863070C"/>
    <w:rsid w:val="2910563E"/>
    <w:rsid w:val="29AB625B"/>
    <w:rsid w:val="29BB4803"/>
    <w:rsid w:val="29D137E8"/>
    <w:rsid w:val="2A531FC8"/>
    <w:rsid w:val="2A5A7C1B"/>
    <w:rsid w:val="2AD74E2E"/>
    <w:rsid w:val="2B14398C"/>
    <w:rsid w:val="2B5E554F"/>
    <w:rsid w:val="2B7266D9"/>
    <w:rsid w:val="2BB544F6"/>
    <w:rsid w:val="2C414A8A"/>
    <w:rsid w:val="2C486535"/>
    <w:rsid w:val="2CF23945"/>
    <w:rsid w:val="2CFE2B46"/>
    <w:rsid w:val="2D045593"/>
    <w:rsid w:val="2D17784C"/>
    <w:rsid w:val="2DB6608D"/>
    <w:rsid w:val="2DE22CBA"/>
    <w:rsid w:val="2E905A1F"/>
    <w:rsid w:val="2ED254E2"/>
    <w:rsid w:val="2EEF722D"/>
    <w:rsid w:val="2FEF7927"/>
    <w:rsid w:val="3053184D"/>
    <w:rsid w:val="30B00B8C"/>
    <w:rsid w:val="31532D34"/>
    <w:rsid w:val="319943C6"/>
    <w:rsid w:val="31E97974"/>
    <w:rsid w:val="32300AE3"/>
    <w:rsid w:val="324A3374"/>
    <w:rsid w:val="32506D00"/>
    <w:rsid w:val="32566F80"/>
    <w:rsid w:val="329C2BEC"/>
    <w:rsid w:val="3373567E"/>
    <w:rsid w:val="33A17044"/>
    <w:rsid w:val="353C16BC"/>
    <w:rsid w:val="356C533B"/>
    <w:rsid w:val="356E72AB"/>
    <w:rsid w:val="35984358"/>
    <w:rsid w:val="35C25B02"/>
    <w:rsid w:val="36CA10D3"/>
    <w:rsid w:val="371A057C"/>
    <w:rsid w:val="37492C0F"/>
    <w:rsid w:val="37643EED"/>
    <w:rsid w:val="37675679"/>
    <w:rsid w:val="37780009"/>
    <w:rsid w:val="387263AD"/>
    <w:rsid w:val="387D1690"/>
    <w:rsid w:val="38832151"/>
    <w:rsid w:val="38B50BC8"/>
    <w:rsid w:val="38BD6FAB"/>
    <w:rsid w:val="390249CC"/>
    <w:rsid w:val="39E65851"/>
    <w:rsid w:val="3A695D7D"/>
    <w:rsid w:val="3A7D77AB"/>
    <w:rsid w:val="3AD76784"/>
    <w:rsid w:val="3B885999"/>
    <w:rsid w:val="3B8D35B4"/>
    <w:rsid w:val="3BEB24E7"/>
    <w:rsid w:val="3C011D0B"/>
    <w:rsid w:val="3C7C5835"/>
    <w:rsid w:val="3CEF5448"/>
    <w:rsid w:val="3D0F48FB"/>
    <w:rsid w:val="3D297375"/>
    <w:rsid w:val="3DA05553"/>
    <w:rsid w:val="3E156362"/>
    <w:rsid w:val="3E740EBA"/>
    <w:rsid w:val="3F516B05"/>
    <w:rsid w:val="3F890995"/>
    <w:rsid w:val="41AA7DF6"/>
    <w:rsid w:val="41EB54B3"/>
    <w:rsid w:val="420B5E2A"/>
    <w:rsid w:val="42436F0F"/>
    <w:rsid w:val="429D0A5D"/>
    <w:rsid w:val="42CC79D0"/>
    <w:rsid w:val="42DB72D5"/>
    <w:rsid w:val="42F869F2"/>
    <w:rsid w:val="42FE6FA4"/>
    <w:rsid w:val="44202F4A"/>
    <w:rsid w:val="44AC00B9"/>
    <w:rsid w:val="45060392"/>
    <w:rsid w:val="458C4D3B"/>
    <w:rsid w:val="46B042E4"/>
    <w:rsid w:val="474363D2"/>
    <w:rsid w:val="4770243A"/>
    <w:rsid w:val="47754C00"/>
    <w:rsid w:val="47CB7671"/>
    <w:rsid w:val="488C766D"/>
    <w:rsid w:val="48AD1E51"/>
    <w:rsid w:val="495A6EFE"/>
    <w:rsid w:val="49D46CB0"/>
    <w:rsid w:val="4ABE526B"/>
    <w:rsid w:val="4BD760B4"/>
    <w:rsid w:val="4BEA27BB"/>
    <w:rsid w:val="4C080E93"/>
    <w:rsid w:val="4CAC1773"/>
    <w:rsid w:val="4D2B4E39"/>
    <w:rsid w:val="4DEB45C9"/>
    <w:rsid w:val="4DED0341"/>
    <w:rsid w:val="4DEF7AEA"/>
    <w:rsid w:val="4E102281"/>
    <w:rsid w:val="4E3F696B"/>
    <w:rsid w:val="4E5C1022"/>
    <w:rsid w:val="4ECC61A8"/>
    <w:rsid w:val="4F1B712F"/>
    <w:rsid w:val="4F6463E1"/>
    <w:rsid w:val="500058BA"/>
    <w:rsid w:val="502B5150"/>
    <w:rsid w:val="504E65AB"/>
    <w:rsid w:val="51374A61"/>
    <w:rsid w:val="51450494"/>
    <w:rsid w:val="51F9470F"/>
    <w:rsid w:val="524B7D2C"/>
    <w:rsid w:val="52DC63FD"/>
    <w:rsid w:val="53EC4BF7"/>
    <w:rsid w:val="54336CC9"/>
    <w:rsid w:val="5483371A"/>
    <w:rsid w:val="55193699"/>
    <w:rsid w:val="552D0FC7"/>
    <w:rsid w:val="56051FA0"/>
    <w:rsid w:val="56163400"/>
    <w:rsid w:val="5626433A"/>
    <w:rsid w:val="5650289C"/>
    <w:rsid w:val="57160908"/>
    <w:rsid w:val="575023C1"/>
    <w:rsid w:val="579104A4"/>
    <w:rsid w:val="591E1CF6"/>
    <w:rsid w:val="5A8930F9"/>
    <w:rsid w:val="5AEF428F"/>
    <w:rsid w:val="5B164964"/>
    <w:rsid w:val="5B4E6DF0"/>
    <w:rsid w:val="5C192730"/>
    <w:rsid w:val="5C2614F0"/>
    <w:rsid w:val="5C341831"/>
    <w:rsid w:val="5C7B360F"/>
    <w:rsid w:val="5CE9160A"/>
    <w:rsid w:val="5CEB19FD"/>
    <w:rsid w:val="5D1A3F40"/>
    <w:rsid w:val="5D477710"/>
    <w:rsid w:val="5D996400"/>
    <w:rsid w:val="5DAC0CF7"/>
    <w:rsid w:val="5E326D9F"/>
    <w:rsid w:val="5E385608"/>
    <w:rsid w:val="5EAE2BA6"/>
    <w:rsid w:val="5ECC239D"/>
    <w:rsid w:val="5EE019AC"/>
    <w:rsid w:val="5EFD5F0A"/>
    <w:rsid w:val="5F8D54E0"/>
    <w:rsid w:val="5FA42A03"/>
    <w:rsid w:val="5FF26A2F"/>
    <w:rsid w:val="6008663C"/>
    <w:rsid w:val="601259E5"/>
    <w:rsid w:val="60B66087"/>
    <w:rsid w:val="60B66712"/>
    <w:rsid w:val="60E27A91"/>
    <w:rsid w:val="60ED40AE"/>
    <w:rsid w:val="613B3E0B"/>
    <w:rsid w:val="61461DEA"/>
    <w:rsid w:val="61481918"/>
    <w:rsid w:val="61844B11"/>
    <w:rsid w:val="61946EB7"/>
    <w:rsid w:val="619D0B2C"/>
    <w:rsid w:val="62792BC7"/>
    <w:rsid w:val="64033FC2"/>
    <w:rsid w:val="643B19AE"/>
    <w:rsid w:val="647E3D3E"/>
    <w:rsid w:val="64C64FF0"/>
    <w:rsid w:val="650B7C52"/>
    <w:rsid w:val="65966871"/>
    <w:rsid w:val="65CC4888"/>
    <w:rsid w:val="65DF50D5"/>
    <w:rsid w:val="671F2DD8"/>
    <w:rsid w:val="67880D3F"/>
    <w:rsid w:val="67D208A0"/>
    <w:rsid w:val="683D4A21"/>
    <w:rsid w:val="68592AB9"/>
    <w:rsid w:val="68787F8E"/>
    <w:rsid w:val="6A7F45BF"/>
    <w:rsid w:val="6A885221"/>
    <w:rsid w:val="6AA11C98"/>
    <w:rsid w:val="6AB414A4"/>
    <w:rsid w:val="6B385337"/>
    <w:rsid w:val="6B3D425E"/>
    <w:rsid w:val="6B4E7016"/>
    <w:rsid w:val="6BD85DF2"/>
    <w:rsid w:val="6C677FCB"/>
    <w:rsid w:val="6D4F4126"/>
    <w:rsid w:val="6D587D8A"/>
    <w:rsid w:val="6E9A5523"/>
    <w:rsid w:val="6EB26D11"/>
    <w:rsid w:val="6F262120"/>
    <w:rsid w:val="6F4351AA"/>
    <w:rsid w:val="6F973F7E"/>
    <w:rsid w:val="6F9A3BAB"/>
    <w:rsid w:val="6FD41AE9"/>
    <w:rsid w:val="6FF944CB"/>
    <w:rsid w:val="70074C3C"/>
    <w:rsid w:val="70155020"/>
    <w:rsid w:val="705E3501"/>
    <w:rsid w:val="70F535E6"/>
    <w:rsid w:val="713F42DB"/>
    <w:rsid w:val="71A46034"/>
    <w:rsid w:val="71A634B2"/>
    <w:rsid w:val="724B7271"/>
    <w:rsid w:val="72D51220"/>
    <w:rsid w:val="72F71056"/>
    <w:rsid w:val="73100BB1"/>
    <w:rsid w:val="73582308"/>
    <w:rsid w:val="73CE3700"/>
    <w:rsid w:val="73EA4857"/>
    <w:rsid w:val="747F4194"/>
    <w:rsid w:val="74DD408E"/>
    <w:rsid w:val="755A1EB0"/>
    <w:rsid w:val="757139EB"/>
    <w:rsid w:val="758A36DA"/>
    <w:rsid w:val="76465F91"/>
    <w:rsid w:val="765608C9"/>
    <w:rsid w:val="76AD4308"/>
    <w:rsid w:val="76DD06A3"/>
    <w:rsid w:val="772F05CC"/>
    <w:rsid w:val="78034139"/>
    <w:rsid w:val="78142A31"/>
    <w:rsid w:val="78E75B3E"/>
    <w:rsid w:val="78FD6EBE"/>
    <w:rsid w:val="793B4993"/>
    <w:rsid w:val="79843B4B"/>
    <w:rsid w:val="7984574E"/>
    <w:rsid w:val="7A027042"/>
    <w:rsid w:val="7A37456E"/>
    <w:rsid w:val="7A750E83"/>
    <w:rsid w:val="7AE55D78"/>
    <w:rsid w:val="7AE908E4"/>
    <w:rsid w:val="7B427D7A"/>
    <w:rsid w:val="7B492952"/>
    <w:rsid w:val="7B5D1DB2"/>
    <w:rsid w:val="7B65510B"/>
    <w:rsid w:val="7BAA1A56"/>
    <w:rsid w:val="7BD163AB"/>
    <w:rsid w:val="7C947A56"/>
    <w:rsid w:val="7D0821F2"/>
    <w:rsid w:val="7DA500D2"/>
    <w:rsid w:val="7E3037AE"/>
    <w:rsid w:val="7E5D3FB2"/>
    <w:rsid w:val="7EC564AB"/>
    <w:rsid w:val="7EDE6AF0"/>
    <w:rsid w:val="7F612F9E"/>
    <w:rsid w:val="7F664383"/>
    <w:rsid w:val="7FA5698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宋体" w:eastAsia="宋体" w:cs="Calibri"/>
      <w:kern w:val="2"/>
      <w:sz w:val="21"/>
      <w:szCs w:val="21"/>
      <w:lang w:val="en-US" w:eastAsia="zh-CN" w:bidi="ar-SA"/>
    </w:rPr>
  </w:style>
  <w:style w:type="paragraph" w:styleId="2">
    <w:name w:val="heading 1"/>
    <w:basedOn w:val="1"/>
    <w:next w:val="1"/>
    <w:qFormat/>
    <w:uiPriority w:val="0"/>
    <w:pPr>
      <w:keepNext/>
      <w:keepLines/>
      <w:widowControl w:val="0"/>
      <w:spacing w:before="340" w:beforeAutospacing="0" w:after="330" w:afterAutospacing="0" w:line="576" w:lineRule="auto"/>
      <w:outlineLvl w:val="0"/>
    </w:pPr>
    <w:rPr>
      <w:b/>
      <w:kern w:val="44"/>
      <w:sz w:val="44"/>
    </w:rPr>
  </w:style>
  <w:style w:type="paragraph" w:styleId="3">
    <w:name w:val="heading 2"/>
    <w:basedOn w:val="1"/>
    <w:next w:val="1"/>
    <w:qFormat/>
    <w:uiPriority w:val="0"/>
    <w:pPr>
      <w:keepNext/>
      <w:keepLines/>
      <w:widowControl w:val="0"/>
      <w:adjustRightInd w:val="0"/>
      <w:spacing w:before="160" w:after="160" w:line="240" w:lineRule="atLeast"/>
      <w:ind w:left="965" w:hanging="425"/>
      <w:textAlignment w:val="baseline"/>
      <w:outlineLvl w:val="1"/>
    </w:pPr>
    <w:rPr>
      <w:rFonts w:ascii="黑体" w:hAnsi="黑体" w:eastAsia="黑体" w:cs="Times New Roman"/>
      <w:kern w:val="0"/>
      <w:sz w:val="28"/>
      <w:szCs w:val="28"/>
      <w:lang w:bidi="ar-SA"/>
    </w:rPr>
  </w:style>
  <w:style w:type="paragraph" w:styleId="4">
    <w:name w:val="heading 3"/>
    <w:basedOn w:val="1"/>
    <w:next w:val="1"/>
    <w:qFormat/>
    <w:uiPriority w:val="0"/>
    <w:pPr>
      <w:keepNext/>
      <w:keepLines/>
      <w:widowControl w:val="0"/>
      <w:spacing w:before="260" w:after="260" w:line="412" w:lineRule="auto"/>
      <w:ind w:left="720" w:hanging="720"/>
      <w:outlineLvl w:val="2"/>
    </w:pPr>
    <w:rPr>
      <w:rFonts w:ascii="Calibri" w:hAnsi="Calibri" w:cs="Times New Roman"/>
      <w:b/>
      <w:sz w:val="32"/>
      <w:szCs w:val="24"/>
      <w:lang w:bidi="ar-SA"/>
    </w:rPr>
  </w:style>
  <w:style w:type="character" w:default="1" w:styleId="21">
    <w:name w:val="Default Paragraph Font"/>
    <w:qFormat/>
    <w:uiPriority w:val="0"/>
  </w:style>
  <w:style w:type="table" w:default="1" w:styleId="19">
    <w:name w:val="Normal Table"/>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5"/>
    </w:pPr>
    <w:rPr>
      <w:rFonts w:cs="Times New Roman"/>
      <w:lang w:bidi="ar-SA"/>
    </w:rPr>
  </w:style>
  <w:style w:type="paragraph" w:styleId="6">
    <w:name w:val="caption"/>
    <w:basedOn w:val="1"/>
    <w:next w:val="1"/>
    <w:qFormat/>
    <w:uiPriority w:val="0"/>
    <w:rPr>
      <w:rFonts w:ascii="Arial" w:hAnsi="黑体" w:eastAsia="黑体" w:cs="Arial"/>
      <w:sz w:val="20"/>
      <w:szCs w:val="20"/>
      <w:lang w:bidi="ar-SA"/>
    </w:rPr>
  </w:style>
  <w:style w:type="paragraph" w:styleId="7">
    <w:name w:val="toa heading"/>
    <w:basedOn w:val="1"/>
    <w:next w:val="1"/>
    <w:qFormat/>
    <w:uiPriority w:val="0"/>
    <w:rPr>
      <w:rFonts w:ascii="Arial" w:hAnsi="Arial"/>
      <w:sz w:val="24"/>
    </w:rPr>
  </w:style>
  <w:style w:type="paragraph" w:styleId="8">
    <w:name w:val="annotation text"/>
    <w:basedOn w:val="1"/>
    <w:qFormat/>
    <w:uiPriority w:val="0"/>
    <w:pPr>
      <w:jc w:val="left"/>
    </w:pPr>
  </w:style>
  <w:style w:type="paragraph" w:styleId="9">
    <w:name w:val="Body Text"/>
    <w:basedOn w:val="1"/>
    <w:next w:val="1"/>
    <w:qFormat/>
    <w:uiPriority w:val="0"/>
    <w:pPr>
      <w:spacing w:after="120"/>
    </w:pPr>
    <w:rPr>
      <w:rFonts w:ascii="Calibri" w:hAnsi="Calibri" w:cs="Times New Roman"/>
      <w:kern w:val="0"/>
      <w:sz w:val="20"/>
      <w:lang w:bidi="ar-SA"/>
    </w:rPr>
  </w:style>
  <w:style w:type="paragraph" w:styleId="10">
    <w:name w:val="Body Text Indent"/>
    <w:basedOn w:val="1"/>
    <w:next w:val="11"/>
    <w:qFormat/>
    <w:uiPriority w:val="0"/>
    <w:pPr>
      <w:spacing w:after="120"/>
      <w:ind w:left="200" w:leftChars="200"/>
    </w:pPr>
    <w:rPr>
      <w:rFonts w:ascii="Calibri" w:hAnsi="Calibri" w:cs="Times New Roman"/>
      <w:kern w:val="0"/>
      <w:sz w:val="20"/>
      <w:lang w:bidi="ar-SA"/>
    </w:rPr>
  </w:style>
  <w:style w:type="paragraph" w:styleId="11">
    <w:name w:val="Body Text First Indent 2"/>
    <w:basedOn w:val="10"/>
    <w:next w:val="12"/>
    <w:qFormat/>
    <w:uiPriority w:val="0"/>
    <w:pPr>
      <w:ind w:firstLine="200" w:firstLineChars="200"/>
    </w:pPr>
    <w:rPr>
      <w:rFonts w:ascii="Times New Roman" w:hAnsi="Times New Roman"/>
    </w:rPr>
  </w:style>
  <w:style w:type="paragraph" w:styleId="12">
    <w:name w:val="Date"/>
    <w:basedOn w:val="1"/>
    <w:next w:val="1"/>
    <w:qFormat/>
    <w:uiPriority w:val="0"/>
    <w:pPr>
      <w:ind w:left="100" w:leftChars="2500"/>
    </w:pPr>
    <w:rPr>
      <w:rFonts w:ascii="Calibri" w:hAnsi="Calibri" w:cs="Times New Roman"/>
      <w:kern w:val="0"/>
      <w:sz w:val="20"/>
    </w:rPr>
  </w:style>
  <w:style w:type="paragraph" w:styleId="13">
    <w:name w:val="Plain Text"/>
    <w:basedOn w:val="1"/>
    <w:qFormat/>
    <w:uiPriority w:val="0"/>
    <w:rPr>
      <w:rFonts w:cs="Times New Roman"/>
      <w:kern w:val="0"/>
      <w:sz w:val="24"/>
      <w:szCs w:val="24"/>
      <w:lang w:bidi="ar-SA"/>
    </w:rPr>
  </w:style>
  <w:style w:type="paragraph" w:styleId="14">
    <w:name w:val="footer"/>
    <w:basedOn w:val="1"/>
    <w:qFormat/>
    <w:uiPriority w:val="0"/>
    <w:pPr>
      <w:snapToGrid w:val="0"/>
      <w:jc w:val="left"/>
    </w:pPr>
    <w:rPr>
      <w:rFonts w:cs="Times New Roman"/>
      <w:kern w:val="0"/>
      <w:sz w:val="18"/>
      <w:szCs w:val="18"/>
      <w:lang w:bidi="ar-SA"/>
    </w:rPr>
  </w:style>
  <w:style w:type="paragraph" w:styleId="15">
    <w:name w:val="header"/>
    <w:basedOn w:val="1"/>
    <w:qFormat/>
    <w:uiPriority w:val="0"/>
    <w:pPr>
      <w:tabs>
        <w:tab w:val="center" w:pos="4153"/>
        <w:tab w:val="right" w:pos="8306"/>
      </w:tabs>
      <w:snapToGrid w:val="0"/>
      <w:jc w:val="center"/>
    </w:pPr>
    <w:rPr>
      <w:sz w:val="18"/>
      <w:szCs w:val="18"/>
    </w:rPr>
  </w:style>
  <w:style w:type="paragraph" w:styleId="16">
    <w:name w:val="Body Text 2"/>
    <w:basedOn w:val="1"/>
    <w:next w:val="1"/>
    <w:qFormat/>
    <w:uiPriority w:val="0"/>
    <w:pPr>
      <w:widowControl/>
      <w:spacing w:before="100" w:beforeAutospacing="1" w:after="100" w:afterAutospacing="1"/>
      <w:jc w:val="left"/>
    </w:pPr>
    <w:rPr>
      <w:rFonts w:ascii="宋体"/>
      <w:kern w:val="0"/>
      <w:sz w:val="24"/>
    </w:rPr>
  </w:style>
  <w:style w:type="paragraph" w:styleId="17">
    <w:name w:val="Normal (Web)"/>
    <w:basedOn w:val="1"/>
    <w:qFormat/>
    <w:uiPriority w:val="0"/>
    <w:pPr>
      <w:widowControl/>
      <w:spacing w:before="100" w:beforeAutospacing="1" w:after="100" w:afterAutospacing="1"/>
      <w:jc w:val="left"/>
    </w:pPr>
    <w:rPr>
      <w:rFonts w:ascii="宋体" w:cs="宋体"/>
      <w:kern w:val="0"/>
      <w:sz w:val="24"/>
      <w:szCs w:val="24"/>
      <w:lang w:bidi="ar-SA"/>
    </w:rPr>
  </w:style>
  <w:style w:type="paragraph" w:styleId="18">
    <w:name w:val="Body Text First Indent"/>
    <w:basedOn w:val="9"/>
    <w:next w:val="11"/>
    <w:qFormat/>
    <w:uiPriority w:val="0"/>
    <w:pPr>
      <w:spacing w:before="100" w:beforeAutospacing="1"/>
      <w:ind w:firstLine="100" w:firstLineChars="100"/>
    </w:pPr>
    <w:rPr>
      <w:rFonts w:ascii="宋体"/>
      <w:sz w:val="34"/>
      <w:szCs w:val="34"/>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FollowedHyperlink"/>
    <w:qFormat/>
    <w:uiPriority w:val="0"/>
    <w:rPr>
      <w:color w:val="444444"/>
      <w:sz w:val="21"/>
      <w:szCs w:val="21"/>
      <w:u w:val="none"/>
    </w:rPr>
  </w:style>
  <w:style w:type="character" w:styleId="23">
    <w:name w:val="Hyperlink"/>
    <w:qFormat/>
    <w:uiPriority w:val="0"/>
    <w:rPr>
      <w:color w:val="000000"/>
      <w:u w:val="none"/>
    </w:rPr>
  </w:style>
  <w:style w:type="paragraph" w:styleId="24">
    <w:name w:val="List Paragraph"/>
    <w:basedOn w:val="1"/>
    <w:qFormat/>
    <w:uiPriority w:val="0"/>
    <w:pPr>
      <w:ind w:firstLine="200" w:firstLineChars="200"/>
    </w:pPr>
  </w:style>
  <w:style w:type="character" w:customStyle="1" w:styleId="25">
    <w:name w:val="NormalCharacter"/>
    <w:qFormat/>
    <w:uiPriority w:val="0"/>
  </w:style>
  <w:style w:type="paragraph" w:customStyle="1" w:styleId="26">
    <w:name w:val="样式 样式 样式 样式 标题 2 + 宋体 五号 非加粗 黑色 + 段前: 6 磅 段后: 0 磅 行距: 单倍行距 + 段前:..."/>
    <w:basedOn w:val="1"/>
    <w:qFormat/>
    <w:uiPriority w:val="0"/>
    <w:pPr>
      <w:keepNext/>
      <w:keepLines/>
      <w:widowControl w:val="0"/>
      <w:adjustRightInd w:val="0"/>
      <w:spacing w:before="240" w:after="100" w:afterAutospacing="1"/>
      <w:jc w:val="left"/>
      <w:textAlignment w:val="baseline"/>
      <w:outlineLvl w:val="1"/>
    </w:pPr>
    <w:rPr>
      <w:rFonts w:ascii="宋体" w:cs="宋体"/>
      <w:b/>
      <w:bCs/>
      <w:color w:val="000000"/>
      <w:kern w:val="0"/>
      <w:lang w:bidi="ar-SA"/>
    </w:rPr>
  </w:style>
  <w:style w:type="paragraph" w:customStyle="1" w:styleId="27">
    <w:name w:val="正文文本缩进1"/>
    <w:basedOn w:val="1"/>
    <w:qFormat/>
    <w:uiPriority w:val="0"/>
    <w:pPr>
      <w:spacing w:line="360" w:lineRule="auto"/>
      <w:ind w:firstLine="200" w:firstLineChars="200"/>
    </w:pPr>
    <w:rPr>
      <w:rFonts w:ascii="宋体" w:cs="宋体"/>
      <w:kern w:val="0"/>
      <w:sz w:val="24"/>
      <w:szCs w:val="24"/>
      <w:lang w:bidi="ar-SA"/>
    </w:rPr>
  </w:style>
  <w:style w:type="paragraph" w:customStyle="1" w:styleId="28">
    <w:name w:val="正文缩进1"/>
    <w:basedOn w:val="1"/>
    <w:qFormat/>
    <w:uiPriority w:val="0"/>
    <w:pPr>
      <w:adjustRightInd w:val="0"/>
      <w:spacing w:line="360" w:lineRule="atLeast"/>
      <w:ind w:firstLine="200" w:firstLineChars="200"/>
      <w:jc w:val="left"/>
      <w:textAlignment w:val="baseline"/>
    </w:pPr>
    <w:rPr>
      <w:rFonts w:cs="Times New Roman"/>
      <w:kern w:val="0"/>
      <w:sz w:val="24"/>
      <w:szCs w:val="24"/>
      <w:lang w:bidi="ar-SA"/>
    </w:rPr>
  </w:style>
  <w:style w:type="paragraph" w:customStyle="1" w:styleId="29">
    <w:name w:val="日期1"/>
    <w:basedOn w:val="1"/>
    <w:next w:val="1"/>
    <w:qFormat/>
    <w:uiPriority w:val="0"/>
    <w:rPr>
      <w:rFonts w:cs="Times New Roman"/>
      <w:kern w:val="0"/>
      <w:sz w:val="24"/>
      <w:szCs w:val="24"/>
      <w:lang w:bidi="ar-SA"/>
    </w:rPr>
  </w:style>
  <w:style w:type="character" w:customStyle="1" w:styleId="30">
    <w:name w:val="hover"/>
    <w:qFormat/>
    <w:uiPriority w:val="0"/>
  </w:style>
  <w:style w:type="character" w:customStyle="1" w:styleId="31">
    <w:name w:val="hover18"/>
    <w:qFormat/>
    <w:uiPriority w:val="0"/>
  </w:style>
  <w:style w:type="character" w:customStyle="1" w:styleId="32">
    <w:name w:val="font61"/>
    <w:qFormat/>
    <w:uiPriority w:val="0"/>
    <w:rPr>
      <w:rFonts w:ascii="宋体" w:hAnsi="宋体" w:eastAsia="宋体" w:cs="宋体"/>
      <w:color w:val="000000"/>
      <w:sz w:val="20"/>
      <w:szCs w:val="20"/>
      <w:u w:val="none"/>
      <w:lang w:bidi="ar-SA"/>
    </w:rPr>
  </w:style>
  <w:style w:type="character" w:customStyle="1" w:styleId="33">
    <w:name w:val="font81"/>
    <w:qFormat/>
    <w:uiPriority w:val="0"/>
    <w:rPr>
      <w:rFonts w:ascii="Arial" w:hAnsi="Arial" w:cs="Arial"/>
      <w:color w:val="000000"/>
      <w:sz w:val="20"/>
      <w:szCs w:val="20"/>
      <w:u w:val="none"/>
      <w:lang w:bidi="ar-SA"/>
    </w:rPr>
  </w:style>
  <w:style w:type="character" w:customStyle="1" w:styleId="34">
    <w:name w:val="font91"/>
    <w:qFormat/>
    <w:uiPriority w:val="0"/>
    <w:rPr>
      <w:rFonts w:ascii="Calibri" w:hAnsi="Calibri" w:cs="Calibri"/>
      <w:color w:val="000000"/>
      <w:sz w:val="20"/>
      <w:szCs w:val="20"/>
      <w:u w:val="none"/>
      <w:lang w:bidi="ar-SA"/>
    </w:rPr>
  </w:style>
  <w:style w:type="character" w:customStyle="1" w:styleId="35">
    <w:name w:val="font101"/>
    <w:qFormat/>
    <w:uiPriority w:val="0"/>
    <w:rPr>
      <w:rFonts w:ascii="宋体" w:hAnsi="宋体" w:eastAsia="宋体" w:cs="宋体"/>
      <w:color w:val="FF0000"/>
      <w:sz w:val="20"/>
      <w:szCs w:val="20"/>
      <w:u w:val="none"/>
      <w:lang w:bidi="ar-SA"/>
    </w:rPr>
  </w:style>
  <w:style w:type="character" w:customStyle="1" w:styleId="36">
    <w:name w:val="font111"/>
    <w:qFormat/>
    <w:uiPriority w:val="0"/>
    <w:rPr>
      <w:rFonts w:ascii="Arial" w:hAnsi="Arial" w:cs="Arial"/>
      <w:color w:val="FF0000"/>
      <w:sz w:val="20"/>
      <w:szCs w:val="20"/>
      <w:u w:val="none"/>
      <w:lang w:bidi="ar-SA"/>
    </w:rPr>
  </w:style>
  <w:style w:type="character" w:customStyle="1" w:styleId="37">
    <w:name w:val="font41"/>
    <w:basedOn w:val="21"/>
    <w:qFormat/>
    <w:uiPriority w:val="0"/>
    <w:rPr>
      <w:rFonts w:ascii="宋体" w:hAnsi="宋体" w:eastAsia="宋体" w:cs="宋体"/>
      <w:color w:val="000000"/>
      <w:sz w:val="20"/>
      <w:szCs w:val="20"/>
      <w:u w:val="none"/>
      <w:lang w:bidi="ar-SA"/>
    </w:rPr>
  </w:style>
  <w:style w:type="character" w:customStyle="1" w:styleId="38">
    <w:name w:val="font71"/>
    <w:qFormat/>
    <w:uiPriority w:val="0"/>
    <w:rPr>
      <w:rFonts w:ascii="Calibri" w:hAnsi="Calibri" w:cs="Calibri"/>
      <w:color w:val="000000"/>
      <w:sz w:val="20"/>
      <w:szCs w:val="20"/>
      <w:u w:val="none"/>
      <w:lang w:bidi="ar-SA"/>
    </w:rPr>
  </w:style>
  <w:style w:type="character" w:customStyle="1" w:styleId="39">
    <w:name w:val="font51"/>
    <w:basedOn w:val="21"/>
    <w:qFormat/>
    <w:uiPriority w:val="0"/>
    <w:rPr>
      <w:rFonts w:hint="eastAsia" w:ascii="微软雅黑" w:hAnsi="微软雅黑" w:eastAsia="微软雅黑" w:cs="微软雅黑"/>
      <w:color w:val="000000"/>
      <w:sz w:val="16"/>
      <w:szCs w:val="16"/>
      <w:u w:val="none"/>
    </w:rPr>
  </w:style>
  <w:style w:type="character" w:customStyle="1" w:styleId="40">
    <w:name w:val="font181"/>
    <w:basedOn w:val="21"/>
    <w:qFormat/>
    <w:uiPriority w:val="0"/>
    <w:rPr>
      <w:rFonts w:ascii="仿宋" w:hAnsi="仿宋" w:eastAsia="仿宋" w:cs="仿宋"/>
      <w:color w:val="000000"/>
      <w:sz w:val="20"/>
      <w:szCs w:val="20"/>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119</Pages>
  <Words>23802</Words>
  <Characters>26616</Characters>
  <TotalTime>0</TotalTime>
  <ScaleCrop>false</ScaleCrop>
  <LinksUpToDate>false</LinksUpToDate>
  <CharactersWithSpaces>27417</CharactersWithSpaces>
  <Application>WPS Office_12.1.0.19302_F1E327BC-269C-435d-A152-05C5408002CA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2025-01-15T01:17:00Z</dcterms:created>
  <dc:creator>Administrator</dc:creator>
  <cp:lastModifiedBy>长葛市公共资源交易中心:李田博</cp:lastModifiedBy>
  <dcterms:modified xsi:type="dcterms:W3CDTF">2025-02-14T07:35:14Z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D75AC3536AF940D78559E2A042D445CE_13</vt:lpwstr>
  </property>
  <property fmtid="{D5CDD505-2E9C-101B-9397-08002B2CF9AE}" pid="4" name="KSOTemplateDocerSaveRecord">
    <vt:lpwstr>eyJoZGlkIjoiYjU2ZTJkMDY0NWE5NTI4ZDZmNTYxMTk4YWRjYjUyNDAiLCJ1c2VySWQiOiI5NjU4OTg2NDMifQ==</vt:lpwstr>
  </property>
</Properties>
</file>